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372D" w:rsidRPr="005A2345" w:rsidRDefault="009B09FD">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A2345">
        <w:rPr>
          <w:rFonts w:ascii="Times New Roman" w:hAnsi="Times New Roman" w:cs="Times New Roman"/>
          <w:sz w:val="28"/>
          <w:szCs w:val="24"/>
        </w:rPr>
        <w:t xml:space="preserve"> </w:t>
      </w:r>
    </w:p>
    <w:p w:rsidR="0075372D" w:rsidRPr="005A2345" w:rsidRDefault="0075372D">
      <w:pPr>
        <w:widowControl w:val="0"/>
        <w:autoSpaceDE w:val="0"/>
        <w:autoSpaceDN w:val="0"/>
        <w:adjustRightInd w:val="0"/>
        <w:spacing w:after="0" w:line="240" w:lineRule="auto"/>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center"/>
        <w:rPr>
          <w:rFonts w:ascii="Times New Roman" w:hAnsi="Times New Roman" w:cs="Times New Roman"/>
          <w:b/>
          <w:bCs/>
          <w:sz w:val="28"/>
          <w:szCs w:val="28"/>
        </w:rPr>
      </w:pPr>
      <w:r w:rsidRPr="005A2345">
        <w:rPr>
          <w:rFonts w:ascii="Times New Roman" w:hAnsi="Times New Roman" w:cs="Times New Roman"/>
          <w:b/>
          <w:bCs/>
          <w:sz w:val="28"/>
          <w:szCs w:val="28"/>
        </w:rPr>
        <w:t xml:space="preserve">TEMAS-SUBTEMAS </w:t>
      </w:r>
    </w:p>
    <w:p w:rsidR="0075372D" w:rsidRPr="005A2345" w:rsidRDefault="0075372D">
      <w:pPr>
        <w:widowControl w:val="0"/>
        <w:autoSpaceDE w:val="0"/>
        <w:autoSpaceDN w:val="0"/>
        <w:adjustRightInd w:val="0"/>
        <w:spacing w:after="0" w:line="240" w:lineRule="auto"/>
        <w:jc w:val="center"/>
        <w:rPr>
          <w:rFonts w:ascii="Times New Roman" w:hAnsi="Times New Roman" w:cs="Times New Roman"/>
          <w:b/>
          <w:bCs/>
          <w:sz w:val="28"/>
          <w:szCs w:val="28"/>
        </w:rPr>
      </w:pPr>
    </w:p>
    <w:p w:rsidR="0075372D" w:rsidRPr="005A2345" w:rsidRDefault="009B09FD">
      <w:pPr>
        <w:widowControl w:val="0"/>
        <w:autoSpaceDE w:val="0"/>
        <w:autoSpaceDN w:val="0"/>
        <w:adjustRightInd w:val="0"/>
        <w:spacing w:after="0" w:line="240" w:lineRule="auto"/>
        <w:jc w:val="center"/>
        <w:rPr>
          <w:rFonts w:ascii="Times New Roman" w:hAnsi="Times New Roman" w:cs="Times New Roman"/>
          <w:sz w:val="28"/>
          <w:szCs w:val="28"/>
        </w:rPr>
      </w:pPr>
      <w:r w:rsidRPr="005A2345">
        <w:rPr>
          <w:rFonts w:ascii="Times New Roman" w:hAnsi="Times New Roman" w:cs="Times New Roman"/>
          <w:b/>
          <w:bCs/>
          <w:sz w:val="28"/>
          <w:szCs w:val="28"/>
        </w:rPr>
        <w:t xml:space="preserve">Sentencia C-416/24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DERECHOS DE PETICIÓN Y ACCESO A LA INFORMACIÓN PÚBLICA</w:t>
      </w:r>
      <w:r w:rsidRPr="005A2345">
        <w:rPr>
          <w:rFonts w:ascii="Times New Roman" w:hAnsi="Times New Roman" w:cs="Times New Roman"/>
          <w:sz w:val="28"/>
          <w:szCs w:val="28"/>
        </w:rPr>
        <w:t>-No se vulneran por reserva de información de conversaciones y negociaciones con actores armados que se traten en las sesiones del Gabinete de Paz</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i/>
          <w:iCs/>
          <w:sz w:val="28"/>
          <w:szCs w:val="28"/>
        </w:rPr>
        <w:t xml:space="preserve">La Sala Plena considera que la posibilidad de establecer una reserva de información en los asuntos relacionados con las conversaciones y negociaciones con actores armados que se traten en las sesiones del Gabinete de Paz, así como la información y documentos que se expidan en esta materia, persigue fines constitucionalmente importantes e imperiosos. No obstante lo anterior, estos no pueden ser invocados de forma abstracta, sino que deben ser motivados y demostrados suficientemente en cada caso y cumpliendo las obligaciones dispuestas en la ley estatutaria 1712 de 2014. Conforme a ello, debe recordarse que los peticionarios tienen a su disposición el recurso de insistencia en caso de que la autoridad no cumpla con la carga de motivación de la calidad de la información que invoca reservada, o el ciudadano considera que, a pesar de eso, puede ser divulgada parcialmente.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DERECHOS DE PETICIÓN Y ACCESO A LA INFORMACIÓN PÚBLICA</w:t>
      </w:r>
      <w:r w:rsidRPr="005A2345">
        <w:rPr>
          <w:rFonts w:ascii="Times New Roman" w:hAnsi="Times New Roman" w:cs="Times New Roman"/>
          <w:sz w:val="28"/>
          <w:szCs w:val="28"/>
        </w:rPr>
        <w:t>-Se vulneran por reserva de información en caso de acuerdos con actores armados que se traten en las sesiones del Gabinete de Paz</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i/>
          <w:iCs/>
          <w:sz w:val="28"/>
          <w:szCs w:val="28"/>
        </w:rPr>
        <w:t>(...) en el caso de los acuerdos con grupos armados no puede proceder ningún tipo de reserva de información, toda vez que, precisamente, cuando se llega a un acuerdo se configura la culminación del proceso. En el caso de procesos de paz, el acceso a la información pública puede tener una reserva gradual que va disminuyendo en la medida en que las negociaciones con los actores armados avanzan. En ese orden, una vez se alcanza un acuerdo no hay un fin legítimo que deba proteger la reserva de la información, pues cualquiera de las causales expuestas en el régimen estatutario, harán parte de documentos de política pública que deben ser ejecutados acorde con los acordado entre las partes.  Además, la reserva en el caso de los acuerdos es desproporcionada en estricto sentido, toda vez que se entiende que al ser “acuerdos” se van a ver reflejados en las políticas públicas del Estado y, en consecuencia, como lo indica la misma norma, en la ejecución presupuestal de los Ministerios a cargo, al ser parte de los planes de desarrollo, programas, entre otros.</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 DE ACCESO A LA INFORMACIÓN PÚBLICA</w:t>
      </w:r>
      <w:r w:rsidRPr="005A2345">
        <w:rPr>
          <w:rFonts w:ascii="Times New Roman" w:hAnsi="Times New Roman" w:cs="Times New Roman"/>
          <w:sz w:val="28"/>
          <w:szCs w:val="28"/>
        </w:rPr>
        <w:t xml:space="preserve">-Contenido y alcance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 DE ACCESO A LA INFORMACIÓN PÚBLICA</w:t>
      </w:r>
      <w:r w:rsidRPr="005A2345">
        <w:rPr>
          <w:rFonts w:ascii="Times New Roman" w:hAnsi="Times New Roman" w:cs="Times New Roman"/>
          <w:sz w:val="28"/>
          <w:szCs w:val="28"/>
        </w:rPr>
        <w:t xml:space="preserve">-Instrumentos internacionales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 DE ACCESO A INFORMACION PUBLICA</w:t>
      </w:r>
      <w:r w:rsidRPr="005A2345">
        <w:rPr>
          <w:rFonts w:ascii="Times New Roman" w:hAnsi="Times New Roman" w:cs="Times New Roman"/>
          <w:sz w:val="28"/>
          <w:szCs w:val="28"/>
        </w:rPr>
        <w:t xml:space="preserve">-Excepciones a la obligación de entregar información pública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DERECHOS DE PETICION, DE INFORMACION Y DE ACCESO A DOCUMENTOS PUBLICOS</w:t>
      </w:r>
      <w:r w:rsidRPr="005A2345">
        <w:rPr>
          <w:rFonts w:ascii="Times New Roman" w:hAnsi="Times New Roman" w:cs="Times New Roman"/>
          <w:sz w:val="28"/>
          <w:szCs w:val="28"/>
        </w:rPr>
        <w:t xml:space="preserve">-No obstante esa conexión axiológica, cada derecho tiene una entidad propia y un contenido autónomo discernible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 DE ACCEDER A LA DOCUMENTACION E INFORMACION PUBLICA</w:t>
      </w:r>
      <w:r w:rsidRPr="005A2345">
        <w:rPr>
          <w:rFonts w:ascii="Times New Roman" w:hAnsi="Times New Roman" w:cs="Times New Roman"/>
          <w:sz w:val="28"/>
          <w:szCs w:val="28"/>
        </w:rPr>
        <w:t xml:space="preserve">-Límites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 DE ACCESO A DOCUMENTOS PUBLICOS</w:t>
      </w:r>
      <w:r w:rsidRPr="005A2345">
        <w:rPr>
          <w:rFonts w:ascii="Times New Roman" w:hAnsi="Times New Roman" w:cs="Times New Roman"/>
          <w:sz w:val="28"/>
          <w:szCs w:val="28"/>
        </w:rPr>
        <w:t xml:space="preserve">-Alcance y contenido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 DE ACCESO A DOCUMENTOS PUBLICOS</w:t>
      </w:r>
      <w:r w:rsidRPr="005A2345">
        <w:rPr>
          <w:rFonts w:ascii="Times New Roman" w:hAnsi="Times New Roman" w:cs="Times New Roman"/>
          <w:sz w:val="28"/>
          <w:szCs w:val="28"/>
        </w:rPr>
        <w:t xml:space="preserve">-Garantiza la participación democrática y el ejercicio de los derechos políticos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 DE ACCESO A DOCUMENTOS PUBLICOS</w:t>
      </w:r>
      <w:r w:rsidRPr="005A2345">
        <w:rPr>
          <w:rFonts w:ascii="Times New Roman" w:hAnsi="Times New Roman" w:cs="Times New Roman"/>
          <w:sz w:val="28"/>
          <w:szCs w:val="28"/>
        </w:rPr>
        <w:t xml:space="preserve">-Impone deberes correlativos a todas las autoridades estatales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 DE ACCESO A LA INFORMACIÓN PÚBLICA</w:t>
      </w:r>
      <w:r w:rsidRPr="005A2345">
        <w:rPr>
          <w:rFonts w:ascii="Times New Roman" w:hAnsi="Times New Roman" w:cs="Times New Roman"/>
          <w:sz w:val="28"/>
          <w:szCs w:val="28"/>
        </w:rPr>
        <w:t xml:space="preserve">-Reglas jurisprudenciales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RESTRICCION DEL DERECHO A LA INFORMACION PUBLICA</w:t>
      </w:r>
      <w:r w:rsidRPr="005A2345">
        <w:rPr>
          <w:rFonts w:ascii="Times New Roman" w:hAnsi="Times New Roman" w:cs="Times New Roman"/>
          <w:sz w:val="28"/>
          <w:szCs w:val="28"/>
        </w:rPr>
        <w:t>-Parámetros constitucionales fijados en la jurisprudencia</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i/>
          <w:iCs/>
          <w:sz w:val="28"/>
          <w:szCs w:val="28"/>
        </w:rPr>
        <w:t>(...) las exclusiones deben ser restringidas, previstas en la ley y de forma que el acceso a la información sea la regla general. Además, implica que, en caso de que las autoridades estatales nieguen el acceso a la información que es pública, deben justificar su decisión y probar por qué la información no puede ser revelada a través de un “test de daño al interés público”. Lo anterior, también los obliga a [...] publicar y divulgar documentos y archivos que plasman la actividad estatal y de interés público, de forma rutinaria y proactiva, actualizada, accesible y comprensible, atendiendo a límites razonables del talento humano y los recursos físicos y financieros. Igualmente implica que, ante la duda o la existencia de vacíos o tensiones normativas, se privilegie el derecho al acceso a la información pública solicitada</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RESERVA LEGAL DE INFORMACION PUBLICA</w:t>
      </w:r>
      <w:r w:rsidRPr="005A2345">
        <w:rPr>
          <w:rFonts w:ascii="Times New Roman" w:hAnsi="Times New Roman" w:cs="Times New Roman"/>
          <w:sz w:val="28"/>
          <w:szCs w:val="28"/>
        </w:rPr>
        <w:t xml:space="preserve">-Casos en que resulta legítima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 DE PETICION Y DERECHO DE INFORMACION</w:t>
      </w:r>
      <w:r w:rsidRPr="005A2345">
        <w:rPr>
          <w:rFonts w:ascii="Times New Roman" w:hAnsi="Times New Roman" w:cs="Times New Roman"/>
          <w:sz w:val="28"/>
          <w:szCs w:val="28"/>
        </w:rPr>
        <w:t>-Procede recurso de insistencia de la ley 1437/11 cuando entidad pública se niega a suministrar la información bajo el argumento que es reservada</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i/>
          <w:iCs/>
          <w:sz w:val="28"/>
          <w:szCs w:val="28"/>
        </w:rPr>
        <w:t>(...) en caso de que la autoridad que custodia la información se niegue a divulgarla por razones de reserva, los ciudadanos tienen a su disposición el recurso de insistencia.</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 DE ACCESO A DOCUMENTOS PÚBLICOS EN EL MARCO DE PROCESOS DE PAZ O DE SOMETIMIENTO A LA JUSTICIA</w:t>
      </w:r>
      <w:r w:rsidRPr="005A2345">
        <w:rPr>
          <w:rFonts w:ascii="Times New Roman" w:hAnsi="Times New Roman" w:cs="Times New Roman"/>
          <w:sz w:val="28"/>
          <w:szCs w:val="28"/>
        </w:rPr>
        <w:t>-Alcance</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i/>
          <w:iCs/>
          <w:sz w:val="28"/>
          <w:szCs w:val="28"/>
        </w:rPr>
        <w:t xml:space="preserve">(...) en el marco de las negociaciones, acercamientos y conversaciones entre el Estado y los diferentes grupos armados, las primeras etapas requieren de un mayor grado de confidencialidad con miras a generar confianza entre las partes negociantes y blindar asuntos de importancia para la construcción de la agenda de paz. Al mismo tiempo, a medida que va avanzando el proceso, la reserva suele disminuir y se amplía el acceso a la información y los mecanismos de participación ciudadana, todo ello, atendiendo al compromiso de máxima divulgación de la información que se reconoce en la Constitución Política y en la ley estatutaria vigente. De ese modo, en un proceso de paz o de acercamientos con grupos armados, pueden existir innumerables temáticas que estén relacionadas con asuntos de interés público, como lo son, por ejemplo, situaciones de graves violaciones a derechos humanos y al derecho internacional humanitario, que no pueden estar sometidos a reserva (art. 21 de la Ley 1712 de 2014). Sin embargo, estas circunstancias pueden contener datos sensibles de víctimas y victimarios, operaciones militares y de inteligencia, así como otros temas que requieran de reserva para avanzar en los objetivos que se estén negociando. En estos casos, las entidades deben asegurar el acceso de información parcial, por ejemplo, motivando la respectiva reserva y demostrando su necesidad.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DERECHO DE ACCESO A DOCUMENTOS PÚBLICOS EN EL MARCO DE PROCESOS DE PAZ O DE SOMETIMIENTO A LA JUSTICIA</w:t>
      </w:r>
      <w:r w:rsidRPr="005A2345">
        <w:rPr>
          <w:rFonts w:ascii="Times New Roman" w:hAnsi="Times New Roman" w:cs="Times New Roman"/>
          <w:sz w:val="28"/>
          <w:szCs w:val="28"/>
        </w:rPr>
        <w:t xml:space="preserve">-Jurisprudencia constitucional </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b/>
          <w:bCs/>
          <w:sz w:val="28"/>
          <w:szCs w:val="28"/>
        </w:rPr>
        <w:t>TEST TRIPARTITO</w:t>
      </w:r>
      <w:r w:rsidRPr="005A2345">
        <w:rPr>
          <w:rFonts w:ascii="Times New Roman" w:hAnsi="Times New Roman" w:cs="Times New Roman"/>
          <w:sz w:val="28"/>
          <w:szCs w:val="28"/>
        </w:rPr>
        <w:t>-Contenido</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9B09FD">
      <w:pPr>
        <w:widowControl w:val="0"/>
        <w:autoSpaceDE w:val="0"/>
        <w:autoSpaceDN w:val="0"/>
        <w:adjustRightInd w:val="0"/>
        <w:spacing w:after="0" w:line="240" w:lineRule="auto"/>
        <w:jc w:val="both"/>
        <w:rPr>
          <w:rFonts w:ascii="Times New Roman" w:hAnsi="Times New Roman" w:cs="Times New Roman"/>
          <w:sz w:val="28"/>
          <w:szCs w:val="28"/>
        </w:rPr>
      </w:pPr>
      <w:r w:rsidRPr="005A2345">
        <w:rPr>
          <w:rFonts w:ascii="Times New Roman" w:hAnsi="Times New Roman" w:cs="Times New Roman"/>
          <w:i/>
          <w:iCs/>
          <w:sz w:val="28"/>
          <w:szCs w:val="28"/>
        </w:rPr>
        <w:t>(...) aplicado por la jurisprudencia constitucional cuando se trata de evaluar limitaciones o restricciones a los derechos a la libertad de expresión y de información. Es preciso señalar que el test tripartito en sí mismo contiene los mismos elementos que la jurisprudencia constitucional reciente ha desarrollado sobre el test de proporcionalidad, particularmente, para este caso, Â«el escrutinio estricto o fuerte evalúa (i) si el fin perseguido por la norma es imperioso; (ii) si el medio escogido, además de ser efectivamente conducente, es necesario, esto es, si no puede ser reemplazado por otros menos lesivos para los derechos de los sujetos pasivos de la norma; y, por último, (iii) si los beneficios de adoptar la medida exceden o no las restricciones impuestas sobre otros valores o principios constitucionales; es decir, si la medida es proporcional en sentido estricto. En el caso del test tripartito se analiza si la medida que restringe el derecho cumple con los siguientes elementos: (i) ser fijada en la ley; (ii) perseguir alguno de los fines legítimos establecidos en dicho artículo y; (iii) ser necesaria y proporcional a la consecución de ese fin.</w:t>
      </w:r>
    </w:p>
    <w:p w:rsidR="0075372D" w:rsidRPr="005A2345" w:rsidRDefault="0075372D">
      <w:pPr>
        <w:widowControl w:val="0"/>
        <w:autoSpaceDE w:val="0"/>
        <w:autoSpaceDN w:val="0"/>
        <w:adjustRightInd w:val="0"/>
        <w:spacing w:after="0" w:line="240" w:lineRule="auto"/>
        <w:jc w:val="both"/>
        <w:rPr>
          <w:rFonts w:ascii="Times New Roman" w:hAnsi="Times New Roman" w:cs="Times New Roman"/>
          <w:sz w:val="28"/>
          <w:szCs w:val="28"/>
        </w:rPr>
      </w:pPr>
    </w:p>
    <w:p w:rsidR="0075372D" w:rsidRPr="005A2345" w:rsidRDefault="005A2345">
      <w:pPr>
        <w:widowControl w:val="0"/>
        <w:autoSpaceDE w:val="0"/>
        <w:autoSpaceDN w:val="0"/>
        <w:adjustRightInd w:val="0"/>
        <w:spacing w:after="0" w:line="240" w:lineRule="auto"/>
        <w:jc w:val="both"/>
        <w:rPr>
          <w:rFonts w:ascii="Times New Roman" w:hAnsi="Times New Roman" w:cs="Times New Roman"/>
          <w:sz w:val="28"/>
        </w:rPr>
      </w:pPr>
      <w:r w:rsidRPr="005A2345">
        <w:rPr>
          <w:rFonts w:ascii="Times New Roman" w:hAnsi="Times New Roman" w:cs="Times New Roman"/>
          <w:sz w:val="28"/>
          <w:szCs w:val="28"/>
        </w:rPr>
        <w:pict>
          <v:rect id="_x0000_i1025" style="width:0;height:1.5pt" o:hralign="center" o:hrstd="t" o:hr="t" fillcolor="#a0a0a0" stroked="f"/>
        </w:pict>
      </w:r>
    </w:p>
    <w:p w:rsidR="00BB5598" w:rsidRPr="005A2345" w:rsidRDefault="005A2345" w:rsidP="007302A8">
      <w:pPr>
        <w:pStyle w:val="Encabezado"/>
        <w:tabs>
          <w:tab w:val="clear" w:pos="4252"/>
          <w:tab w:val="center" w:pos="0"/>
        </w:tabs>
        <w:jc w:val="center"/>
        <w:rPr>
          <w:rFonts w:ascii="Times New Roman" w:hAnsi="Times New Roman" w:cs="Times New Roman"/>
          <w:b/>
          <w:bCs/>
          <w:lang w:val="es-ES"/>
        </w:rPr>
      </w:pPr>
      <w:bookmarkStart w:id="1" w:name="_Hlk101951255"/>
      <w:r w:rsidRPr="005A2345">
        <w:rPr>
          <w:rFonts w:ascii="Times New Roman" w:hAnsi="Times New Roman" w:cs="Times New Roman"/>
          <w:b/>
          <w:bCs/>
          <w:lang w:val="es-ES"/>
        </w:rPr>
        <w:t>REPÚBLICA DE COLOMBIA</w:t>
      </w:r>
    </w:p>
    <w:p w:rsidR="00BB5598" w:rsidRPr="005A2345" w:rsidRDefault="005A2345" w:rsidP="007302A8">
      <w:pPr>
        <w:pStyle w:val="Encabezado"/>
        <w:tabs>
          <w:tab w:val="clear" w:pos="4252"/>
          <w:tab w:val="center" w:pos="0"/>
        </w:tabs>
        <w:jc w:val="center"/>
        <w:rPr>
          <w:rFonts w:ascii="Times New Roman" w:hAnsi="Times New Roman" w:cs="Times New Roman"/>
          <w:b/>
          <w:bCs/>
          <w:lang w:val="es-ES"/>
        </w:rPr>
      </w:pPr>
      <w:r w:rsidRPr="005A2345">
        <w:rPr>
          <w:rFonts w:ascii="Times New Roman" w:hAnsi="Times New Roman" w:cs="Times New Roman"/>
          <w:b/>
          <w:bCs/>
          <w:noProof/>
          <w:lang w:eastAsia="es-CO"/>
        </w:rPr>
        <w:drawing>
          <wp:inline distT="0" distB="0" distL="0" distR="0" wp14:anchorId="07D83EC8" wp14:editId="021F60DB">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BB5598" w:rsidRPr="005A2345" w:rsidRDefault="005A2345" w:rsidP="007302A8">
      <w:pPr>
        <w:pStyle w:val="Encabezado"/>
        <w:tabs>
          <w:tab w:val="clear" w:pos="4252"/>
          <w:tab w:val="center" w:pos="0"/>
        </w:tabs>
        <w:jc w:val="center"/>
        <w:rPr>
          <w:rFonts w:ascii="Times New Roman" w:hAnsi="Times New Roman" w:cs="Times New Roman"/>
          <w:b/>
          <w:bCs/>
          <w:lang w:val="es-ES"/>
        </w:rPr>
      </w:pPr>
      <w:r w:rsidRPr="005A2345">
        <w:rPr>
          <w:rFonts w:ascii="Times New Roman" w:hAnsi="Times New Roman" w:cs="Times New Roman"/>
          <w:b/>
          <w:bCs/>
          <w:lang w:val="es-ES"/>
        </w:rPr>
        <w:t>CORTE CONSTITUCIONAL</w:t>
      </w:r>
    </w:p>
    <w:p w:rsidR="00BB5598" w:rsidRPr="005A2345" w:rsidRDefault="005A2345" w:rsidP="0063742D">
      <w:pPr>
        <w:ind w:right="20"/>
        <w:rPr>
          <w:rFonts w:ascii="Times New Roman" w:hAnsi="Times New Roman" w:cs="Times New Roman"/>
          <w:b/>
          <w:sz w:val="28"/>
          <w:szCs w:val="28"/>
          <w:lang w:val="es-ES"/>
        </w:rPr>
      </w:pPr>
    </w:p>
    <w:p w:rsidR="00750297" w:rsidRPr="005A2345" w:rsidRDefault="005A2345" w:rsidP="008C70B4">
      <w:pPr>
        <w:ind w:right="51"/>
        <w:jc w:val="center"/>
        <w:rPr>
          <w:rFonts w:ascii="Times New Roman" w:hAnsi="Times New Roman" w:cs="Times New Roman"/>
          <w:b/>
          <w:color w:val="000000" w:themeColor="text1"/>
          <w:sz w:val="28"/>
          <w:szCs w:val="28"/>
          <w:lang w:val="es-ES_tradnl"/>
        </w:rPr>
      </w:pPr>
      <w:r w:rsidRPr="005A2345">
        <w:rPr>
          <w:rFonts w:ascii="Times New Roman" w:hAnsi="Times New Roman" w:cs="Times New Roman"/>
          <w:b/>
          <w:color w:val="000000" w:themeColor="text1"/>
          <w:sz w:val="28"/>
          <w:szCs w:val="28"/>
          <w:lang w:val="es-ES_tradnl"/>
        </w:rPr>
        <w:t>SENTENCIA C-</w:t>
      </w:r>
      <w:r w:rsidRPr="005A2345">
        <w:rPr>
          <w:rFonts w:ascii="Times New Roman" w:hAnsi="Times New Roman" w:cs="Times New Roman"/>
          <w:b/>
          <w:color w:val="000000" w:themeColor="text1"/>
          <w:sz w:val="28"/>
          <w:szCs w:val="28"/>
          <w:lang w:val="es-ES_tradnl"/>
        </w:rPr>
        <w:t xml:space="preserve"> 416</w:t>
      </w:r>
      <w:r w:rsidRPr="005A2345">
        <w:rPr>
          <w:rFonts w:ascii="Times New Roman" w:hAnsi="Times New Roman" w:cs="Times New Roman"/>
          <w:b/>
          <w:color w:val="000000" w:themeColor="text1"/>
          <w:sz w:val="28"/>
          <w:szCs w:val="28"/>
          <w:lang w:val="es-ES_tradnl"/>
        </w:rPr>
        <w:t xml:space="preserve"> </w:t>
      </w:r>
      <w:r w:rsidRPr="005A2345">
        <w:rPr>
          <w:rFonts w:ascii="Times New Roman" w:hAnsi="Times New Roman" w:cs="Times New Roman"/>
          <w:b/>
          <w:color w:val="000000" w:themeColor="text1"/>
          <w:sz w:val="28"/>
          <w:szCs w:val="28"/>
          <w:lang w:val="es-ES_tradnl"/>
        </w:rPr>
        <w:t>DE 202</w:t>
      </w:r>
      <w:r w:rsidRPr="005A2345">
        <w:rPr>
          <w:rFonts w:ascii="Times New Roman" w:hAnsi="Times New Roman" w:cs="Times New Roman"/>
          <w:b/>
          <w:color w:val="000000" w:themeColor="text1"/>
          <w:sz w:val="28"/>
          <w:szCs w:val="28"/>
          <w:lang w:val="es-ES_tradnl"/>
        </w:rPr>
        <w:t>4</w:t>
      </w:r>
    </w:p>
    <w:p w:rsidR="0047347C" w:rsidRPr="005A2345" w:rsidRDefault="005A2345" w:rsidP="008C70B4">
      <w:pPr>
        <w:rPr>
          <w:rFonts w:ascii="Times New Roman" w:hAnsi="Times New Roman" w:cs="Times New Roman"/>
          <w:sz w:val="28"/>
          <w:szCs w:val="28"/>
          <w:lang w:val="es-ES"/>
        </w:rPr>
      </w:pPr>
    </w:p>
    <w:p w:rsidR="004A35A8" w:rsidRPr="005A2345" w:rsidRDefault="005A2345" w:rsidP="0043593A">
      <w:pPr>
        <w:pStyle w:val="Ttulo2"/>
        <w:ind w:left="3261"/>
        <w:jc w:val="both"/>
        <w:rPr>
          <w:rFonts w:ascii="Times New Roman" w:hAnsi="Times New Roman" w:cs="Times New Roman"/>
          <w:b w:val="0"/>
          <w:lang w:val="es-ES"/>
        </w:rPr>
      </w:pPr>
      <w:r w:rsidRPr="005A2345">
        <w:rPr>
          <w:rFonts w:ascii="Times New Roman" w:hAnsi="Times New Roman" w:cs="Times New Roman"/>
          <w:b w:val="0"/>
          <w:bCs/>
          <w:lang w:val="es-ES"/>
        </w:rPr>
        <w:t>Referencia:</w:t>
      </w:r>
      <w:r w:rsidRPr="005A2345">
        <w:rPr>
          <w:rFonts w:ascii="Times New Roman" w:hAnsi="Times New Roman" w:cs="Times New Roman"/>
          <w:b w:val="0"/>
          <w:lang w:val="es-ES"/>
        </w:rPr>
        <w:t xml:space="preserve"> Expediente D-</w:t>
      </w:r>
      <w:bookmarkStart w:id="2" w:name="_Hlk126146335"/>
      <w:r w:rsidRPr="005A2345">
        <w:rPr>
          <w:rFonts w:ascii="Times New Roman" w:hAnsi="Times New Roman" w:cs="Times New Roman"/>
          <w:b w:val="0"/>
          <w:lang w:val="es-ES"/>
        </w:rPr>
        <w:t>15.</w:t>
      </w:r>
      <w:r w:rsidRPr="005A2345">
        <w:rPr>
          <w:rFonts w:ascii="Times New Roman" w:hAnsi="Times New Roman" w:cs="Times New Roman"/>
          <w:b w:val="0"/>
          <w:lang w:val="es-ES"/>
        </w:rPr>
        <w:t>736.</w:t>
      </w:r>
    </w:p>
    <w:p w:rsidR="0043593A" w:rsidRPr="005A2345" w:rsidRDefault="005A2345" w:rsidP="0043593A">
      <w:pPr>
        <w:rPr>
          <w:rFonts w:ascii="Times New Roman" w:hAnsi="Times New Roman" w:cs="Times New Roman"/>
          <w:sz w:val="28"/>
          <w:lang w:val="es-ES" w:eastAsia="es-ES"/>
        </w:rPr>
      </w:pPr>
    </w:p>
    <w:p w:rsidR="00FB22FC" w:rsidRPr="005A2345" w:rsidRDefault="005A2345" w:rsidP="00FB22FC">
      <w:pPr>
        <w:ind w:left="3261"/>
        <w:jc w:val="both"/>
        <w:rPr>
          <w:rFonts w:ascii="Times New Roman" w:hAnsi="Times New Roman" w:cs="Times New Roman"/>
          <w:sz w:val="28"/>
          <w:szCs w:val="28"/>
        </w:rPr>
      </w:pPr>
      <w:r w:rsidRPr="005A2345">
        <w:rPr>
          <w:rFonts w:ascii="Times New Roman" w:hAnsi="Times New Roman" w:cs="Times New Roman"/>
          <w:sz w:val="28"/>
          <w:szCs w:val="28"/>
        </w:rPr>
        <w:t xml:space="preserve">Demanda de inconstitucionalidad contra el parágrafo 1° del artículo 6 de la Ley 2272 </w:t>
      </w:r>
      <w:bookmarkStart w:id="3" w:name="_Hlk160620204"/>
      <w:r w:rsidRPr="005A2345">
        <w:rPr>
          <w:rFonts w:ascii="Times New Roman" w:hAnsi="Times New Roman" w:cs="Times New Roman"/>
          <w:sz w:val="28"/>
          <w:szCs w:val="28"/>
        </w:rPr>
        <w:t>“Por medio de la cual se modifica adiciona y</w:t>
      </w:r>
      <w:r w:rsidRPr="005A2345">
        <w:rPr>
          <w:rFonts w:ascii="Times New Roman" w:hAnsi="Times New Roman" w:cs="Times New Roman"/>
          <w:sz w:val="28"/>
          <w:szCs w:val="28"/>
        </w:rPr>
        <w:t xml:space="preserve"> prorroga la ley </w:t>
      </w:r>
      <w:hyperlink r:id="rId8" w:anchor="INICIO" w:history="1">
        <w:r w:rsidRPr="005A2345">
          <w:rPr>
            <w:rFonts w:ascii="Times New Roman" w:hAnsi="Times New Roman" w:cs="Times New Roman"/>
            <w:sz w:val="28"/>
            <w:szCs w:val="28"/>
          </w:rPr>
          <w:t>418</w:t>
        </w:r>
      </w:hyperlink>
      <w:r w:rsidRPr="005A2345">
        <w:rPr>
          <w:rFonts w:ascii="Times New Roman" w:hAnsi="Times New Roman" w:cs="Times New Roman"/>
          <w:sz w:val="28"/>
          <w:szCs w:val="28"/>
        </w:rPr>
        <w:t> de 1997, prorrogada, modificada y adicionada por las Leyes </w:t>
      </w:r>
      <w:hyperlink r:id="rId9" w:anchor="INICIO" w:history="1">
        <w:r w:rsidRPr="005A2345">
          <w:rPr>
            <w:rFonts w:ascii="Times New Roman" w:hAnsi="Times New Roman" w:cs="Times New Roman"/>
            <w:sz w:val="28"/>
            <w:szCs w:val="28"/>
          </w:rPr>
          <w:t>548</w:t>
        </w:r>
      </w:hyperlink>
      <w:r w:rsidRPr="005A2345">
        <w:rPr>
          <w:rFonts w:ascii="Times New Roman" w:hAnsi="Times New Roman" w:cs="Times New Roman"/>
          <w:sz w:val="28"/>
          <w:szCs w:val="28"/>
        </w:rPr>
        <w:t> de 1999, </w:t>
      </w:r>
      <w:hyperlink r:id="rId10" w:anchor="INICIO" w:history="1">
        <w:r w:rsidRPr="005A2345">
          <w:rPr>
            <w:rFonts w:ascii="Times New Roman" w:hAnsi="Times New Roman" w:cs="Times New Roman"/>
            <w:sz w:val="28"/>
            <w:szCs w:val="28"/>
          </w:rPr>
          <w:t>782</w:t>
        </w:r>
      </w:hyperlink>
      <w:r w:rsidRPr="005A2345">
        <w:rPr>
          <w:rFonts w:ascii="Times New Roman" w:hAnsi="Times New Roman" w:cs="Times New Roman"/>
          <w:sz w:val="28"/>
          <w:szCs w:val="28"/>
        </w:rPr>
        <w:t> de 2002, </w:t>
      </w:r>
      <w:hyperlink r:id="rId11" w:anchor="INICIO" w:history="1">
        <w:r w:rsidRPr="005A2345">
          <w:rPr>
            <w:rFonts w:ascii="Times New Roman" w:hAnsi="Times New Roman" w:cs="Times New Roman"/>
            <w:sz w:val="28"/>
            <w:szCs w:val="28"/>
          </w:rPr>
          <w:t>1106</w:t>
        </w:r>
      </w:hyperlink>
      <w:r w:rsidRPr="005A2345">
        <w:rPr>
          <w:rFonts w:ascii="Times New Roman" w:hAnsi="Times New Roman" w:cs="Times New Roman"/>
          <w:sz w:val="28"/>
          <w:szCs w:val="28"/>
        </w:rPr>
        <w:t> de 2006, </w:t>
      </w:r>
      <w:hyperlink r:id="rId12" w:anchor="INICIO" w:history="1">
        <w:r w:rsidRPr="005A2345">
          <w:rPr>
            <w:rFonts w:ascii="Times New Roman" w:hAnsi="Times New Roman" w:cs="Times New Roman"/>
            <w:sz w:val="28"/>
            <w:szCs w:val="28"/>
          </w:rPr>
          <w:t>1421</w:t>
        </w:r>
      </w:hyperlink>
      <w:r w:rsidRPr="005A2345">
        <w:rPr>
          <w:rFonts w:ascii="Times New Roman" w:hAnsi="Times New Roman" w:cs="Times New Roman"/>
          <w:sz w:val="28"/>
          <w:szCs w:val="28"/>
        </w:rPr>
        <w:t> de 2010, </w:t>
      </w:r>
      <w:hyperlink r:id="rId13" w:anchor="INICIO" w:history="1">
        <w:r w:rsidRPr="005A2345">
          <w:rPr>
            <w:rFonts w:ascii="Times New Roman" w:hAnsi="Times New Roman" w:cs="Times New Roman"/>
            <w:sz w:val="28"/>
            <w:szCs w:val="28"/>
          </w:rPr>
          <w:t>1738</w:t>
        </w:r>
      </w:hyperlink>
      <w:r w:rsidRPr="005A2345">
        <w:rPr>
          <w:rFonts w:ascii="Times New Roman" w:hAnsi="Times New Roman" w:cs="Times New Roman"/>
          <w:sz w:val="28"/>
          <w:szCs w:val="28"/>
        </w:rPr>
        <w:t> de 2014 y </w:t>
      </w:r>
      <w:hyperlink r:id="rId14" w:anchor="INICIO" w:history="1">
        <w:r w:rsidRPr="005A2345">
          <w:rPr>
            <w:rFonts w:ascii="Times New Roman" w:hAnsi="Times New Roman" w:cs="Times New Roman"/>
            <w:sz w:val="28"/>
            <w:szCs w:val="28"/>
          </w:rPr>
          <w:t>1941</w:t>
        </w:r>
      </w:hyperlink>
      <w:r w:rsidRPr="005A2345">
        <w:rPr>
          <w:rFonts w:ascii="Times New Roman" w:hAnsi="Times New Roman" w:cs="Times New Roman"/>
          <w:sz w:val="28"/>
          <w:szCs w:val="28"/>
        </w:rPr>
        <w:t> de 2018, se define la política de paz de Estado, se crea el servicio social para la paz, y se dictan otras disposiciones”.</w:t>
      </w:r>
    </w:p>
    <w:bookmarkEnd w:id="3"/>
    <w:p w:rsidR="008F3740" w:rsidRPr="005A2345" w:rsidRDefault="005A2345" w:rsidP="008F3740">
      <w:pPr>
        <w:pStyle w:val="Ttulo2"/>
        <w:ind w:left="3261"/>
        <w:jc w:val="both"/>
        <w:rPr>
          <w:rFonts w:ascii="Times New Roman" w:hAnsi="Times New Roman" w:cs="Times New Roman"/>
          <w:b w:val="0"/>
          <w:bCs/>
        </w:rPr>
      </w:pPr>
    </w:p>
    <w:p w:rsidR="008F3740" w:rsidRPr="005A2345" w:rsidRDefault="005A2345" w:rsidP="008F3740">
      <w:pPr>
        <w:pStyle w:val="Ttulo2"/>
        <w:ind w:left="3261"/>
        <w:jc w:val="both"/>
        <w:rPr>
          <w:rFonts w:ascii="Times New Roman" w:hAnsi="Times New Roman" w:cs="Times New Roman"/>
          <w:b w:val="0"/>
        </w:rPr>
      </w:pPr>
      <w:r w:rsidRPr="005A2345">
        <w:rPr>
          <w:rFonts w:ascii="Times New Roman" w:hAnsi="Times New Roman" w:cs="Times New Roman"/>
          <w:b w:val="0"/>
          <w:bCs/>
        </w:rPr>
        <w:t xml:space="preserve">Demandante: </w:t>
      </w:r>
      <w:bookmarkStart w:id="4" w:name="_Hlk159312138"/>
      <w:r w:rsidRPr="005A2345">
        <w:rPr>
          <w:rFonts w:ascii="Times New Roman" w:hAnsi="Times New Roman" w:cs="Times New Roman"/>
          <w:b w:val="0"/>
          <w:lang w:val="es-ES_tradnl" w:eastAsia="es-MX"/>
        </w:rPr>
        <w:t>Andrés Caro Borrero</w:t>
      </w:r>
      <w:r w:rsidRPr="005A2345">
        <w:rPr>
          <w:rFonts w:ascii="Times New Roman" w:hAnsi="Times New Roman" w:cs="Times New Roman"/>
          <w:b w:val="0"/>
        </w:rPr>
        <w:t>.</w:t>
      </w:r>
      <w:bookmarkEnd w:id="4"/>
    </w:p>
    <w:p w:rsidR="008F3740" w:rsidRPr="005A2345" w:rsidRDefault="005A2345" w:rsidP="0033566B">
      <w:pPr>
        <w:pStyle w:val="Ttulo2"/>
        <w:ind w:left="0"/>
        <w:jc w:val="both"/>
        <w:rPr>
          <w:rFonts w:ascii="Times New Roman" w:hAnsi="Times New Roman" w:cs="Times New Roman"/>
          <w:b w:val="0"/>
          <w:lang w:val="es-ES"/>
        </w:rPr>
      </w:pPr>
    </w:p>
    <w:bookmarkEnd w:id="2"/>
    <w:p w:rsidR="0017716E" w:rsidRPr="005A2345" w:rsidRDefault="005A2345" w:rsidP="0017716E">
      <w:pPr>
        <w:pBdr>
          <w:top w:val="nil"/>
          <w:left w:val="nil"/>
          <w:bottom w:val="nil"/>
          <w:right w:val="nil"/>
          <w:between w:val="nil"/>
        </w:pBdr>
        <w:ind w:left="3261"/>
        <w:jc w:val="both"/>
        <w:rPr>
          <w:rFonts w:ascii="Times New Roman" w:hAnsi="Times New Roman" w:cs="Times New Roman"/>
          <w:b/>
          <w:sz w:val="28"/>
          <w:szCs w:val="28"/>
          <w:lang w:val="es-ES"/>
        </w:rPr>
      </w:pPr>
      <w:r w:rsidRPr="005A2345">
        <w:rPr>
          <w:rFonts w:ascii="Times New Roman" w:hAnsi="Times New Roman" w:cs="Times New Roman"/>
          <w:b/>
          <w:sz w:val="28"/>
          <w:szCs w:val="28"/>
          <w:lang w:val="es-ES"/>
        </w:rPr>
        <w:t xml:space="preserve">Magistrada sustanciadora: </w:t>
      </w:r>
    </w:p>
    <w:p w:rsidR="0017716E" w:rsidRPr="005A2345" w:rsidRDefault="005A2345" w:rsidP="008C70B4">
      <w:pPr>
        <w:pBdr>
          <w:top w:val="nil"/>
          <w:left w:val="nil"/>
          <w:bottom w:val="nil"/>
          <w:right w:val="nil"/>
          <w:between w:val="nil"/>
        </w:pBdr>
        <w:ind w:left="3261"/>
        <w:jc w:val="both"/>
        <w:rPr>
          <w:rFonts w:ascii="Times New Roman" w:hAnsi="Times New Roman" w:cs="Times New Roman"/>
          <w:sz w:val="28"/>
          <w:szCs w:val="28"/>
          <w:lang w:val="es-ES"/>
        </w:rPr>
      </w:pPr>
      <w:r w:rsidRPr="005A2345">
        <w:rPr>
          <w:rFonts w:ascii="Times New Roman" w:hAnsi="Times New Roman" w:cs="Times New Roman"/>
          <w:sz w:val="28"/>
          <w:szCs w:val="28"/>
          <w:lang w:val="es-ES"/>
        </w:rPr>
        <w:t>CRISTINA PARDO SCHLESINGER</w:t>
      </w:r>
    </w:p>
    <w:p w:rsidR="0047347C" w:rsidRPr="005A2345" w:rsidRDefault="005A2345" w:rsidP="008C70B4">
      <w:pPr>
        <w:pBdr>
          <w:top w:val="nil"/>
          <w:left w:val="nil"/>
          <w:bottom w:val="nil"/>
          <w:right w:val="nil"/>
          <w:between w:val="nil"/>
        </w:pBdr>
        <w:rPr>
          <w:rFonts w:ascii="Times New Roman" w:hAnsi="Times New Roman" w:cs="Times New Roman"/>
          <w:sz w:val="28"/>
          <w:szCs w:val="28"/>
          <w:lang w:val="es-ES"/>
        </w:rPr>
      </w:pPr>
    </w:p>
    <w:p w:rsidR="0047347C" w:rsidRPr="005A2345" w:rsidRDefault="005A2345" w:rsidP="008C70B4">
      <w:pPr>
        <w:pBdr>
          <w:top w:val="nil"/>
          <w:left w:val="nil"/>
          <w:bottom w:val="nil"/>
          <w:right w:val="nil"/>
          <w:between w:val="nil"/>
        </w:pBdr>
        <w:rPr>
          <w:rFonts w:ascii="Times New Roman" w:hAnsi="Times New Roman" w:cs="Times New Roman"/>
          <w:sz w:val="28"/>
          <w:szCs w:val="28"/>
          <w:lang w:val="es-ES"/>
        </w:rPr>
      </w:pPr>
      <w:r w:rsidRPr="005A2345">
        <w:rPr>
          <w:rFonts w:ascii="Times New Roman" w:hAnsi="Times New Roman" w:cs="Times New Roman"/>
          <w:sz w:val="28"/>
          <w:szCs w:val="28"/>
          <w:lang w:val="es-ES"/>
        </w:rPr>
        <w:t>Bogotá, D. C.,</w:t>
      </w:r>
      <w:r w:rsidRPr="005A2345">
        <w:rPr>
          <w:rFonts w:ascii="Times New Roman" w:hAnsi="Times New Roman" w:cs="Times New Roman"/>
          <w:sz w:val="28"/>
          <w:szCs w:val="28"/>
          <w:lang w:val="es-ES"/>
        </w:rPr>
        <w:t xml:space="preserve"> </w:t>
      </w:r>
      <w:r w:rsidRPr="005A2345">
        <w:rPr>
          <w:rFonts w:ascii="Times New Roman" w:hAnsi="Times New Roman" w:cs="Times New Roman"/>
          <w:sz w:val="28"/>
          <w:szCs w:val="28"/>
          <w:lang w:val="es-ES"/>
        </w:rPr>
        <w:t>tres (03)</w:t>
      </w:r>
      <w:r w:rsidRPr="005A2345">
        <w:rPr>
          <w:rFonts w:ascii="Times New Roman" w:hAnsi="Times New Roman" w:cs="Times New Roman"/>
          <w:sz w:val="28"/>
          <w:szCs w:val="28"/>
          <w:lang w:val="es-ES"/>
        </w:rPr>
        <w:t xml:space="preserve"> de </w:t>
      </w:r>
      <w:r w:rsidRPr="005A2345">
        <w:rPr>
          <w:rFonts w:ascii="Times New Roman" w:hAnsi="Times New Roman" w:cs="Times New Roman"/>
          <w:sz w:val="28"/>
          <w:szCs w:val="28"/>
          <w:lang w:val="es-ES"/>
        </w:rPr>
        <w:t>octubre</w:t>
      </w:r>
      <w:r w:rsidRPr="005A2345">
        <w:rPr>
          <w:rFonts w:ascii="Times New Roman" w:hAnsi="Times New Roman" w:cs="Times New Roman"/>
          <w:sz w:val="28"/>
          <w:szCs w:val="28"/>
          <w:lang w:val="es-ES"/>
        </w:rPr>
        <w:t xml:space="preserve"> </w:t>
      </w:r>
      <w:r w:rsidRPr="005A2345">
        <w:rPr>
          <w:rFonts w:ascii="Times New Roman" w:hAnsi="Times New Roman" w:cs="Times New Roman"/>
          <w:sz w:val="28"/>
          <w:szCs w:val="28"/>
          <w:lang w:val="es-ES"/>
        </w:rPr>
        <w:t xml:space="preserve">de dos mil </w:t>
      </w:r>
      <w:r w:rsidRPr="005A2345">
        <w:rPr>
          <w:rFonts w:ascii="Times New Roman" w:hAnsi="Times New Roman" w:cs="Times New Roman"/>
          <w:sz w:val="28"/>
          <w:szCs w:val="28"/>
          <w:lang w:val="es-ES"/>
        </w:rPr>
        <w:t>veinti</w:t>
      </w:r>
      <w:r w:rsidRPr="005A2345">
        <w:rPr>
          <w:rFonts w:ascii="Times New Roman" w:hAnsi="Times New Roman" w:cs="Times New Roman"/>
          <w:sz w:val="28"/>
          <w:szCs w:val="28"/>
          <w:lang w:val="es-ES"/>
        </w:rPr>
        <w:t>cuatro</w:t>
      </w:r>
      <w:r w:rsidRPr="005A2345">
        <w:rPr>
          <w:rFonts w:ascii="Times New Roman" w:hAnsi="Times New Roman" w:cs="Times New Roman"/>
          <w:sz w:val="28"/>
          <w:szCs w:val="28"/>
          <w:lang w:val="es-ES"/>
        </w:rPr>
        <w:t xml:space="preserve"> (202</w:t>
      </w:r>
      <w:r w:rsidRPr="005A2345">
        <w:rPr>
          <w:rFonts w:ascii="Times New Roman" w:hAnsi="Times New Roman" w:cs="Times New Roman"/>
          <w:sz w:val="28"/>
          <w:szCs w:val="28"/>
          <w:lang w:val="es-ES"/>
        </w:rPr>
        <w:t>4</w:t>
      </w:r>
      <w:r w:rsidRPr="005A2345">
        <w:rPr>
          <w:rFonts w:ascii="Times New Roman" w:hAnsi="Times New Roman" w:cs="Times New Roman"/>
          <w:sz w:val="28"/>
          <w:szCs w:val="28"/>
          <w:lang w:val="es-ES"/>
        </w:rPr>
        <w:t>)</w:t>
      </w:r>
    </w:p>
    <w:p w:rsidR="0047347C" w:rsidRPr="005A2345" w:rsidRDefault="005A2345" w:rsidP="008C70B4">
      <w:pPr>
        <w:widowControl w:val="0"/>
        <w:ind w:right="-200"/>
        <w:jc w:val="both"/>
        <w:rPr>
          <w:rFonts w:ascii="Times New Roman" w:hAnsi="Times New Roman" w:cs="Times New Roman"/>
          <w:sz w:val="28"/>
          <w:szCs w:val="28"/>
          <w:lang w:val="es-ES"/>
        </w:rPr>
      </w:pPr>
    </w:p>
    <w:p w:rsidR="00F65B15" w:rsidRPr="005A2345" w:rsidRDefault="005A2345" w:rsidP="0043593A">
      <w:pPr>
        <w:ind w:right="56"/>
        <w:jc w:val="both"/>
        <w:rPr>
          <w:rFonts w:ascii="Times New Roman" w:hAnsi="Times New Roman" w:cs="Times New Roman"/>
          <w:color w:val="000000" w:themeColor="text1"/>
          <w:sz w:val="28"/>
          <w:szCs w:val="28"/>
          <w:lang w:val="es-ES_tradnl"/>
        </w:rPr>
      </w:pPr>
      <w:r w:rsidRPr="005A2345">
        <w:rPr>
          <w:rFonts w:ascii="Times New Roman" w:hAnsi="Times New Roman" w:cs="Times New Roman"/>
          <w:color w:val="000000" w:themeColor="text1"/>
          <w:sz w:val="28"/>
          <w:szCs w:val="28"/>
          <w:lang w:val="es-ES_tradnl"/>
        </w:rPr>
        <w:t xml:space="preserve">La Sala Plena de la Corte Constitucional, en cumplimiento de sus atribuciones constitucionales, en especial de la prevista por el artículo 241.4 de la Constitución Política, profiere la siguiente </w:t>
      </w:r>
    </w:p>
    <w:p w:rsidR="0043593A" w:rsidRPr="005A2345" w:rsidRDefault="005A2345" w:rsidP="0043593A">
      <w:pPr>
        <w:ind w:right="56"/>
        <w:jc w:val="both"/>
        <w:rPr>
          <w:rFonts w:ascii="Times New Roman" w:hAnsi="Times New Roman" w:cs="Times New Roman"/>
          <w:color w:val="000000" w:themeColor="text1"/>
          <w:sz w:val="28"/>
          <w:szCs w:val="28"/>
          <w:lang w:val="es-ES_tradnl"/>
        </w:rPr>
      </w:pPr>
    </w:p>
    <w:p w:rsidR="00F65B15" w:rsidRPr="005A2345" w:rsidRDefault="005A2345" w:rsidP="008C70B4">
      <w:pPr>
        <w:pStyle w:val="Ttulo4"/>
        <w:spacing w:before="0" w:line="240" w:lineRule="auto"/>
        <w:ind w:right="56"/>
        <w:jc w:val="center"/>
        <w:rPr>
          <w:rFonts w:ascii="Times New Roman" w:eastAsia="Times New Roman" w:hAnsi="Times New Roman" w:cs="Times New Roman"/>
          <w:b/>
          <w:i w:val="0"/>
          <w:color w:val="000000" w:themeColor="text1"/>
          <w:lang w:val="es-ES_tradnl"/>
        </w:rPr>
      </w:pPr>
      <w:r w:rsidRPr="005A2345">
        <w:rPr>
          <w:rFonts w:ascii="Times New Roman" w:eastAsia="Times New Roman" w:hAnsi="Times New Roman" w:cs="Times New Roman"/>
          <w:b/>
          <w:i w:val="0"/>
          <w:color w:val="000000" w:themeColor="text1"/>
          <w:lang w:val="es-ES_tradnl"/>
        </w:rPr>
        <w:t>SENTENCIA</w:t>
      </w:r>
    </w:p>
    <w:p w:rsidR="00F65B15" w:rsidRPr="005A2345" w:rsidRDefault="005A2345" w:rsidP="008C70B4">
      <w:pPr>
        <w:rPr>
          <w:rFonts w:ascii="Times New Roman" w:hAnsi="Times New Roman" w:cs="Times New Roman"/>
          <w:color w:val="000000" w:themeColor="text1"/>
          <w:sz w:val="28"/>
          <w:lang w:val="es-ES_tradnl"/>
        </w:rPr>
      </w:pPr>
      <w:bookmarkStart w:id="5" w:name="ANTECEDENTES"/>
      <w:bookmarkEnd w:id="5"/>
    </w:p>
    <w:tbl>
      <w:tblPr>
        <w:tblStyle w:val="Tablaconcuadrcula"/>
        <w:tblW w:w="0" w:type="auto"/>
        <w:tblLook w:val="04A0" w:firstRow="1" w:lastRow="0" w:firstColumn="1" w:lastColumn="0" w:noHBand="0" w:noVBand="1"/>
      </w:tblPr>
      <w:tblGrid>
        <w:gridCol w:w="8830"/>
      </w:tblGrid>
      <w:tr w:rsidR="00593E4B" w:rsidRPr="005A2345" w:rsidTr="00593E4B">
        <w:tc>
          <w:tcPr>
            <w:tcW w:w="8830" w:type="dxa"/>
          </w:tcPr>
          <w:p w:rsidR="00593E4B" w:rsidRPr="005A2345" w:rsidRDefault="005A2345" w:rsidP="008C70B4">
            <w:pPr>
              <w:rPr>
                <w:rFonts w:ascii="Times New Roman" w:hAnsi="Times New Roman" w:cs="Times New Roman"/>
                <w:b/>
                <w:i/>
                <w:color w:val="000000" w:themeColor="text1"/>
                <w:sz w:val="28"/>
                <w:lang w:val="es-ES_tradnl"/>
              </w:rPr>
            </w:pPr>
            <w:r w:rsidRPr="005A2345">
              <w:rPr>
                <w:rFonts w:ascii="Times New Roman" w:hAnsi="Times New Roman" w:cs="Times New Roman"/>
                <w:b/>
                <w:i/>
                <w:color w:val="000000" w:themeColor="text1"/>
                <w:sz w:val="28"/>
                <w:lang w:val="es-ES_tradnl"/>
              </w:rPr>
              <w:t>Síntesis de la decisión</w:t>
            </w:r>
          </w:p>
          <w:p w:rsidR="00593E4B" w:rsidRPr="005A2345" w:rsidRDefault="005A2345" w:rsidP="008C70B4">
            <w:pPr>
              <w:rPr>
                <w:rFonts w:ascii="Times New Roman" w:hAnsi="Times New Roman" w:cs="Times New Roman"/>
                <w:color w:val="000000" w:themeColor="text1"/>
                <w:sz w:val="28"/>
                <w:lang w:val="es-ES_tradnl"/>
              </w:rPr>
            </w:pPr>
          </w:p>
          <w:p w:rsidR="00AA6FB9" w:rsidRPr="005A2345" w:rsidRDefault="005A2345" w:rsidP="00AA6FB9">
            <w:pPr>
              <w:jc w:val="both"/>
              <w:rPr>
                <w:rFonts w:ascii="Times New Roman" w:hAnsi="Times New Roman" w:cs="Times New Roman"/>
                <w:sz w:val="28"/>
              </w:rPr>
            </w:pPr>
            <w:r w:rsidRPr="005A2345">
              <w:rPr>
                <w:rFonts w:ascii="Times New Roman" w:hAnsi="Times New Roman" w:cs="Times New Roman"/>
                <w:sz w:val="28"/>
                <w:lang w:val="es-ES_tradnl"/>
              </w:rPr>
              <w:t xml:space="preserve">En ejercicio de la acción pública de inconstitucionalidad el señor Andrés Caro Borrero demandó el parágrafo 1° del artículo 6 de la Ley 2272 de 2022 </w:t>
            </w:r>
            <w:r w:rsidRPr="005A2345">
              <w:rPr>
                <w:rFonts w:ascii="Times New Roman" w:hAnsi="Times New Roman" w:cs="Times New Roman"/>
                <w:sz w:val="28"/>
              </w:rPr>
              <w:t>“Por medio de la cual se modifica adiciona y prorroga la ley </w:t>
            </w:r>
            <w:hyperlink r:id="rId15" w:anchor="INICIO" w:history="1">
              <w:r w:rsidRPr="005A2345">
                <w:rPr>
                  <w:rFonts w:ascii="Times New Roman" w:hAnsi="Times New Roman" w:cs="Times New Roman"/>
                  <w:sz w:val="28"/>
                </w:rPr>
                <w:t>418</w:t>
              </w:r>
            </w:hyperlink>
            <w:r w:rsidRPr="005A2345">
              <w:rPr>
                <w:rFonts w:ascii="Times New Roman" w:hAnsi="Times New Roman" w:cs="Times New Roman"/>
                <w:sz w:val="28"/>
              </w:rPr>
              <w:t> de 1997, prorrogada, modificada y adicionada por las Leyes </w:t>
            </w:r>
            <w:hyperlink r:id="rId16" w:anchor="INICIO" w:history="1">
              <w:r w:rsidRPr="005A2345">
                <w:rPr>
                  <w:rFonts w:ascii="Times New Roman" w:hAnsi="Times New Roman" w:cs="Times New Roman"/>
                  <w:sz w:val="28"/>
                </w:rPr>
                <w:t>5</w:t>
              </w:r>
              <w:r w:rsidRPr="005A2345">
                <w:rPr>
                  <w:rFonts w:ascii="Times New Roman" w:hAnsi="Times New Roman" w:cs="Times New Roman"/>
                  <w:sz w:val="28"/>
                </w:rPr>
                <w:t>48</w:t>
              </w:r>
            </w:hyperlink>
            <w:r w:rsidRPr="005A2345">
              <w:rPr>
                <w:rFonts w:ascii="Times New Roman" w:hAnsi="Times New Roman" w:cs="Times New Roman"/>
                <w:sz w:val="28"/>
              </w:rPr>
              <w:t> de 1999, </w:t>
            </w:r>
            <w:hyperlink r:id="rId17" w:anchor="INICIO" w:history="1">
              <w:r w:rsidRPr="005A2345">
                <w:rPr>
                  <w:rFonts w:ascii="Times New Roman" w:hAnsi="Times New Roman" w:cs="Times New Roman"/>
                  <w:sz w:val="28"/>
                </w:rPr>
                <w:t>782</w:t>
              </w:r>
            </w:hyperlink>
            <w:r w:rsidRPr="005A2345">
              <w:rPr>
                <w:rFonts w:ascii="Times New Roman" w:hAnsi="Times New Roman" w:cs="Times New Roman"/>
                <w:sz w:val="28"/>
              </w:rPr>
              <w:t> de 2002, </w:t>
            </w:r>
            <w:hyperlink r:id="rId18" w:anchor="INICIO" w:history="1">
              <w:r w:rsidRPr="005A2345">
                <w:rPr>
                  <w:rFonts w:ascii="Times New Roman" w:hAnsi="Times New Roman" w:cs="Times New Roman"/>
                  <w:sz w:val="28"/>
                </w:rPr>
                <w:t>1106</w:t>
              </w:r>
            </w:hyperlink>
            <w:r w:rsidRPr="005A2345">
              <w:rPr>
                <w:rFonts w:ascii="Times New Roman" w:hAnsi="Times New Roman" w:cs="Times New Roman"/>
                <w:sz w:val="28"/>
              </w:rPr>
              <w:t> de 2006, </w:t>
            </w:r>
            <w:hyperlink r:id="rId19" w:anchor="INICIO" w:history="1">
              <w:r w:rsidRPr="005A2345">
                <w:rPr>
                  <w:rFonts w:ascii="Times New Roman" w:hAnsi="Times New Roman" w:cs="Times New Roman"/>
                  <w:sz w:val="28"/>
                </w:rPr>
                <w:t>1421</w:t>
              </w:r>
            </w:hyperlink>
            <w:r w:rsidRPr="005A2345">
              <w:rPr>
                <w:rFonts w:ascii="Times New Roman" w:hAnsi="Times New Roman" w:cs="Times New Roman"/>
                <w:sz w:val="28"/>
              </w:rPr>
              <w:t> de 2010, </w:t>
            </w:r>
            <w:hyperlink r:id="rId20" w:anchor="INICIO" w:history="1">
              <w:r w:rsidRPr="005A2345">
                <w:rPr>
                  <w:rFonts w:ascii="Times New Roman" w:hAnsi="Times New Roman" w:cs="Times New Roman"/>
                  <w:sz w:val="28"/>
                </w:rPr>
                <w:t>1738</w:t>
              </w:r>
            </w:hyperlink>
            <w:r w:rsidRPr="005A2345">
              <w:rPr>
                <w:rFonts w:ascii="Times New Roman" w:hAnsi="Times New Roman" w:cs="Times New Roman"/>
                <w:sz w:val="28"/>
              </w:rPr>
              <w:t> de 2014 y </w:t>
            </w:r>
            <w:hyperlink r:id="rId21" w:anchor="INICIO" w:history="1">
              <w:r w:rsidRPr="005A2345">
                <w:rPr>
                  <w:rFonts w:ascii="Times New Roman" w:hAnsi="Times New Roman" w:cs="Times New Roman"/>
                  <w:sz w:val="28"/>
                </w:rPr>
                <w:t>1941</w:t>
              </w:r>
            </w:hyperlink>
            <w:r w:rsidRPr="005A2345">
              <w:rPr>
                <w:rFonts w:ascii="Times New Roman" w:hAnsi="Times New Roman" w:cs="Times New Roman"/>
                <w:sz w:val="28"/>
              </w:rPr>
              <w:t> de 2018, se define la política de paz de Estado, se crea el servicio social para la paz, y se dictan otras disposiciones”, por considerar que desconocía los derechos de petición y acceso a documentos públicos a</w:t>
            </w:r>
            <w:r w:rsidRPr="005A2345">
              <w:rPr>
                <w:rFonts w:ascii="Times New Roman" w:hAnsi="Times New Roman" w:cs="Times New Roman"/>
                <w:sz w:val="28"/>
              </w:rPr>
              <w:t xml:space="preserve"> que se refieren los artículos 23 y 74 de la Constitución Política. </w:t>
            </w:r>
          </w:p>
          <w:p w:rsidR="00AA6FB9" w:rsidRPr="005A2345" w:rsidRDefault="005A2345" w:rsidP="00AA6FB9">
            <w:pPr>
              <w:jc w:val="both"/>
              <w:rPr>
                <w:rFonts w:ascii="Times New Roman" w:hAnsi="Times New Roman" w:cs="Times New Roman"/>
                <w:color w:val="000000"/>
                <w:sz w:val="28"/>
                <w:lang w:val="es-ES_tradnl"/>
              </w:rPr>
            </w:pPr>
          </w:p>
          <w:p w:rsidR="00AA6FB9" w:rsidRPr="005A2345" w:rsidRDefault="005A2345" w:rsidP="00AA6FB9">
            <w:pPr>
              <w:jc w:val="both"/>
              <w:rPr>
                <w:rFonts w:ascii="Times New Roman" w:hAnsi="Times New Roman" w:cs="Times New Roman"/>
                <w:color w:val="000000"/>
                <w:sz w:val="28"/>
              </w:rPr>
            </w:pPr>
            <w:r w:rsidRPr="005A2345">
              <w:rPr>
                <w:rFonts w:ascii="Times New Roman" w:hAnsi="Times New Roman" w:cs="Times New Roman"/>
                <w:color w:val="000000"/>
                <w:sz w:val="28"/>
                <w:lang w:val="es-ES_tradnl"/>
              </w:rPr>
              <w:t xml:space="preserve">El demandante argumentó que la posibilidad de reserva de información sobre los asuntos referidos </w:t>
            </w:r>
            <w:r w:rsidRPr="005A2345">
              <w:rPr>
                <w:rFonts w:ascii="Times New Roman" w:hAnsi="Times New Roman" w:cs="Times New Roman"/>
                <w:color w:val="000000"/>
                <w:sz w:val="28"/>
              </w:rPr>
              <w:t>a conversaciones, acuerdos y negociaciones con actores armados que se traten en las sesio</w:t>
            </w:r>
            <w:r w:rsidRPr="005A2345">
              <w:rPr>
                <w:rFonts w:ascii="Times New Roman" w:hAnsi="Times New Roman" w:cs="Times New Roman"/>
                <w:color w:val="000000"/>
                <w:sz w:val="28"/>
              </w:rPr>
              <w:t xml:space="preserve">nes del Gabinete de Paz, así como la información y documentos que se expidan en esta materia, es una restricción irrazonable y desproporcionada al no cumplir con los estándares jurisprudenciales de este tipo de restricciones. </w:t>
            </w:r>
          </w:p>
          <w:p w:rsidR="00AA6FB9" w:rsidRPr="005A2345" w:rsidRDefault="005A2345" w:rsidP="00AA6FB9">
            <w:pPr>
              <w:jc w:val="both"/>
              <w:rPr>
                <w:rFonts w:ascii="Times New Roman" w:hAnsi="Times New Roman" w:cs="Times New Roman"/>
                <w:color w:val="000000"/>
                <w:sz w:val="28"/>
                <w:lang w:val="es-ES_tradnl"/>
              </w:rPr>
            </w:pPr>
          </w:p>
          <w:p w:rsidR="00AA6FB9" w:rsidRPr="005A2345" w:rsidRDefault="005A2345" w:rsidP="00AA6FB9">
            <w:pPr>
              <w:jc w:val="both"/>
              <w:rPr>
                <w:rFonts w:ascii="Times New Roman" w:hAnsi="Times New Roman" w:cs="Times New Roman"/>
                <w:sz w:val="28"/>
                <w:lang w:val="es-ES_tradnl"/>
              </w:rPr>
            </w:pPr>
            <w:r w:rsidRPr="005A2345">
              <w:rPr>
                <w:rFonts w:ascii="Times New Roman" w:hAnsi="Times New Roman" w:cs="Times New Roman"/>
                <w:color w:val="000000"/>
                <w:sz w:val="28"/>
                <w:lang w:val="es-ES_tradnl"/>
              </w:rPr>
              <w:t xml:space="preserve">Alegó que </w:t>
            </w:r>
            <w:r w:rsidRPr="005A2345">
              <w:rPr>
                <w:rFonts w:ascii="Times New Roman" w:hAnsi="Times New Roman" w:cs="Times New Roman"/>
                <w:sz w:val="28"/>
                <w:lang w:val="es-ES_tradnl"/>
              </w:rPr>
              <w:t>(i) la norma deman</w:t>
            </w:r>
            <w:r w:rsidRPr="005A2345">
              <w:rPr>
                <w:rFonts w:ascii="Times New Roman" w:hAnsi="Times New Roman" w:cs="Times New Roman"/>
                <w:sz w:val="28"/>
                <w:lang w:val="es-ES_tradnl"/>
              </w:rPr>
              <w:t>dada vulneraba la obligación de precisión y claridad de la reserva de la información, toda vez que no se precisa el alcance de la reserva ni la autoridad competente para definirla. Según el actor, la norma es indeterminada y de textura abierta y no permite</w:t>
            </w:r>
            <w:r w:rsidRPr="005A2345">
              <w:rPr>
                <w:rFonts w:ascii="Times New Roman" w:hAnsi="Times New Roman" w:cs="Times New Roman"/>
                <w:sz w:val="28"/>
                <w:lang w:val="es-ES_tradnl"/>
              </w:rPr>
              <w:t xml:space="preserve"> establecer, por ejemplo, si la reserva se aplica a todos los asuntos referidos a las conversaciones, acuerdos y negociaciones; aplica solo a los que trate el Gabinete de Paz; cuáles son las condiciones que justifican la reserva; y cuál es la autoridad que</w:t>
            </w:r>
            <w:r w:rsidRPr="005A2345">
              <w:rPr>
                <w:rFonts w:ascii="Times New Roman" w:hAnsi="Times New Roman" w:cs="Times New Roman"/>
                <w:sz w:val="28"/>
                <w:lang w:val="es-ES_tradnl"/>
              </w:rPr>
              <w:t xml:space="preserve"> define la reserva de la información. (ii) La norma demandada no consagra un límite temporal para la reserva. Sobre este punto, señaló que en la sentencia C-540 de 2012, en la que se estudió la ley estatutaria del marco normativo de los organismos de intel</w:t>
            </w:r>
            <w:r w:rsidRPr="005A2345">
              <w:rPr>
                <w:rFonts w:ascii="Times New Roman" w:hAnsi="Times New Roman" w:cs="Times New Roman"/>
                <w:sz w:val="28"/>
                <w:lang w:val="es-ES_tradnl"/>
              </w:rPr>
              <w:t>igencia y contrainteligencia, la Corte estableció que la reserva de la documentación debe ser temporal y que el plazo que se defina debe responder a criterios de razonabilidad y proporcionalidad al bien jurídico que se pretende proteger. Frente a esto, afi</w:t>
            </w:r>
            <w:r w:rsidRPr="005A2345">
              <w:rPr>
                <w:rFonts w:ascii="Times New Roman" w:hAnsi="Times New Roman" w:cs="Times New Roman"/>
                <w:sz w:val="28"/>
                <w:lang w:val="es-ES_tradnl"/>
              </w:rPr>
              <w:t>rmó la demandante que la norma atacada no contiene un tiempo cierto en el que se tenga certeza de levantarse la reserva de la información. (iii) La norma demandada no estableció bajo qué criterio de excepción se inscribe la reserva de la información.</w:t>
            </w:r>
          </w:p>
          <w:p w:rsidR="00AA6FB9" w:rsidRPr="005A2345" w:rsidRDefault="005A2345" w:rsidP="00AA6FB9">
            <w:pPr>
              <w:jc w:val="both"/>
              <w:rPr>
                <w:rFonts w:ascii="Times New Roman" w:hAnsi="Times New Roman" w:cs="Times New Roman"/>
                <w:color w:val="000000"/>
                <w:sz w:val="28"/>
                <w:lang w:val="es-ES_tradnl"/>
              </w:rPr>
            </w:pPr>
          </w:p>
          <w:p w:rsidR="00AA6FB9" w:rsidRPr="005A2345" w:rsidRDefault="005A2345" w:rsidP="00AA6FB9">
            <w:pPr>
              <w:jc w:val="both"/>
              <w:rPr>
                <w:rFonts w:ascii="Times New Roman" w:hAnsi="Times New Roman" w:cs="Times New Roman"/>
                <w:color w:val="000000"/>
                <w:sz w:val="28"/>
              </w:rPr>
            </w:pPr>
            <w:r w:rsidRPr="005A2345">
              <w:rPr>
                <w:rFonts w:ascii="Times New Roman" w:hAnsi="Times New Roman" w:cs="Times New Roman"/>
                <w:color w:val="000000"/>
                <w:sz w:val="28"/>
                <w:lang w:val="es-ES_tradnl"/>
              </w:rPr>
              <w:t>Lueg</w:t>
            </w:r>
            <w:r w:rsidRPr="005A2345">
              <w:rPr>
                <w:rFonts w:ascii="Times New Roman" w:hAnsi="Times New Roman" w:cs="Times New Roman"/>
                <w:color w:val="000000"/>
                <w:sz w:val="28"/>
                <w:lang w:val="es-ES_tradnl"/>
              </w:rPr>
              <w:t>o de concluir que la demanda era apta para ser analizada de fondo, la Sala Plena formuló el siguiente problema jurídico: ¿</w:t>
            </w:r>
            <w:r w:rsidRPr="005A2345">
              <w:rPr>
                <w:rFonts w:ascii="Times New Roman" w:hAnsi="Times New Roman" w:cs="Times New Roman"/>
                <w:color w:val="000000"/>
                <w:sz w:val="28"/>
                <w:lang w:val="es-ES"/>
              </w:rPr>
              <w:t>la reserva que contempla el parágrafo 1</w:t>
            </w:r>
            <w:r w:rsidRPr="005A2345">
              <w:rPr>
                <w:rFonts w:ascii="Times New Roman" w:hAnsi="Times New Roman" w:cs="Times New Roman"/>
                <w:color w:val="000000"/>
                <w:sz w:val="28"/>
                <w:lang w:val="es-ES"/>
              </w:rPr>
              <w:t>º</w:t>
            </w:r>
            <w:r w:rsidRPr="005A2345">
              <w:rPr>
                <w:rFonts w:ascii="Times New Roman" w:hAnsi="Times New Roman" w:cs="Times New Roman"/>
                <w:color w:val="000000"/>
                <w:sz w:val="28"/>
                <w:lang w:val="es-ES"/>
              </w:rPr>
              <w:t xml:space="preserve"> del artículo 6 de la Ley 2272 de 2022 sobre los </w:t>
            </w:r>
            <w:r w:rsidRPr="005A2345">
              <w:rPr>
                <w:rFonts w:ascii="Times New Roman" w:hAnsi="Times New Roman" w:cs="Times New Roman"/>
                <w:color w:val="000000"/>
                <w:sz w:val="28"/>
              </w:rPr>
              <w:t xml:space="preserve">asuntos referidos a conversaciones, acuerdos </w:t>
            </w:r>
            <w:r w:rsidRPr="005A2345">
              <w:rPr>
                <w:rFonts w:ascii="Times New Roman" w:hAnsi="Times New Roman" w:cs="Times New Roman"/>
                <w:color w:val="000000"/>
                <w:sz w:val="28"/>
              </w:rPr>
              <w:t xml:space="preserve">y negociaciones con actores armados que se traten en las sesiones del Gabinete de Paz, así como la información y documentos que se expidan en esta materia, desconoce los derechos de petición y el acceso a la información pública, y con ello, los parámetros </w:t>
            </w:r>
            <w:r w:rsidRPr="005A2345">
              <w:rPr>
                <w:rFonts w:ascii="Times New Roman" w:hAnsi="Times New Roman" w:cs="Times New Roman"/>
                <w:color w:val="000000"/>
                <w:sz w:val="28"/>
              </w:rPr>
              <w:t xml:space="preserve">estatutarios de la </w:t>
            </w:r>
            <w:bookmarkStart w:id="6" w:name="_Hlk181953200"/>
            <w:r w:rsidRPr="005A2345">
              <w:rPr>
                <w:rFonts w:ascii="Times New Roman" w:hAnsi="Times New Roman" w:cs="Times New Roman"/>
                <w:color w:val="000000"/>
                <w:sz w:val="28"/>
              </w:rPr>
              <w:t>Ley 1712 de 2014</w:t>
            </w:r>
            <w:bookmarkEnd w:id="6"/>
            <w:r w:rsidRPr="005A2345">
              <w:rPr>
                <w:rFonts w:ascii="Times New Roman" w:hAnsi="Times New Roman" w:cs="Times New Roman"/>
                <w:color w:val="000000"/>
                <w:sz w:val="28"/>
              </w:rPr>
              <w:t xml:space="preserve"> y la Ley 1755 de 2015</w:t>
            </w:r>
            <w:r w:rsidRPr="005A2345">
              <w:rPr>
                <w:rFonts w:ascii="Times New Roman" w:hAnsi="Times New Roman" w:cs="Times New Roman"/>
                <w:color w:val="000000"/>
                <w:sz w:val="28"/>
              </w:rPr>
              <w:t>?</w:t>
            </w:r>
          </w:p>
          <w:p w:rsidR="00AA6FB9" w:rsidRPr="005A2345" w:rsidRDefault="005A2345" w:rsidP="00AA6FB9">
            <w:pPr>
              <w:jc w:val="both"/>
              <w:rPr>
                <w:rFonts w:ascii="Times New Roman" w:hAnsi="Times New Roman" w:cs="Times New Roman"/>
                <w:color w:val="000000"/>
                <w:sz w:val="28"/>
                <w:lang w:val="es-ES_tradnl"/>
              </w:rPr>
            </w:pPr>
          </w:p>
          <w:p w:rsidR="00AA6FB9" w:rsidRPr="005A2345" w:rsidRDefault="005A2345" w:rsidP="00AA6FB9">
            <w:pPr>
              <w:jc w:val="both"/>
              <w:rPr>
                <w:rFonts w:ascii="Times New Roman" w:hAnsi="Times New Roman" w:cs="Times New Roman"/>
                <w:sz w:val="28"/>
                <w:lang w:val="es-ES"/>
              </w:rPr>
            </w:pPr>
            <w:r w:rsidRPr="005A2345">
              <w:rPr>
                <w:rFonts w:ascii="Times New Roman" w:hAnsi="Times New Roman" w:cs="Times New Roman"/>
                <w:color w:val="000000"/>
                <w:sz w:val="28"/>
                <w:lang w:val="es-ES_tradnl"/>
              </w:rPr>
              <w:t xml:space="preserve">Para resolverlo, desarrolló las siguientes consideraciones jurídicas: </w:t>
            </w:r>
            <w:r w:rsidRPr="005A2345">
              <w:rPr>
                <w:rFonts w:ascii="Times New Roman" w:hAnsi="Times New Roman" w:cs="Times New Roman"/>
                <w:sz w:val="28"/>
                <w:lang w:val="es-ES"/>
              </w:rPr>
              <w:t xml:space="preserve">(i) reiteró la jurisprudencia constitucional sobre el contenido y alcance del derecho al acceso a la información pública y su </w:t>
            </w:r>
            <w:r w:rsidRPr="005A2345">
              <w:rPr>
                <w:rFonts w:ascii="Times New Roman" w:hAnsi="Times New Roman" w:cs="Times New Roman"/>
                <w:sz w:val="28"/>
                <w:lang w:val="es-ES"/>
              </w:rPr>
              <w:t>relación con el derecho de petición, e (ii) hizo una breve referencia al derecho al acceso a la información pública en materia de procesos de paz y de sometimiento a la justicia.</w:t>
            </w:r>
            <w:r w:rsidRPr="005A2345">
              <w:rPr>
                <w:rFonts w:ascii="Times New Roman" w:hAnsi="Times New Roman" w:cs="Times New Roman"/>
                <w:iCs/>
                <w:sz w:val="28"/>
                <w:lang w:val="es-ES"/>
              </w:rPr>
              <w:t xml:space="preserve"> F</w:t>
            </w:r>
            <w:r w:rsidRPr="005A2345">
              <w:rPr>
                <w:rFonts w:ascii="Times New Roman" w:hAnsi="Times New Roman" w:cs="Times New Roman"/>
                <w:sz w:val="28"/>
                <w:lang w:val="es-ES"/>
              </w:rPr>
              <w:t>inalmente, resolvió el cargo propuesto por el demandante. Para el efecto, la</w:t>
            </w:r>
            <w:r w:rsidRPr="005A2345">
              <w:rPr>
                <w:rFonts w:ascii="Times New Roman" w:hAnsi="Times New Roman" w:cs="Times New Roman"/>
                <w:sz w:val="28"/>
                <w:lang w:val="es-ES"/>
              </w:rPr>
              <w:t xml:space="preserve"> Sala primero se refirió a (a) los antecedentes legislativos de la norma demandada y (b) luego analizó la norma demandada a la luz de los estándares estatutarios y jurisprudenciales, con el fin de definir si la reserva de información era o no constituciona</w:t>
            </w:r>
            <w:r w:rsidRPr="005A2345">
              <w:rPr>
                <w:rFonts w:ascii="Times New Roman" w:hAnsi="Times New Roman" w:cs="Times New Roman"/>
                <w:sz w:val="28"/>
                <w:lang w:val="es-ES"/>
              </w:rPr>
              <w:t>l.</w:t>
            </w:r>
          </w:p>
          <w:p w:rsidR="00AA6FB9" w:rsidRPr="005A2345" w:rsidRDefault="005A2345" w:rsidP="00AA6FB9">
            <w:pPr>
              <w:jc w:val="both"/>
              <w:rPr>
                <w:rFonts w:ascii="Times New Roman" w:hAnsi="Times New Roman" w:cs="Times New Roman"/>
                <w:sz w:val="28"/>
                <w:lang w:val="es-ES"/>
              </w:rPr>
            </w:pPr>
          </w:p>
          <w:p w:rsidR="00AA6FB9" w:rsidRPr="005A2345" w:rsidRDefault="005A2345" w:rsidP="00AA6FB9">
            <w:pPr>
              <w:jc w:val="both"/>
              <w:rPr>
                <w:rFonts w:ascii="Times New Roman" w:hAnsi="Times New Roman" w:cs="Times New Roman"/>
                <w:color w:val="000000"/>
                <w:sz w:val="28"/>
                <w:lang w:val="es-ES_tradnl"/>
              </w:rPr>
            </w:pPr>
            <w:r w:rsidRPr="005A2345">
              <w:rPr>
                <w:rFonts w:ascii="Times New Roman" w:hAnsi="Times New Roman" w:cs="Times New Roman"/>
                <w:color w:val="000000"/>
                <w:sz w:val="28"/>
                <w:lang w:val="es-ES_tradnl"/>
              </w:rPr>
              <w:t>Sobre este último asunto, la Sala precisó que el parágrafo establece una facultad del Consejero Comisionado de Paz como miembro del Gabinete de Paz, y encargado de custodiar las actas y demás documentos de sus sesiones, para definir, conforme a la Cons</w:t>
            </w:r>
            <w:r w:rsidRPr="005A2345">
              <w:rPr>
                <w:rFonts w:ascii="Times New Roman" w:hAnsi="Times New Roman" w:cs="Times New Roman"/>
                <w:color w:val="000000"/>
                <w:sz w:val="28"/>
                <w:lang w:val="es-ES_tradnl"/>
              </w:rPr>
              <w:t>titución y las leyes estatutarias aplicables, qué documentos deben ser reservados y motivar las peticiones de acceso que se presenten, de forma suficiente y demostrando la necesidad de la reserva. Esto quiere decir, según la Sala Plena, que la facultad a q</w:t>
            </w:r>
            <w:r w:rsidRPr="005A2345">
              <w:rPr>
                <w:rFonts w:ascii="Times New Roman" w:hAnsi="Times New Roman" w:cs="Times New Roman"/>
                <w:color w:val="000000"/>
                <w:sz w:val="28"/>
                <w:lang w:val="es-ES_tradnl"/>
              </w:rPr>
              <w:t xml:space="preserve">ue se refiere la norma no es absoluta y debe estar definida por la naturaleza misma de los documentos e información que se califique como reservada según la ley. Además, la frase “podrán </w:t>
            </w:r>
            <w:r w:rsidRPr="005A2345">
              <w:rPr>
                <w:rFonts w:ascii="Times New Roman" w:hAnsi="Times New Roman" w:cs="Times New Roman"/>
                <w:color w:val="000000"/>
                <w:sz w:val="28"/>
              </w:rPr>
              <w:t>tener el carácter de reservados”, indica que la reserva debe proceder</w:t>
            </w:r>
            <w:r w:rsidRPr="005A2345">
              <w:rPr>
                <w:rFonts w:ascii="Times New Roman" w:hAnsi="Times New Roman" w:cs="Times New Roman"/>
                <w:color w:val="000000"/>
                <w:sz w:val="28"/>
              </w:rPr>
              <w:t xml:space="preserve"> de forma excepcional</w:t>
            </w:r>
            <w:r w:rsidRPr="005A2345">
              <w:rPr>
                <w:rFonts w:ascii="Times New Roman" w:hAnsi="Times New Roman" w:cs="Times New Roman"/>
                <w:color w:val="000000"/>
                <w:sz w:val="28"/>
              </w:rPr>
              <w:t xml:space="preserve"> y acorde con el régimen estatutario vigente.</w:t>
            </w:r>
          </w:p>
          <w:p w:rsidR="00AA6FB9" w:rsidRPr="005A2345" w:rsidRDefault="005A2345" w:rsidP="00AA6FB9">
            <w:pPr>
              <w:jc w:val="both"/>
              <w:rPr>
                <w:rFonts w:ascii="Times New Roman" w:hAnsi="Times New Roman" w:cs="Times New Roman"/>
                <w:color w:val="000000"/>
                <w:sz w:val="28"/>
              </w:rPr>
            </w:pPr>
          </w:p>
          <w:p w:rsidR="00AA6FB9" w:rsidRPr="005A2345" w:rsidRDefault="005A2345" w:rsidP="00AA6FB9">
            <w:pPr>
              <w:jc w:val="both"/>
              <w:rPr>
                <w:rFonts w:ascii="Times New Roman" w:hAnsi="Times New Roman" w:cs="Times New Roman"/>
                <w:color w:val="000000"/>
                <w:sz w:val="28"/>
              </w:rPr>
            </w:pPr>
            <w:r w:rsidRPr="005A2345">
              <w:rPr>
                <w:rFonts w:ascii="Times New Roman" w:hAnsi="Times New Roman" w:cs="Times New Roman"/>
                <w:color w:val="000000"/>
                <w:sz w:val="28"/>
              </w:rPr>
              <w:t>La Sala distinguió entre los “asuntos referidos a conversaciones (…) y negociaciones con actores armados” y los “acuerdos” con estos grupos. Al respecto precisó que, mientras para las fase</w:t>
            </w:r>
            <w:r w:rsidRPr="005A2345">
              <w:rPr>
                <w:rFonts w:ascii="Times New Roman" w:hAnsi="Times New Roman" w:cs="Times New Roman"/>
                <w:color w:val="000000"/>
                <w:sz w:val="28"/>
              </w:rPr>
              <w:t xml:space="preserve">s de conversaciones y negociaciones, la reserva parecía ser una medida razonable y proporcional, en el caso de los “acuerdos” era una medida desproporcionada. </w:t>
            </w:r>
          </w:p>
          <w:p w:rsidR="00AA6FB9" w:rsidRPr="005A2345" w:rsidRDefault="005A2345" w:rsidP="00AA6FB9">
            <w:pPr>
              <w:jc w:val="both"/>
              <w:rPr>
                <w:rFonts w:ascii="Times New Roman" w:hAnsi="Times New Roman" w:cs="Times New Roman"/>
                <w:color w:val="000000"/>
                <w:sz w:val="28"/>
              </w:rPr>
            </w:pPr>
          </w:p>
          <w:p w:rsidR="00AA6FB9" w:rsidRPr="005A2345" w:rsidRDefault="005A2345" w:rsidP="00AA6FB9">
            <w:pPr>
              <w:jc w:val="both"/>
              <w:rPr>
                <w:rFonts w:ascii="Times New Roman" w:hAnsi="Times New Roman" w:cs="Times New Roman"/>
                <w:sz w:val="28"/>
              </w:rPr>
            </w:pPr>
            <w:r w:rsidRPr="005A2345">
              <w:rPr>
                <w:rFonts w:ascii="Times New Roman" w:hAnsi="Times New Roman" w:cs="Times New Roman"/>
                <w:color w:val="000000"/>
                <w:sz w:val="28"/>
              </w:rPr>
              <w:t xml:space="preserve">La Sala Plena </w:t>
            </w:r>
            <w:r w:rsidRPr="005A2345">
              <w:rPr>
                <w:rFonts w:ascii="Times New Roman" w:hAnsi="Times New Roman" w:cs="Times New Roman"/>
                <w:color w:val="000000"/>
                <w:sz w:val="28"/>
                <w:lang w:val="es-ES_tradnl"/>
              </w:rPr>
              <w:t>desarrolló un test</w:t>
            </w:r>
            <w:r w:rsidRPr="005A2345">
              <w:rPr>
                <w:rFonts w:ascii="Times New Roman" w:hAnsi="Times New Roman" w:cs="Times New Roman"/>
                <w:color w:val="000000"/>
                <w:sz w:val="28"/>
                <w:lang w:val="es-ES_tradnl"/>
              </w:rPr>
              <w:t xml:space="preserve"> tripartito de proporcionalidad sobre la reserva con</w:t>
            </w:r>
            <w:r w:rsidRPr="005A2345">
              <w:rPr>
                <w:rFonts w:ascii="Times New Roman" w:hAnsi="Times New Roman" w:cs="Times New Roman"/>
                <w:color w:val="000000"/>
                <w:sz w:val="28"/>
                <w:lang w:val="es-ES_tradnl"/>
              </w:rPr>
              <w:t xml:space="preserve"> el que con</w:t>
            </w:r>
            <w:r w:rsidRPr="005A2345">
              <w:rPr>
                <w:rFonts w:ascii="Times New Roman" w:hAnsi="Times New Roman" w:cs="Times New Roman"/>
                <w:color w:val="000000"/>
                <w:sz w:val="28"/>
                <w:lang w:val="es-ES_tradnl"/>
              </w:rPr>
              <w:t xml:space="preserve">cluyó </w:t>
            </w:r>
            <w:r w:rsidRPr="005A2345">
              <w:rPr>
                <w:rFonts w:ascii="Times New Roman" w:hAnsi="Times New Roman" w:cs="Times New Roman"/>
                <w:color w:val="000000"/>
                <w:sz w:val="28"/>
                <w:lang w:val="es-ES_tradnl"/>
              </w:rPr>
              <w:t xml:space="preserve">que </w:t>
            </w:r>
            <w:r w:rsidRPr="005A2345">
              <w:rPr>
                <w:rFonts w:ascii="Times New Roman" w:hAnsi="Times New Roman" w:cs="Times New Roman"/>
                <w:color w:val="000000"/>
                <w:sz w:val="28"/>
                <w:lang w:val="es-ES_tradnl"/>
              </w:rPr>
              <w:t xml:space="preserve">(i) en asuntos de procesos de paz y sometimiento a la justicia, un nivel de reserva de información se encuentra justificado por asuntos de seguridad nacional y consecución de la paz. (ii) La medida </w:t>
            </w:r>
            <w:r w:rsidRPr="005A2345">
              <w:rPr>
                <w:rFonts w:ascii="Times New Roman" w:hAnsi="Times New Roman" w:cs="Times New Roman"/>
                <w:sz w:val="28"/>
              </w:rPr>
              <w:t>escogida, además de ser efectivamente conducente</w:t>
            </w:r>
            <w:r w:rsidRPr="005A2345">
              <w:rPr>
                <w:rFonts w:ascii="Times New Roman" w:hAnsi="Times New Roman" w:cs="Times New Roman"/>
                <w:sz w:val="28"/>
              </w:rPr>
              <w:t xml:space="preserve">, es necesaria. La Sala encontró que en </w:t>
            </w:r>
            <w:bookmarkStart w:id="7" w:name="_Hlk178878381"/>
            <w:r w:rsidRPr="005A2345">
              <w:rPr>
                <w:rFonts w:ascii="Times New Roman" w:hAnsi="Times New Roman" w:cs="Times New Roman"/>
                <w:sz w:val="28"/>
              </w:rPr>
              <w:t>los asuntos referidos a conversaciones y negociaciones con actores armados que se traten en las sesiones del Gabinete de Paz, así como la información y documentos que se expidan en esta materia</w:t>
            </w:r>
            <w:bookmarkEnd w:id="7"/>
            <w:r w:rsidRPr="005A2345">
              <w:rPr>
                <w:rFonts w:ascii="Times New Roman" w:hAnsi="Times New Roman" w:cs="Times New Roman"/>
                <w:sz w:val="28"/>
              </w:rPr>
              <w:t xml:space="preserve"> puede haber temas que </w:t>
            </w:r>
            <w:r w:rsidRPr="005A2345">
              <w:rPr>
                <w:rFonts w:ascii="Times New Roman" w:hAnsi="Times New Roman" w:cs="Times New Roman"/>
                <w:sz w:val="28"/>
              </w:rPr>
              <w:t>ameriten una reserva para proteger bienes de interés general, así como datos sensibles de involucrados. Así, la reserva de información es un medio adecuado para proteger bienes que se encuentran en juego en contextos de negociación entre el Estado y grupos</w:t>
            </w:r>
            <w:r w:rsidRPr="005A2345">
              <w:rPr>
                <w:rFonts w:ascii="Times New Roman" w:hAnsi="Times New Roman" w:cs="Times New Roman"/>
                <w:sz w:val="28"/>
              </w:rPr>
              <w:t xml:space="preserve"> armados; y la medida es necesaria, puesto que permite avanzar en las negociaciones bajo la confianza entre las partes. En todo caso, el mismo parágrafo demandado contempla un canal de información periódico como lo es rendir un informe a la Nación acerca d</w:t>
            </w:r>
            <w:r w:rsidRPr="005A2345">
              <w:rPr>
                <w:rFonts w:ascii="Times New Roman" w:hAnsi="Times New Roman" w:cs="Times New Roman"/>
                <w:sz w:val="28"/>
              </w:rPr>
              <w:t>el desarrollo de los diálogos o acercamientos, sin vulnerar los compromisos de reserva pactados en los procesos.</w:t>
            </w:r>
          </w:p>
          <w:p w:rsidR="00AA6FB9" w:rsidRPr="005A2345" w:rsidRDefault="005A2345" w:rsidP="00AA6FB9">
            <w:pPr>
              <w:jc w:val="both"/>
              <w:rPr>
                <w:rFonts w:ascii="Times New Roman" w:hAnsi="Times New Roman" w:cs="Times New Roman"/>
                <w:sz w:val="28"/>
              </w:rPr>
            </w:pPr>
          </w:p>
          <w:p w:rsidR="00AA6FB9" w:rsidRPr="005A2345" w:rsidRDefault="005A2345" w:rsidP="00AA6FB9">
            <w:pPr>
              <w:tabs>
                <w:tab w:val="left" w:pos="426"/>
              </w:tabs>
              <w:contextualSpacing/>
              <w:jc w:val="both"/>
              <w:rPr>
                <w:rFonts w:ascii="Times New Roman" w:hAnsi="Times New Roman" w:cs="Times New Roman"/>
                <w:sz w:val="28"/>
                <w:lang w:eastAsia="es-ES"/>
              </w:rPr>
            </w:pPr>
            <w:r w:rsidRPr="005A2345">
              <w:rPr>
                <w:rFonts w:ascii="Times New Roman" w:hAnsi="Times New Roman" w:cs="Times New Roman"/>
                <w:color w:val="000000"/>
                <w:sz w:val="28"/>
                <w:lang w:val="es-ES_tradnl"/>
              </w:rPr>
              <w:t xml:space="preserve">Finalmente, (iii) la medida es proporcional en sentido estricto, puesto que </w:t>
            </w:r>
            <w:r w:rsidRPr="005A2345">
              <w:rPr>
                <w:rFonts w:ascii="Times New Roman" w:hAnsi="Times New Roman" w:cs="Times New Roman"/>
                <w:sz w:val="28"/>
              </w:rPr>
              <w:t xml:space="preserve">los beneficios de adoptar la reserva no exceden las restricciones </w:t>
            </w:r>
            <w:r w:rsidRPr="005A2345">
              <w:rPr>
                <w:rFonts w:ascii="Times New Roman" w:hAnsi="Times New Roman" w:cs="Times New Roman"/>
                <w:sz w:val="28"/>
              </w:rPr>
              <w:t>impuestas sobre el ejercicio de acceso a la información y a los documentos públicos de los asuntos del Gabinete de Paz. La Sala encontró que</w:t>
            </w:r>
            <w:r w:rsidRPr="005A2345">
              <w:rPr>
                <w:rFonts w:ascii="Times New Roman" w:hAnsi="Times New Roman" w:cs="Times New Roman"/>
                <w:sz w:val="28"/>
                <w:lang w:eastAsia="es-ES"/>
              </w:rPr>
              <w:t xml:space="preserve"> la restricción impuesta al acceso a la documentación o información pública no afecta el ejercicio de este derecho f</w:t>
            </w:r>
            <w:r w:rsidRPr="005A2345">
              <w:rPr>
                <w:rFonts w:ascii="Times New Roman" w:hAnsi="Times New Roman" w:cs="Times New Roman"/>
                <w:sz w:val="28"/>
                <w:lang w:eastAsia="es-ES"/>
              </w:rPr>
              <w:t xml:space="preserve">undamental, toda vez que (i) es eventual y condicionada a los asuntos que se traten y su relación con el interés general; y (ii) la norma dispone canales de publicidad sobre el avance de los procesos y negociaciones de paz que se adelanten por el Gobierno </w:t>
            </w:r>
            <w:r w:rsidRPr="005A2345">
              <w:rPr>
                <w:rFonts w:ascii="Times New Roman" w:hAnsi="Times New Roman" w:cs="Times New Roman"/>
                <w:sz w:val="28"/>
                <w:lang w:eastAsia="es-ES"/>
              </w:rPr>
              <w:t xml:space="preserve">nacional. </w:t>
            </w:r>
          </w:p>
          <w:p w:rsidR="00AA6FB9" w:rsidRPr="005A2345" w:rsidRDefault="005A2345" w:rsidP="00AA6FB9">
            <w:pPr>
              <w:tabs>
                <w:tab w:val="left" w:pos="426"/>
              </w:tabs>
              <w:contextualSpacing/>
              <w:jc w:val="both"/>
              <w:rPr>
                <w:rFonts w:ascii="Times New Roman" w:hAnsi="Times New Roman" w:cs="Times New Roman"/>
                <w:sz w:val="28"/>
                <w:lang w:eastAsia="es-ES"/>
              </w:rPr>
            </w:pPr>
          </w:p>
          <w:p w:rsidR="00AA6FB9" w:rsidRPr="005A2345" w:rsidRDefault="005A2345" w:rsidP="00AA6FB9">
            <w:pPr>
              <w:tabs>
                <w:tab w:val="left" w:pos="426"/>
              </w:tabs>
              <w:contextualSpacing/>
              <w:jc w:val="both"/>
              <w:rPr>
                <w:rFonts w:ascii="Times New Roman" w:hAnsi="Times New Roman" w:cs="Times New Roman"/>
                <w:sz w:val="28"/>
                <w:lang w:eastAsia="es-ES"/>
              </w:rPr>
            </w:pPr>
            <w:r w:rsidRPr="005A2345">
              <w:rPr>
                <w:rFonts w:ascii="Times New Roman" w:hAnsi="Times New Roman" w:cs="Times New Roman"/>
                <w:sz w:val="28"/>
                <w:lang w:eastAsia="es-ES"/>
              </w:rPr>
              <w:t>Sin embargo, la Sala Plena encontró que la norma demandada admitía una interpretación contraria a la Constitución y, por tanto, era necesario condicionar su contenido. Esto, debido a que, como lo sugirió el demandante, podría entenderse que est</w:t>
            </w:r>
            <w:r w:rsidRPr="005A2345">
              <w:rPr>
                <w:rFonts w:ascii="Times New Roman" w:hAnsi="Times New Roman" w:cs="Times New Roman"/>
                <w:sz w:val="28"/>
                <w:lang w:eastAsia="es-ES"/>
              </w:rPr>
              <w:t xml:space="preserve">ablece una facultad muy amplia para determinar la reserva de la información. De acuerdo a ello, decidió condicionar su entendimiento en el sentido de que </w:t>
            </w:r>
            <w:r w:rsidRPr="005A2345">
              <w:rPr>
                <w:rFonts w:ascii="Times New Roman" w:hAnsi="Times New Roman" w:cs="Times New Roman"/>
                <w:sz w:val="28"/>
                <w:lang w:val="es-ES" w:eastAsia="es-ES"/>
              </w:rPr>
              <w:t>la información de las conversaciones y negociaciones con actores armados que se traten en las sesiones</w:t>
            </w:r>
            <w:r w:rsidRPr="005A2345">
              <w:rPr>
                <w:rFonts w:ascii="Times New Roman" w:hAnsi="Times New Roman" w:cs="Times New Roman"/>
                <w:sz w:val="28"/>
                <w:lang w:val="es-ES" w:eastAsia="es-ES"/>
              </w:rPr>
              <w:t xml:space="preserve"> del Gabinete de Paz, así como la información y documentos que se expidan en esta materia, es reservada, según la Constitución y el régimen estatutario vigente y, por tanto, su denegación deberá estar suficientemente motivada y demostrada su necesidad. </w:t>
            </w:r>
          </w:p>
          <w:p w:rsidR="00AA6FB9" w:rsidRPr="005A2345" w:rsidRDefault="005A2345" w:rsidP="00AA6FB9">
            <w:pPr>
              <w:tabs>
                <w:tab w:val="left" w:pos="426"/>
              </w:tabs>
              <w:contextualSpacing/>
              <w:jc w:val="both"/>
              <w:rPr>
                <w:rFonts w:ascii="Times New Roman" w:hAnsi="Times New Roman" w:cs="Times New Roman"/>
                <w:sz w:val="28"/>
                <w:lang w:val="es-ES" w:eastAsia="es-ES"/>
              </w:rPr>
            </w:pPr>
          </w:p>
          <w:p w:rsidR="00AA6FB9" w:rsidRPr="005A2345" w:rsidRDefault="005A2345" w:rsidP="00AA6FB9">
            <w:pPr>
              <w:tabs>
                <w:tab w:val="left" w:pos="426"/>
              </w:tabs>
              <w:contextualSpacing/>
              <w:jc w:val="both"/>
              <w:rPr>
                <w:rFonts w:ascii="Times New Roman" w:hAnsi="Times New Roman" w:cs="Times New Roman"/>
                <w:sz w:val="28"/>
                <w:lang w:eastAsia="es-ES"/>
              </w:rPr>
            </w:pPr>
            <w:r w:rsidRPr="005A2345">
              <w:rPr>
                <w:rFonts w:ascii="Times New Roman" w:hAnsi="Times New Roman" w:cs="Times New Roman"/>
                <w:sz w:val="28"/>
                <w:lang w:val="es-ES" w:eastAsia="es-ES"/>
              </w:rPr>
              <w:t>P</w:t>
            </w:r>
            <w:r w:rsidRPr="005A2345">
              <w:rPr>
                <w:rFonts w:ascii="Times New Roman" w:hAnsi="Times New Roman" w:cs="Times New Roman"/>
                <w:sz w:val="28"/>
                <w:lang w:val="es-ES" w:eastAsia="es-ES"/>
              </w:rPr>
              <w:t xml:space="preserve">or su parte, en cuanto a </w:t>
            </w:r>
            <w:r w:rsidRPr="005A2345">
              <w:rPr>
                <w:rFonts w:ascii="Times New Roman" w:hAnsi="Times New Roman" w:cs="Times New Roman"/>
                <w:sz w:val="28"/>
                <w:lang w:eastAsia="es-ES"/>
              </w:rPr>
              <w:t>los asuntos referidos a los “acuerdos” con actores armados que se traten en las sesiones del Gabinete de Paz, así como la información y documentos que se expidan en esta materia, la Sala lo encontró inconstitucional. Advirtió que u</w:t>
            </w:r>
            <w:r w:rsidRPr="005A2345">
              <w:rPr>
                <w:rFonts w:ascii="Times New Roman" w:hAnsi="Times New Roman" w:cs="Times New Roman"/>
                <w:sz w:val="28"/>
                <w:lang w:eastAsia="es-ES"/>
              </w:rPr>
              <w:t>na vez se alcanza un acuerdo no hay un fin legítimo que deba proteger la reserva de la información. Además, es desproporcionada en estricto sentido, toda vez que se entiende que al ser “acuerdos” se van a</w:t>
            </w:r>
            <w:r w:rsidRPr="005A2345">
              <w:rPr>
                <w:rFonts w:ascii="Times New Roman" w:hAnsi="Times New Roman" w:cs="Times New Roman"/>
                <w:sz w:val="28"/>
                <w:lang w:eastAsia="es-ES"/>
              </w:rPr>
              <w:t xml:space="preserve"> v</w:t>
            </w:r>
            <w:r w:rsidRPr="005A2345">
              <w:rPr>
                <w:rFonts w:ascii="Times New Roman" w:hAnsi="Times New Roman" w:cs="Times New Roman"/>
                <w:sz w:val="28"/>
                <w:lang w:eastAsia="es-ES"/>
              </w:rPr>
              <w:t>er reflejados en las políticas públicas del Estado</w:t>
            </w:r>
            <w:r w:rsidRPr="005A2345">
              <w:rPr>
                <w:rFonts w:ascii="Times New Roman" w:hAnsi="Times New Roman" w:cs="Times New Roman"/>
                <w:sz w:val="28"/>
                <w:lang w:eastAsia="es-ES"/>
              </w:rPr>
              <w:t xml:space="preserve"> y, en consecuencia, como lo indica la misma norma, en la ejecución presupuestal de los Ministerios a cargo, al ser parte de los planes de desarrollo. Lo anterior se ve respaldado con otras disposiciones de la Ley 2272 que contemplan que “se fijarán progra</w:t>
            </w:r>
            <w:r w:rsidRPr="005A2345">
              <w:rPr>
                <w:rFonts w:ascii="Times New Roman" w:hAnsi="Times New Roman" w:cs="Times New Roman"/>
                <w:sz w:val="28"/>
                <w:lang w:eastAsia="es-ES"/>
              </w:rPr>
              <w:t xml:space="preserve">mas, políticas y proyectos dirigidos al cumplimiento de los </w:t>
            </w:r>
            <w:r w:rsidRPr="005A2345">
              <w:rPr>
                <w:rFonts w:ascii="Times New Roman" w:hAnsi="Times New Roman" w:cs="Times New Roman"/>
                <w:i/>
                <w:iCs/>
                <w:sz w:val="28"/>
                <w:lang w:eastAsia="es-ES"/>
              </w:rPr>
              <w:t>acuerdos pactados</w:t>
            </w:r>
            <w:r w:rsidRPr="005A2345">
              <w:rPr>
                <w:rFonts w:ascii="Times New Roman" w:hAnsi="Times New Roman" w:cs="Times New Roman"/>
                <w:sz w:val="28"/>
                <w:lang w:eastAsia="es-ES"/>
              </w:rPr>
              <w:t>” y que establecen que los acuerdos y acuerdos parciales constituyen una política pública de Estado. De acuerdo con ello, no se justifica razonablemente la existencia de una reser</w:t>
            </w:r>
            <w:r w:rsidRPr="005A2345">
              <w:rPr>
                <w:rFonts w:ascii="Times New Roman" w:hAnsi="Times New Roman" w:cs="Times New Roman"/>
                <w:sz w:val="28"/>
                <w:lang w:eastAsia="es-ES"/>
              </w:rPr>
              <w:t xml:space="preserve">va de información sobre la documentación que sea parte de estos acuerdos. </w:t>
            </w:r>
          </w:p>
          <w:p w:rsidR="00AA6FB9" w:rsidRPr="005A2345" w:rsidRDefault="005A2345" w:rsidP="00AA6FB9">
            <w:pPr>
              <w:tabs>
                <w:tab w:val="left" w:pos="426"/>
              </w:tabs>
              <w:contextualSpacing/>
              <w:jc w:val="both"/>
              <w:rPr>
                <w:rFonts w:ascii="Times New Roman" w:hAnsi="Times New Roman" w:cs="Times New Roman"/>
                <w:sz w:val="28"/>
                <w:lang w:eastAsia="es-ES"/>
              </w:rPr>
            </w:pPr>
          </w:p>
          <w:p w:rsidR="009132A2" w:rsidRPr="005A2345" w:rsidRDefault="005A2345" w:rsidP="00AA6FB9">
            <w:pPr>
              <w:tabs>
                <w:tab w:val="left" w:pos="426"/>
              </w:tabs>
              <w:contextualSpacing/>
              <w:jc w:val="both"/>
              <w:rPr>
                <w:rFonts w:ascii="Times New Roman" w:hAnsi="Times New Roman" w:cs="Times New Roman"/>
                <w:sz w:val="28"/>
                <w:lang w:eastAsia="es-ES"/>
              </w:rPr>
            </w:pPr>
            <w:r w:rsidRPr="005A2345">
              <w:rPr>
                <w:rFonts w:ascii="Times New Roman" w:hAnsi="Times New Roman" w:cs="Times New Roman"/>
                <w:sz w:val="28"/>
                <w:lang w:eastAsia="es-ES"/>
              </w:rPr>
              <w:t xml:space="preserve">Por tanto, la Sala Plena declaró inconstitucional la palabra “acuerdos” del parágrafo 1º del artículo 6 de la Ley 2272 de 2022. </w:t>
            </w:r>
          </w:p>
          <w:p w:rsidR="00593E4B" w:rsidRPr="005A2345" w:rsidRDefault="005A2345" w:rsidP="00AA6FB9">
            <w:pPr>
              <w:tabs>
                <w:tab w:val="left" w:pos="426"/>
              </w:tabs>
              <w:contextualSpacing/>
              <w:jc w:val="both"/>
              <w:rPr>
                <w:rFonts w:ascii="Times New Roman" w:hAnsi="Times New Roman" w:cs="Times New Roman"/>
                <w:color w:val="000000" w:themeColor="text1"/>
                <w:sz w:val="28"/>
                <w:lang w:val="es-ES_tradnl"/>
              </w:rPr>
            </w:pPr>
          </w:p>
        </w:tc>
      </w:tr>
    </w:tbl>
    <w:p w:rsidR="00593E4B" w:rsidRPr="005A2345" w:rsidRDefault="005A2345" w:rsidP="008C70B4">
      <w:pPr>
        <w:rPr>
          <w:rFonts w:ascii="Times New Roman" w:hAnsi="Times New Roman" w:cs="Times New Roman"/>
          <w:color w:val="000000" w:themeColor="text1"/>
          <w:sz w:val="28"/>
          <w:lang w:val="es-ES_tradnl"/>
        </w:rPr>
      </w:pPr>
    </w:p>
    <w:p w:rsidR="00593E4B" w:rsidRPr="005A2345" w:rsidRDefault="005A2345" w:rsidP="008C70B4">
      <w:pPr>
        <w:rPr>
          <w:rFonts w:ascii="Times New Roman" w:hAnsi="Times New Roman" w:cs="Times New Roman"/>
          <w:color w:val="000000" w:themeColor="text1"/>
          <w:sz w:val="28"/>
          <w:lang w:val="es-ES_tradnl"/>
        </w:rPr>
      </w:pPr>
    </w:p>
    <w:p w:rsidR="00AD0434" w:rsidRPr="005A2345" w:rsidRDefault="005A2345" w:rsidP="00076595">
      <w:pPr>
        <w:pStyle w:val="Ttulo8"/>
        <w:numPr>
          <w:ilvl w:val="0"/>
          <w:numId w:val="1"/>
        </w:numPr>
        <w:tabs>
          <w:tab w:val="left" w:pos="426"/>
        </w:tabs>
        <w:spacing w:before="0"/>
        <w:ind w:left="0" w:firstLine="0"/>
        <w:rPr>
          <w:rFonts w:ascii="Times New Roman" w:hAnsi="Times New Roman" w:cs="Times New Roman"/>
          <w:b/>
          <w:bCs/>
          <w:color w:val="000000" w:themeColor="text1"/>
          <w:sz w:val="28"/>
          <w:szCs w:val="28"/>
          <w:lang w:val="es-ES_tradnl"/>
        </w:rPr>
      </w:pPr>
      <w:r w:rsidRPr="005A2345">
        <w:rPr>
          <w:rFonts w:ascii="Times New Roman" w:hAnsi="Times New Roman" w:cs="Times New Roman"/>
          <w:b/>
          <w:bCs/>
          <w:color w:val="000000" w:themeColor="text1"/>
          <w:sz w:val="28"/>
          <w:szCs w:val="28"/>
          <w:lang w:val="es-ES_tradnl"/>
        </w:rPr>
        <w:t>ANTECEDENTES</w:t>
      </w:r>
    </w:p>
    <w:p w:rsidR="0043593A" w:rsidRPr="005A2345" w:rsidRDefault="005A2345" w:rsidP="0043593A">
      <w:pPr>
        <w:rPr>
          <w:rFonts w:ascii="Times New Roman" w:hAnsi="Times New Roman" w:cs="Times New Roman"/>
          <w:sz w:val="28"/>
          <w:lang w:val="es-ES_tradnl"/>
        </w:rPr>
      </w:pPr>
    </w:p>
    <w:p w:rsidR="00C72C2B" w:rsidRPr="005A2345" w:rsidRDefault="005A2345" w:rsidP="00076595">
      <w:pPr>
        <w:numPr>
          <w:ilvl w:val="0"/>
          <w:numId w:val="2"/>
        </w:numPr>
        <w:tabs>
          <w:tab w:val="clear" w:pos="750"/>
          <w:tab w:val="left" w:pos="0"/>
          <w:tab w:val="num" w:pos="284"/>
          <w:tab w:val="num" w:pos="426"/>
        </w:tabs>
        <w:overflowPunct w:val="0"/>
        <w:autoSpaceDE w:val="0"/>
        <w:autoSpaceDN w:val="0"/>
        <w:adjustRightInd w:val="0"/>
        <w:ind w:left="0" w:firstLine="0"/>
        <w:jc w:val="both"/>
        <w:textAlignment w:val="baseline"/>
        <w:rPr>
          <w:rFonts w:ascii="Times New Roman" w:hAnsi="Times New Roman" w:cs="Times New Roman"/>
          <w:sz w:val="28"/>
          <w:szCs w:val="28"/>
        </w:rPr>
      </w:pPr>
      <w:bookmarkStart w:id="8" w:name="_Hlk83984603"/>
      <w:r w:rsidRPr="005A2345">
        <w:rPr>
          <w:rFonts w:ascii="Times New Roman" w:hAnsi="Times New Roman" w:cs="Times New Roman"/>
          <w:sz w:val="28"/>
          <w:szCs w:val="28"/>
          <w:lang w:val="es-ES_tradnl"/>
        </w:rPr>
        <w:t xml:space="preserve">En ejercicio de la </w:t>
      </w:r>
      <w:bookmarkStart w:id="9" w:name="_Hlk87254159"/>
      <w:r w:rsidRPr="005A2345">
        <w:rPr>
          <w:rFonts w:ascii="Times New Roman" w:hAnsi="Times New Roman" w:cs="Times New Roman"/>
          <w:sz w:val="28"/>
          <w:szCs w:val="28"/>
          <w:lang w:val="es-ES_tradnl"/>
        </w:rPr>
        <w:t>acción pública</w:t>
      </w:r>
      <w:r w:rsidRPr="005A2345">
        <w:rPr>
          <w:rFonts w:ascii="Times New Roman" w:hAnsi="Times New Roman" w:cs="Times New Roman"/>
          <w:sz w:val="28"/>
          <w:szCs w:val="28"/>
          <w:lang w:val="es-ES_tradnl"/>
        </w:rPr>
        <w:t xml:space="preserve"> de inconstitucionalidad</w:t>
      </w:r>
      <w:bookmarkStart w:id="10" w:name="_Hlk78448939"/>
      <w:r w:rsidRPr="005A2345">
        <w:rPr>
          <w:rFonts w:ascii="Times New Roman" w:hAnsi="Times New Roman" w:cs="Times New Roman"/>
          <w:sz w:val="28"/>
          <w:szCs w:val="28"/>
          <w:lang w:val="es-ES_tradnl"/>
        </w:rPr>
        <w:t xml:space="preserve"> </w:t>
      </w:r>
      <w:bookmarkStart w:id="11" w:name="_Hlk112925937"/>
      <w:bookmarkStart w:id="12" w:name="_Hlk102571620"/>
      <w:r w:rsidRPr="005A2345">
        <w:rPr>
          <w:rFonts w:ascii="Times New Roman" w:hAnsi="Times New Roman" w:cs="Times New Roman"/>
          <w:sz w:val="28"/>
          <w:szCs w:val="28"/>
          <w:lang w:val="es-ES_tradnl"/>
        </w:rPr>
        <w:t xml:space="preserve">el señor Andrés Caro Borrero demandó el parágrafo 1° del artículo 6 de la Ley 2272 de 2022 </w:t>
      </w:r>
      <w:r w:rsidRPr="005A2345">
        <w:rPr>
          <w:rFonts w:ascii="Times New Roman" w:hAnsi="Times New Roman" w:cs="Times New Roman"/>
          <w:sz w:val="28"/>
          <w:szCs w:val="28"/>
        </w:rPr>
        <w:t>“Por medio de la cual se modifica adiciona y prorroga la ley </w:t>
      </w:r>
      <w:hyperlink r:id="rId22" w:anchor="INICIO" w:history="1">
        <w:r w:rsidRPr="005A2345">
          <w:rPr>
            <w:rStyle w:val="Hipervnculo"/>
            <w:rFonts w:ascii="Times New Roman" w:hAnsi="Times New Roman" w:cs="Times New Roman"/>
            <w:color w:val="auto"/>
            <w:sz w:val="28"/>
            <w:szCs w:val="28"/>
            <w:u w:val="none"/>
          </w:rPr>
          <w:t>418</w:t>
        </w:r>
      </w:hyperlink>
      <w:r w:rsidRPr="005A2345">
        <w:rPr>
          <w:rFonts w:ascii="Times New Roman" w:hAnsi="Times New Roman" w:cs="Times New Roman"/>
          <w:sz w:val="28"/>
          <w:szCs w:val="28"/>
        </w:rPr>
        <w:t> de 1997, prorrogada, modificada y adicionada por las Leyes </w:t>
      </w:r>
      <w:hyperlink r:id="rId23" w:anchor="INICIO" w:history="1">
        <w:r w:rsidRPr="005A2345">
          <w:rPr>
            <w:rStyle w:val="Hipervnculo"/>
            <w:rFonts w:ascii="Times New Roman" w:hAnsi="Times New Roman" w:cs="Times New Roman"/>
            <w:color w:val="auto"/>
            <w:sz w:val="28"/>
            <w:szCs w:val="28"/>
            <w:u w:val="none"/>
          </w:rPr>
          <w:t>548</w:t>
        </w:r>
      </w:hyperlink>
      <w:r w:rsidRPr="005A2345">
        <w:rPr>
          <w:rFonts w:ascii="Times New Roman" w:hAnsi="Times New Roman" w:cs="Times New Roman"/>
          <w:sz w:val="28"/>
          <w:szCs w:val="28"/>
        </w:rPr>
        <w:t> de 1999, </w:t>
      </w:r>
      <w:hyperlink r:id="rId24" w:anchor="INICIO" w:history="1">
        <w:r w:rsidRPr="005A2345">
          <w:rPr>
            <w:rStyle w:val="Hipervnculo"/>
            <w:rFonts w:ascii="Times New Roman" w:hAnsi="Times New Roman" w:cs="Times New Roman"/>
            <w:color w:val="auto"/>
            <w:sz w:val="28"/>
            <w:szCs w:val="28"/>
            <w:u w:val="none"/>
          </w:rPr>
          <w:t>782</w:t>
        </w:r>
      </w:hyperlink>
      <w:r w:rsidRPr="005A2345">
        <w:rPr>
          <w:rFonts w:ascii="Times New Roman" w:hAnsi="Times New Roman" w:cs="Times New Roman"/>
          <w:sz w:val="28"/>
          <w:szCs w:val="28"/>
        </w:rPr>
        <w:t> de 2002, </w:t>
      </w:r>
      <w:hyperlink r:id="rId25" w:anchor="INICIO" w:history="1">
        <w:r w:rsidRPr="005A2345">
          <w:rPr>
            <w:rStyle w:val="Hipervnculo"/>
            <w:rFonts w:ascii="Times New Roman" w:hAnsi="Times New Roman" w:cs="Times New Roman"/>
            <w:color w:val="auto"/>
            <w:sz w:val="28"/>
            <w:szCs w:val="28"/>
            <w:u w:val="none"/>
          </w:rPr>
          <w:t>1106</w:t>
        </w:r>
      </w:hyperlink>
      <w:r w:rsidRPr="005A2345">
        <w:rPr>
          <w:rFonts w:ascii="Times New Roman" w:hAnsi="Times New Roman" w:cs="Times New Roman"/>
          <w:sz w:val="28"/>
          <w:szCs w:val="28"/>
        </w:rPr>
        <w:t> de 2006, </w:t>
      </w:r>
      <w:hyperlink r:id="rId26" w:anchor="INICIO" w:history="1">
        <w:r w:rsidRPr="005A2345">
          <w:rPr>
            <w:rStyle w:val="Hipervnculo"/>
            <w:rFonts w:ascii="Times New Roman" w:hAnsi="Times New Roman" w:cs="Times New Roman"/>
            <w:color w:val="auto"/>
            <w:sz w:val="28"/>
            <w:szCs w:val="28"/>
            <w:u w:val="none"/>
          </w:rPr>
          <w:t>142</w:t>
        </w:r>
        <w:r w:rsidRPr="005A2345">
          <w:rPr>
            <w:rStyle w:val="Hipervnculo"/>
            <w:rFonts w:ascii="Times New Roman" w:hAnsi="Times New Roman" w:cs="Times New Roman"/>
            <w:color w:val="auto"/>
            <w:sz w:val="28"/>
            <w:szCs w:val="28"/>
            <w:u w:val="none"/>
          </w:rPr>
          <w:t>1</w:t>
        </w:r>
      </w:hyperlink>
      <w:r w:rsidRPr="005A2345">
        <w:rPr>
          <w:rFonts w:ascii="Times New Roman" w:hAnsi="Times New Roman" w:cs="Times New Roman"/>
          <w:sz w:val="28"/>
          <w:szCs w:val="28"/>
        </w:rPr>
        <w:t> de 2010, </w:t>
      </w:r>
      <w:hyperlink r:id="rId27" w:anchor="INICIO" w:history="1">
        <w:r w:rsidRPr="005A2345">
          <w:rPr>
            <w:rStyle w:val="Hipervnculo"/>
            <w:rFonts w:ascii="Times New Roman" w:hAnsi="Times New Roman" w:cs="Times New Roman"/>
            <w:color w:val="auto"/>
            <w:sz w:val="28"/>
            <w:szCs w:val="28"/>
            <w:u w:val="none"/>
          </w:rPr>
          <w:t>1738</w:t>
        </w:r>
      </w:hyperlink>
      <w:r w:rsidRPr="005A2345">
        <w:rPr>
          <w:rFonts w:ascii="Times New Roman" w:hAnsi="Times New Roman" w:cs="Times New Roman"/>
          <w:sz w:val="28"/>
          <w:szCs w:val="28"/>
        </w:rPr>
        <w:t> de 2014 y </w:t>
      </w:r>
      <w:hyperlink r:id="rId28" w:anchor="INICIO" w:history="1">
        <w:r w:rsidRPr="005A2345">
          <w:rPr>
            <w:rStyle w:val="Hipervnculo"/>
            <w:rFonts w:ascii="Times New Roman" w:hAnsi="Times New Roman" w:cs="Times New Roman"/>
            <w:color w:val="auto"/>
            <w:sz w:val="28"/>
            <w:szCs w:val="28"/>
            <w:u w:val="none"/>
          </w:rPr>
          <w:t>1941</w:t>
        </w:r>
      </w:hyperlink>
      <w:r w:rsidRPr="005A2345">
        <w:rPr>
          <w:rFonts w:ascii="Times New Roman" w:hAnsi="Times New Roman" w:cs="Times New Roman"/>
          <w:sz w:val="28"/>
          <w:szCs w:val="28"/>
        </w:rPr>
        <w:t xml:space="preserve"> de 2018, se define la </w:t>
      </w:r>
      <w:r w:rsidRPr="005A2345">
        <w:rPr>
          <w:rFonts w:ascii="Times New Roman" w:hAnsi="Times New Roman" w:cs="Times New Roman"/>
          <w:sz w:val="28"/>
          <w:szCs w:val="28"/>
        </w:rPr>
        <w:t xml:space="preserve">política de paz de Estado, se crea el servicio social para la paz, y se dictan otras disposiciones”. </w:t>
      </w:r>
      <w:r w:rsidRPr="005A2345">
        <w:rPr>
          <w:rFonts w:ascii="Times New Roman" w:hAnsi="Times New Roman" w:cs="Times New Roman"/>
          <w:sz w:val="28"/>
          <w:szCs w:val="28"/>
          <w:lang w:val="es-ES_tradnl"/>
        </w:rPr>
        <w:t>La demanda fue radicada con el número D-15.</w:t>
      </w:r>
      <w:bookmarkEnd w:id="11"/>
      <w:r w:rsidRPr="005A2345">
        <w:rPr>
          <w:rFonts w:ascii="Times New Roman" w:hAnsi="Times New Roman" w:cs="Times New Roman"/>
          <w:sz w:val="28"/>
          <w:szCs w:val="28"/>
          <w:lang w:val="es-ES_tradnl"/>
        </w:rPr>
        <w:t>736.</w:t>
      </w:r>
    </w:p>
    <w:p w:rsidR="00C72C2B" w:rsidRPr="005A2345" w:rsidRDefault="005A2345" w:rsidP="00C72C2B">
      <w:pPr>
        <w:tabs>
          <w:tab w:val="left" w:pos="0"/>
          <w:tab w:val="num" w:pos="750"/>
        </w:tabs>
        <w:overflowPunct w:val="0"/>
        <w:autoSpaceDE w:val="0"/>
        <w:autoSpaceDN w:val="0"/>
        <w:adjustRightInd w:val="0"/>
        <w:jc w:val="both"/>
        <w:textAlignment w:val="baseline"/>
        <w:rPr>
          <w:rFonts w:ascii="Times New Roman" w:hAnsi="Times New Roman" w:cs="Times New Roman"/>
          <w:sz w:val="28"/>
          <w:szCs w:val="28"/>
        </w:rPr>
      </w:pPr>
    </w:p>
    <w:p w:rsidR="00100120" w:rsidRPr="005A2345" w:rsidRDefault="005A2345" w:rsidP="00076595">
      <w:pPr>
        <w:pStyle w:val="Prrafodelista"/>
        <w:numPr>
          <w:ilvl w:val="0"/>
          <w:numId w:val="2"/>
        </w:numPr>
        <w:tabs>
          <w:tab w:val="clear" w:pos="750"/>
          <w:tab w:val="num" w:pos="360"/>
          <w:tab w:val="left" w:pos="426"/>
        </w:tabs>
        <w:spacing w:after="0" w:line="240" w:lineRule="auto"/>
        <w:ind w:left="0" w:right="51" w:firstLine="0"/>
        <w:jc w:val="both"/>
        <w:rPr>
          <w:rFonts w:ascii="Times New Roman" w:hAnsi="Times New Roman" w:cs="Times New Roman"/>
          <w:lang w:val="es-ES_tradnl"/>
        </w:rPr>
      </w:pPr>
      <w:r w:rsidRPr="005A2345">
        <w:rPr>
          <w:rFonts w:ascii="Times New Roman" w:hAnsi="Times New Roman" w:cs="Times New Roman"/>
          <w:lang w:val="es-ES_tradnl"/>
        </w:rPr>
        <w:t xml:space="preserve">La Sala Plena de la Corporación, en sesión del 28 de febrero de 2024, previo sorteo de rigor, remitió el asunto al </w:t>
      </w:r>
      <w:r w:rsidRPr="005A2345">
        <w:rPr>
          <w:rFonts w:ascii="Times New Roman" w:hAnsi="Times New Roman" w:cs="Times New Roman"/>
          <w:lang w:val="es-ES_tradnl"/>
        </w:rPr>
        <w:t>despacho de la magistrada sustanciadora</w:t>
      </w:r>
      <w:r w:rsidRPr="005A2345">
        <w:rPr>
          <w:rFonts w:ascii="Times New Roman" w:hAnsi="Times New Roman" w:cs="Times New Roman"/>
          <w:lang w:val="es-ES_tradnl"/>
        </w:rPr>
        <w:t xml:space="preserve"> para impartir el trámite correspondiente.</w:t>
      </w:r>
      <w:r w:rsidRPr="005A2345">
        <w:rPr>
          <w:rFonts w:ascii="Times New Roman" w:hAnsi="Times New Roman" w:cs="Times New Roman"/>
          <w:vertAlign w:val="superscript"/>
          <w:lang w:val="es-ES_tradnl"/>
        </w:rPr>
        <w:footnoteReference w:id="1"/>
      </w:r>
      <w:r w:rsidRPr="005A2345">
        <w:rPr>
          <w:rFonts w:ascii="Times New Roman" w:hAnsi="Times New Roman" w:cs="Times New Roman"/>
          <w:lang w:val="es-ES_tradnl"/>
        </w:rPr>
        <w:t xml:space="preserve"> </w:t>
      </w:r>
    </w:p>
    <w:p w:rsidR="00100120" w:rsidRPr="005A2345" w:rsidRDefault="005A2345" w:rsidP="00100120">
      <w:pPr>
        <w:pStyle w:val="Prrafodelista"/>
        <w:tabs>
          <w:tab w:val="left" w:pos="426"/>
        </w:tabs>
        <w:spacing w:after="0" w:line="240" w:lineRule="auto"/>
        <w:ind w:left="0" w:right="51"/>
        <w:jc w:val="both"/>
        <w:rPr>
          <w:rFonts w:ascii="Times New Roman" w:hAnsi="Times New Roman" w:cs="Times New Roman"/>
          <w:lang w:val="es-ES_tradnl"/>
        </w:rPr>
      </w:pPr>
    </w:p>
    <w:p w:rsidR="007D7D21" w:rsidRPr="005A2345" w:rsidRDefault="005A2345" w:rsidP="00076595">
      <w:pPr>
        <w:numPr>
          <w:ilvl w:val="0"/>
          <w:numId w:val="2"/>
        </w:numPr>
        <w:tabs>
          <w:tab w:val="clear" w:pos="750"/>
          <w:tab w:val="num" w:pos="360"/>
        </w:tabs>
        <w:overflowPunct w:val="0"/>
        <w:autoSpaceDE w:val="0"/>
        <w:autoSpaceDN w:val="0"/>
        <w:adjustRightInd w:val="0"/>
        <w:ind w:left="0" w:firstLine="0"/>
        <w:jc w:val="both"/>
        <w:textAlignment w:val="baseline"/>
        <w:rPr>
          <w:rFonts w:ascii="Times New Roman" w:hAnsi="Times New Roman" w:cs="Times New Roman"/>
          <w:iCs/>
          <w:sz w:val="28"/>
          <w:szCs w:val="28"/>
          <w:lang w:val="es-ES_tradnl"/>
        </w:rPr>
      </w:pPr>
      <w:r w:rsidRPr="005A2345">
        <w:rPr>
          <w:rFonts w:ascii="Times New Roman" w:hAnsi="Times New Roman" w:cs="Times New Roman"/>
          <w:iCs/>
          <w:sz w:val="28"/>
          <w:szCs w:val="28"/>
          <w:lang w:val="es-ES_tradnl"/>
        </w:rPr>
        <w:t>Mediante auto del 15 de marzo de 2024, la magistrada sus</w:t>
      </w:r>
      <w:r w:rsidRPr="005A2345">
        <w:rPr>
          <w:rFonts w:ascii="Times New Roman" w:hAnsi="Times New Roman" w:cs="Times New Roman"/>
          <w:iCs/>
          <w:sz w:val="28"/>
          <w:szCs w:val="28"/>
          <w:lang w:val="es-ES_tradnl"/>
        </w:rPr>
        <w:t xml:space="preserve">tanciadora inadmitió la demanda contra el parágrafo 1° del artículo 6 (parcial) de la Ley 2272 de 2022, toda vez que consideró que los cargos no cumplieron con razones claras, ciertas, pertinentes, específicas y suficientes. </w:t>
      </w:r>
    </w:p>
    <w:p w:rsidR="007D7D21" w:rsidRPr="005A2345" w:rsidRDefault="005A2345" w:rsidP="007D7D21">
      <w:pPr>
        <w:tabs>
          <w:tab w:val="num" w:pos="360"/>
        </w:tabs>
        <w:overflowPunct w:val="0"/>
        <w:autoSpaceDE w:val="0"/>
        <w:autoSpaceDN w:val="0"/>
        <w:adjustRightInd w:val="0"/>
        <w:jc w:val="both"/>
        <w:textAlignment w:val="baseline"/>
        <w:rPr>
          <w:rFonts w:ascii="Times New Roman" w:hAnsi="Times New Roman" w:cs="Times New Roman"/>
          <w:iCs/>
          <w:sz w:val="28"/>
          <w:szCs w:val="28"/>
          <w:lang w:val="es-ES_tradnl"/>
        </w:rPr>
      </w:pPr>
    </w:p>
    <w:p w:rsidR="007D7D21" w:rsidRPr="005A2345" w:rsidRDefault="005A2345" w:rsidP="00076595">
      <w:pPr>
        <w:numPr>
          <w:ilvl w:val="0"/>
          <w:numId w:val="2"/>
        </w:numPr>
        <w:tabs>
          <w:tab w:val="clear" w:pos="750"/>
          <w:tab w:val="num" w:pos="360"/>
        </w:tabs>
        <w:overflowPunct w:val="0"/>
        <w:autoSpaceDE w:val="0"/>
        <w:autoSpaceDN w:val="0"/>
        <w:adjustRightInd w:val="0"/>
        <w:ind w:left="0" w:firstLine="0"/>
        <w:jc w:val="both"/>
        <w:textAlignment w:val="baseline"/>
        <w:rPr>
          <w:rFonts w:ascii="Times New Roman" w:hAnsi="Times New Roman" w:cs="Times New Roman"/>
          <w:iCs/>
          <w:sz w:val="28"/>
          <w:szCs w:val="28"/>
        </w:rPr>
      </w:pPr>
      <w:r w:rsidRPr="005A2345">
        <w:rPr>
          <w:rFonts w:ascii="Times New Roman" w:hAnsi="Times New Roman" w:cs="Times New Roman"/>
          <w:iCs/>
          <w:sz w:val="28"/>
          <w:szCs w:val="28"/>
          <w:lang w:val="es-ES_tradnl"/>
        </w:rPr>
        <w:t xml:space="preserve">De acuerdo con el informe de </w:t>
      </w:r>
      <w:r w:rsidRPr="005A2345">
        <w:rPr>
          <w:rFonts w:ascii="Times New Roman" w:hAnsi="Times New Roman" w:cs="Times New Roman"/>
          <w:iCs/>
          <w:sz w:val="28"/>
          <w:szCs w:val="28"/>
          <w:lang w:val="es-ES_tradnl"/>
        </w:rPr>
        <w:t xml:space="preserve">la Secretaría General de esta Corporación del 1° de abril de 2024 se informó al despacho que «[e]l </w:t>
      </w:r>
      <w:r w:rsidRPr="005A2345">
        <w:rPr>
          <w:rFonts w:ascii="Times New Roman" w:hAnsi="Times New Roman" w:cs="Times New Roman"/>
          <w:iCs/>
          <w:sz w:val="28"/>
          <w:szCs w:val="28"/>
        </w:rPr>
        <w:t>proveído de fecha 15 de marzo de 2024, fue notificado mediante estado del 19 de marzo de 2024. El término de ejecutoria transcurrió los días 20, 21 y 22 de m</w:t>
      </w:r>
      <w:r w:rsidRPr="005A2345">
        <w:rPr>
          <w:rFonts w:ascii="Times New Roman" w:hAnsi="Times New Roman" w:cs="Times New Roman"/>
          <w:iCs/>
          <w:sz w:val="28"/>
          <w:szCs w:val="28"/>
        </w:rPr>
        <w:t>arzo de 2024. Dentro del mismo, el 22 de marzo de 2024, se allegó escrito del ciudadano Andrés Caro Borrero, mediante el cual corrige la demanda».</w:t>
      </w:r>
    </w:p>
    <w:p w:rsidR="007D7D21" w:rsidRPr="005A2345" w:rsidRDefault="005A2345" w:rsidP="007D7D21">
      <w:pPr>
        <w:overflowPunct w:val="0"/>
        <w:autoSpaceDE w:val="0"/>
        <w:autoSpaceDN w:val="0"/>
        <w:adjustRightInd w:val="0"/>
        <w:jc w:val="both"/>
        <w:textAlignment w:val="baseline"/>
        <w:rPr>
          <w:rFonts w:ascii="Times New Roman" w:hAnsi="Times New Roman" w:cs="Times New Roman"/>
          <w:iCs/>
          <w:sz w:val="28"/>
          <w:szCs w:val="28"/>
        </w:rPr>
      </w:pPr>
    </w:p>
    <w:p w:rsidR="00064616" w:rsidRPr="005A2345" w:rsidRDefault="005A2345" w:rsidP="00076595">
      <w:pPr>
        <w:numPr>
          <w:ilvl w:val="0"/>
          <w:numId w:val="2"/>
        </w:numPr>
        <w:tabs>
          <w:tab w:val="clear" w:pos="750"/>
          <w:tab w:val="left" w:pos="0"/>
          <w:tab w:val="num" w:pos="284"/>
          <w:tab w:val="num" w:pos="426"/>
        </w:tabs>
        <w:overflowPunct w:val="0"/>
        <w:autoSpaceDE w:val="0"/>
        <w:autoSpaceDN w:val="0"/>
        <w:adjustRightInd w:val="0"/>
        <w:ind w:left="0" w:firstLine="0"/>
        <w:jc w:val="both"/>
        <w:textAlignment w:val="baseline"/>
        <w:rPr>
          <w:rFonts w:ascii="Times New Roman" w:hAnsi="Times New Roman" w:cs="Times New Roman"/>
          <w:sz w:val="28"/>
          <w:szCs w:val="28"/>
        </w:rPr>
      </w:pPr>
      <w:r w:rsidRPr="005A2345">
        <w:rPr>
          <w:rFonts w:ascii="Times New Roman" w:hAnsi="Times New Roman" w:cs="Times New Roman"/>
          <w:sz w:val="28"/>
          <w:szCs w:val="28"/>
        </w:rPr>
        <w:t xml:space="preserve">A través de auto del 12 de abril de 2024 la magistrada sustanciadora admitió la demanda contra </w:t>
      </w:r>
      <w:r w:rsidRPr="005A2345">
        <w:rPr>
          <w:rFonts w:ascii="Times New Roman" w:hAnsi="Times New Roman" w:cs="Times New Roman"/>
          <w:iCs/>
          <w:sz w:val="28"/>
          <w:szCs w:val="28"/>
          <w:lang w:val="es-ES_tradnl"/>
        </w:rPr>
        <w:t xml:space="preserve">el parágrafo </w:t>
      </w:r>
      <w:r w:rsidRPr="005A2345">
        <w:rPr>
          <w:rFonts w:ascii="Times New Roman" w:hAnsi="Times New Roman" w:cs="Times New Roman"/>
          <w:iCs/>
          <w:sz w:val="28"/>
          <w:szCs w:val="28"/>
          <w:lang w:val="es-ES_tradnl"/>
        </w:rPr>
        <w:t xml:space="preserve">1° del artículo 6 (parcial) de la Ley 2272 de 2022 respecto de la presunta violación de </w:t>
      </w:r>
      <w:r w:rsidRPr="005A2345">
        <w:rPr>
          <w:rFonts w:ascii="Times New Roman" w:hAnsi="Times New Roman" w:cs="Times New Roman"/>
          <w:iCs/>
          <w:sz w:val="28"/>
          <w:szCs w:val="28"/>
        </w:rPr>
        <w:t xml:space="preserve">los artículos 23 y 74 de la Constitución Política. En cuanto a la presunta violación de los artículos 20 y 209 de la Carta, los cargos fueron rechazados. </w:t>
      </w:r>
      <w:bookmarkEnd w:id="9"/>
      <w:bookmarkEnd w:id="10"/>
      <w:bookmarkEnd w:id="12"/>
      <w:r w:rsidRPr="005A2345">
        <w:rPr>
          <w:rFonts w:ascii="Times New Roman" w:hAnsi="Times New Roman" w:cs="Times New Roman"/>
          <w:sz w:val="28"/>
          <w:szCs w:val="28"/>
          <w:lang w:val="es-ES"/>
        </w:rPr>
        <w:t xml:space="preserve">En la misma providencia </w:t>
      </w:r>
      <w:r w:rsidRPr="005A2345">
        <w:rPr>
          <w:rFonts w:ascii="Times New Roman" w:hAnsi="Times New Roman" w:cs="Times New Roman"/>
          <w:sz w:val="28"/>
          <w:szCs w:val="28"/>
          <w:lang w:val="es-ES"/>
        </w:rPr>
        <w:t>la magistrada</w:t>
      </w:r>
      <w:r w:rsidRPr="005A2345">
        <w:rPr>
          <w:rFonts w:ascii="Times New Roman" w:hAnsi="Times New Roman" w:cs="Times New Roman"/>
          <w:sz w:val="28"/>
          <w:szCs w:val="28"/>
          <w:lang w:val="es-ES"/>
        </w:rPr>
        <w:t xml:space="preserve"> dispuso: </w:t>
      </w:r>
    </w:p>
    <w:p w:rsidR="00B42987" w:rsidRPr="005A2345" w:rsidRDefault="005A2345" w:rsidP="00DC3525">
      <w:pPr>
        <w:jc w:val="both"/>
        <w:rPr>
          <w:rFonts w:ascii="Times New Roman" w:hAnsi="Times New Roman" w:cs="Times New Roman"/>
          <w:sz w:val="28"/>
          <w:szCs w:val="28"/>
          <w:lang w:val="es-ES"/>
        </w:rPr>
      </w:pPr>
    </w:p>
    <w:p w:rsidR="000F120C" w:rsidRPr="005A2345" w:rsidRDefault="005A2345" w:rsidP="000F120C">
      <w:pPr>
        <w:pBdr>
          <w:top w:val="nil"/>
          <w:left w:val="nil"/>
          <w:bottom w:val="nil"/>
          <w:right w:val="nil"/>
          <w:between w:val="nil"/>
        </w:pBdr>
        <w:ind w:left="851" w:right="618"/>
        <w:jc w:val="both"/>
        <w:rPr>
          <w:rFonts w:ascii="Times New Roman" w:hAnsi="Times New Roman" w:cs="Times New Roman"/>
          <w:sz w:val="28"/>
          <w:szCs w:val="26"/>
        </w:rPr>
      </w:pPr>
      <w:r w:rsidRPr="005A2345">
        <w:rPr>
          <w:rFonts w:ascii="Times New Roman" w:hAnsi="Times New Roman" w:cs="Times New Roman"/>
          <w:sz w:val="28"/>
          <w:szCs w:val="26"/>
          <w:lang w:val="es-ES"/>
        </w:rPr>
        <w:t>«</w:t>
      </w:r>
      <w:r w:rsidRPr="005A2345">
        <w:rPr>
          <w:rFonts w:ascii="Times New Roman" w:hAnsi="Times New Roman" w:cs="Times New Roman"/>
          <w:sz w:val="28"/>
          <w:szCs w:val="26"/>
        </w:rPr>
        <w:t xml:space="preserve">Quinto. FIJAR en lista las normas acusadas por el término de diez (10) días, con el fin de otorgar la oportunidad a todos los ciudadanos de impugnarla o defenderla. </w:t>
      </w:r>
    </w:p>
    <w:p w:rsidR="000F120C" w:rsidRPr="005A2345" w:rsidRDefault="005A2345" w:rsidP="000F120C">
      <w:pPr>
        <w:pBdr>
          <w:top w:val="nil"/>
          <w:left w:val="nil"/>
          <w:bottom w:val="nil"/>
          <w:right w:val="nil"/>
          <w:between w:val="nil"/>
        </w:pBdr>
        <w:ind w:left="851" w:right="618"/>
        <w:jc w:val="both"/>
        <w:rPr>
          <w:rFonts w:ascii="Times New Roman" w:hAnsi="Times New Roman" w:cs="Times New Roman"/>
          <w:sz w:val="28"/>
          <w:szCs w:val="26"/>
        </w:rPr>
      </w:pPr>
    </w:p>
    <w:p w:rsidR="000F120C" w:rsidRPr="005A2345" w:rsidRDefault="005A2345" w:rsidP="000F120C">
      <w:pPr>
        <w:pBdr>
          <w:top w:val="nil"/>
          <w:left w:val="nil"/>
          <w:bottom w:val="nil"/>
          <w:right w:val="nil"/>
          <w:between w:val="nil"/>
        </w:pBdr>
        <w:ind w:left="851" w:right="618"/>
        <w:jc w:val="both"/>
        <w:rPr>
          <w:rFonts w:ascii="Times New Roman" w:hAnsi="Times New Roman" w:cs="Times New Roman"/>
          <w:sz w:val="28"/>
          <w:szCs w:val="26"/>
        </w:rPr>
      </w:pPr>
      <w:r w:rsidRPr="005A2345">
        <w:rPr>
          <w:rFonts w:ascii="Times New Roman" w:hAnsi="Times New Roman" w:cs="Times New Roman"/>
          <w:sz w:val="28"/>
          <w:szCs w:val="26"/>
        </w:rPr>
        <w:t xml:space="preserve">Sexto. COMUNICAR el presente proceso a </w:t>
      </w:r>
      <w:r w:rsidRPr="005A2345">
        <w:rPr>
          <w:rFonts w:ascii="Times New Roman" w:hAnsi="Times New Roman" w:cs="Times New Roman"/>
          <w:sz w:val="28"/>
          <w:szCs w:val="26"/>
        </w:rPr>
        <w:t>la Presidencia de la República, al Congreso de la República, al Ministerio de Defensa Nacional, al Ministerio de Justicia y del Derecho; y al Alto Comisionado para la Paz, para que en el término establecido en el artículo 11 del Decreto 2067 de 1991 expres</w:t>
      </w:r>
      <w:r w:rsidRPr="005A2345">
        <w:rPr>
          <w:rFonts w:ascii="Times New Roman" w:hAnsi="Times New Roman" w:cs="Times New Roman"/>
          <w:sz w:val="28"/>
          <w:szCs w:val="26"/>
        </w:rPr>
        <w:t>en lo que estimen</w:t>
      </w:r>
      <w:r w:rsidRPr="005A2345">
        <w:rPr>
          <w:rFonts w:ascii="Times New Roman" w:hAnsi="Times New Roman" w:cs="Times New Roman"/>
          <w:sz w:val="28"/>
          <w:szCs w:val="26"/>
          <w:lang w:val="es-ES"/>
        </w:rPr>
        <w:t xml:space="preserve"> </w:t>
      </w:r>
      <w:r w:rsidRPr="005A2345">
        <w:rPr>
          <w:rFonts w:ascii="Times New Roman" w:hAnsi="Times New Roman" w:cs="Times New Roman"/>
          <w:sz w:val="28"/>
          <w:szCs w:val="26"/>
        </w:rPr>
        <w:t>conveniente sobre los argumentos de inconstitucionalidad que presenta el demandante</w:t>
      </w:r>
      <w:r w:rsidRPr="005A2345">
        <w:rPr>
          <w:rFonts w:ascii="Times New Roman" w:hAnsi="Times New Roman" w:cs="Times New Roman"/>
          <w:sz w:val="28"/>
          <w:szCs w:val="26"/>
        </w:rPr>
        <w:t xml:space="preserve"> </w:t>
      </w:r>
      <w:r w:rsidRPr="005A2345">
        <w:rPr>
          <w:rFonts w:ascii="Times New Roman" w:hAnsi="Times New Roman" w:cs="Times New Roman"/>
          <w:sz w:val="28"/>
          <w:szCs w:val="26"/>
        </w:rPr>
        <w:t>[</w:t>
      </w:r>
      <w:r w:rsidRPr="005A2345">
        <w:rPr>
          <w:rFonts w:ascii="Times New Roman" w:hAnsi="Times New Roman" w:cs="Times New Roman"/>
          <w:sz w:val="28"/>
          <w:szCs w:val="26"/>
        </w:rPr>
        <w:t>…</w:t>
      </w:r>
      <w:r w:rsidRPr="005A2345">
        <w:rPr>
          <w:rFonts w:ascii="Times New Roman" w:hAnsi="Times New Roman" w:cs="Times New Roman"/>
          <w:sz w:val="28"/>
          <w:szCs w:val="26"/>
        </w:rPr>
        <w:t>]</w:t>
      </w:r>
    </w:p>
    <w:p w:rsidR="000F120C" w:rsidRPr="005A2345" w:rsidRDefault="005A2345" w:rsidP="000F120C">
      <w:pPr>
        <w:pBdr>
          <w:top w:val="nil"/>
          <w:left w:val="nil"/>
          <w:bottom w:val="nil"/>
          <w:right w:val="nil"/>
          <w:between w:val="nil"/>
        </w:pBdr>
        <w:ind w:left="851" w:right="618"/>
        <w:jc w:val="both"/>
        <w:rPr>
          <w:rFonts w:ascii="Times New Roman" w:hAnsi="Times New Roman" w:cs="Times New Roman"/>
          <w:sz w:val="28"/>
          <w:szCs w:val="26"/>
        </w:rPr>
      </w:pPr>
    </w:p>
    <w:p w:rsidR="00F67C94" w:rsidRPr="005A2345" w:rsidRDefault="005A2345" w:rsidP="000F120C">
      <w:pPr>
        <w:pBdr>
          <w:top w:val="nil"/>
          <w:left w:val="nil"/>
          <w:bottom w:val="nil"/>
          <w:right w:val="nil"/>
          <w:between w:val="nil"/>
        </w:pBdr>
        <w:ind w:left="851" w:right="618"/>
        <w:jc w:val="both"/>
        <w:rPr>
          <w:rFonts w:ascii="Times New Roman" w:hAnsi="Times New Roman" w:cs="Times New Roman"/>
          <w:sz w:val="28"/>
          <w:szCs w:val="26"/>
          <w:lang w:val="es-ES"/>
        </w:rPr>
      </w:pPr>
      <w:r w:rsidRPr="005A2345">
        <w:rPr>
          <w:rFonts w:ascii="Times New Roman" w:hAnsi="Times New Roman" w:cs="Times New Roman"/>
          <w:sz w:val="28"/>
          <w:szCs w:val="26"/>
        </w:rPr>
        <w:t>Séptimo. INVITAR a las siguientes instituciones públicas y privadas, para que, si lo estiman conveniente, intervengan en este proceso de constitucion</w:t>
      </w:r>
      <w:r w:rsidRPr="005A2345">
        <w:rPr>
          <w:rFonts w:ascii="Times New Roman" w:hAnsi="Times New Roman" w:cs="Times New Roman"/>
          <w:sz w:val="28"/>
          <w:szCs w:val="26"/>
        </w:rPr>
        <w:t>alidad dentro del término de fijación en lista: al Departamento Nacional de Planeación, a la Defensoría del Pueblo, a la Agencia Nacional de Defensa Jurídica del Estado, a la Academia Colombiana de Jurisprudencia, a las Facultades de Derecho de las Univers</w:t>
      </w:r>
      <w:r w:rsidRPr="005A2345">
        <w:rPr>
          <w:rFonts w:ascii="Times New Roman" w:hAnsi="Times New Roman" w:cs="Times New Roman"/>
          <w:sz w:val="28"/>
          <w:szCs w:val="26"/>
        </w:rPr>
        <w:t>idades de Antioquia, de Los Andes, del Rosario–Grupo de Acciones Públicas-, la Icesi de Cali –Grupo de Acciones Públicas-, de Caldas, del Cauca, EAFIT, Javeriana, Nacional de Colombia, de Nariño, del Norte, Pontificia Bolivariana, de La Sabana, Santo Tomás</w:t>
      </w:r>
      <w:r w:rsidRPr="005A2345">
        <w:rPr>
          <w:rFonts w:ascii="Times New Roman" w:hAnsi="Times New Roman" w:cs="Times New Roman"/>
          <w:sz w:val="28"/>
          <w:szCs w:val="26"/>
        </w:rPr>
        <w:t xml:space="preserve"> y Sergio Arboleda.</w:t>
      </w:r>
    </w:p>
    <w:p w:rsidR="000F120C" w:rsidRPr="005A2345" w:rsidRDefault="005A2345" w:rsidP="000F120C">
      <w:pPr>
        <w:pBdr>
          <w:top w:val="nil"/>
          <w:left w:val="nil"/>
          <w:bottom w:val="nil"/>
          <w:right w:val="nil"/>
          <w:between w:val="nil"/>
        </w:pBdr>
        <w:ind w:left="851" w:right="618"/>
        <w:jc w:val="both"/>
        <w:rPr>
          <w:rFonts w:ascii="Times New Roman" w:hAnsi="Times New Roman" w:cs="Times New Roman"/>
          <w:sz w:val="28"/>
          <w:szCs w:val="26"/>
        </w:rPr>
      </w:pPr>
    </w:p>
    <w:p w:rsidR="000F120C" w:rsidRPr="005A2345" w:rsidRDefault="005A2345" w:rsidP="000F120C">
      <w:pPr>
        <w:pBdr>
          <w:top w:val="nil"/>
          <w:left w:val="nil"/>
          <w:bottom w:val="nil"/>
          <w:right w:val="nil"/>
          <w:between w:val="nil"/>
        </w:pBdr>
        <w:ind w:left="851" w:right="618"/>
        <w:jc w:val="both"/>
        <w:rPr>
          <w:rFonts w:ascii="Times New Roman" w:hAnsi="Times New Roman" w:cs="Times New Roman"/>
          <w:sz w:val="28"/>
          <w:szCs w:val="26"/>
        </w:rPr>
      </w:pPr>
    </w:p>
    <w:p w:rsidR="000F120C" w:rsidRPr="005A2345" w:rsidRDefault="005A2345" w:rsidP="000F120C">
      <w:pPr>
        <w:pBdr>
          <w:top w:val="nil"/>
          <w:left w:val="nil"/>
          <w:bottom w:val="nil"/>
          <w:right w:val="nil"/>
          <w:between w:val="nil"/>
        </w:pBdr>
        <w:ind w:left="851" w:right="618"/>
        <w:jc w:val="both"/>
        <w:rPr>
          <w:rFonts w:ascii="Times New Roman" w:hAnsi="Times New Roman" w:cs="Times New Roman"/>
          <w:sz w:val="28"/>
          <w:szCs w:val="26"/>
        </w:rPr>
      </w:pPr>
      <w:r w:rsidRPr="005A2345">
        <w:rPr>
          <w:rFonts w:ascii="Times New Roman" w:hAnsi="Times New Roman" w:cs="Times New Roman"/>
          <w:sz w:val="28"/>
          <w:szCs w:val="26"/>
        </w:rPr>
        <w:t>Del mismo modo, por su experticia en la materia INVITAR a las siguientes instituciones, para que, si lo estiman conveniente, intervengan en este proceso de constitucionalidad dentro del término de fijación en lista y, específicamente,</w:t>
      </w:r>
      <w:r w:rsidRPr="005A2345">
        <w:rPr>
          <w:rFonts w:ascii="Times New Roman" w:hAnsi="Times New Roman" w:cs="Times New Roman"/>
          <w:sz w:val="28"/>
          <w:szCs w:val="26"/>
        </w:rPr>
        <w:t xml:space="preserve"> en lo relacionado con el acceso a la documentación pública en procesos de paz; Fundación Para la Libertad de Prensa, Fundación Ideas para la Paz, Fundación Karisma, El Veinte, Centro de Estudios de Derechos, Justicia y Sociedad - Dejusticia, Comisión Colo</w:t>
      </w:r>
      <w:r w:rsidRPr="005A2345">
        <w:rPr>
          <w:rFonts w:ascii="Times New Roman" w:hAnsi="Times New Roman" w:cs="Times New Roman"/>
          <w:sz w:val="28"/>
          <w:szCs w:val="26"/>
        </w:rPr>
        <w:t xml:space="preserve">mbiana de Juristas y Asomedios. </w:t>
      </w:r>
    </w:p>
    <w:p w:rsidR="000F120C" w:rsidRPr="005A2345" w:rsidRDefault="005A2345" w:rsidP="000F120C">
      <w:pPr>
        <w:pBdr>
          <w:top w:val="nil"/>
          <w:left w:val="nil"/>
          <w:bottom w:val="nil"/>
          <w:right w:val="nil"/>
          <w:between w:val="nil"/>
        </w:pBdr>
        <w:ind w:left="851" w:right="618"/>
        <w:jc w:val="both"/>
        <w:rPr>
          <w:rFonts w:ascii="Times New Roman" w:hAnsi="Times New Roman" w:cs="Times New Roman"/>
          <w:sz w:val="28"/>
          <w:szCs w:val="26"/>
        </w:rPr>
      </w:pPr>
    </w:p>
    <w:p w:rsidR="00F67C94" w:rsidRPr="005A2345" w:rsidRDefault="005A2345" w:rsidP="000F120C">
      <w:pPr>
        <w:pBdr>
          <w:top w:val="nil"/>
          <w:left w:val="nil"/>
          <w:bottom w:val="nil"/>
          <w:right w:val="nil"/>
          <w:between w:val="nil"/>
        </w:pBdr>
        <w:ind w:left="851" w:right="618"/>
        <w:jc w:val="both"/>
        <w:rPr>
          <w:rFonts w:ascii="Times New Roman" w:hAnsi="Times New Roman" w:cs="Times New Roman"/>
          <w:sz w:val="28"/>
          <w:szCs w:val="26"/>
        </w:rPr>
      </w:pPr>
      <w:r w:rsidRPr="005A2345">
        <w:rPr>
          <w:rFonts w:ascii="Times New Roman" w:hAnsi="Times New Roman" w:cs="Times New Roman"/>
          <w:sz w:val="28"/>
          <w:szCs w:val="26"/>
        </w:rPr>
        <w:t>Octavo. DAR TRASLADO de la presente demanda a la Procuradora General de la Nación, para que rinda concepto en los términos del artículo 7 del Decreto 2067 de 1991.</w:t>
      </w:r>
      <w:r w:rsidRPr="005A2345">
        <w:rPr>
          <w:rFonts w:ascii="Times New Roman" w:hAnsi="Times New Roman" w:cs="Times New Roman"/>
          <w:sz w:val="28"/>
          <w:szCs w:val="26"/>
        </w:rPr>
        <w:t xml:space="preserve"> </w:t>
      </w:r>
      <w:r w:rsidRPr="005A2345">
        <w:rPr>
          <w:rFonts w:ascii="Times New Roman" w:hAnsi="Times New Roman" w:cs="Times New Roman"/>
          <w:sz w:val="28"/>
          <w:szCs w:val="26"/>
        </w:rPr>
        <w:t>[…]</w:t>
      </w:r>
      <w:r w:rsidRPr="005A2345">
        <w:rPr>
          <w:rFonts w:ascii="Times New Roman" w:hAnsi="Times New Roman" w:cs="Times New Roman"/>
          <w:sz w:val="28"/>
          <w:szCs w:val="26"/>
        </w:rPr>
        <w:t>»</w:t>
      </w:r>
    </w:p>
    <w:p w:rsidR="00F67C94" w:rsidRPr="005A2345" w:rsidRDefault="005A2345" w:rsidP="00E64023">
      <w:pPr>
        <w:pBdr>
          <w:top w:val="nil"/>
          <w:left w:val="nil"/>
          <w:bottom w:val="nil"/>
          <w:right w:val="nil"/>
          <w:between w:val="nil"/>
        </w:pBdr>
        <w:jc w:val="both"/>
        <w:rPr>
          <w:rFonts w:ascii="Times New Roman" w:hAnsi="Times New Roman" w:cs="Times New Roman"/>
          <w:sz w:val="28"/>
          <w:szCs w:val="28"/>
          <w:lang w:val="es-ES"/>
        </w:rPr>
      </w:pPr>
    </w:p>
    <w:p w:rsidR="00497676" w:rsidRPr="005A2345" w:rsidRDefault="005A2345" w:rsidP="00076595">
      <w:pPr>
        <w:pStyle w:val="Prrafodelista"/>
        <w:numPr>
          <w:ilvl w:val="0"/>
          <w:numId w:val="2"/>
        </w:numPr>
        <w:pBdr>
          <w:top w:val="nil"/>
          <w:left w:val="nil"/>
          <w:bottom w:val="nil"/>
          <w:right w:val="nil"/>
          <w:between w:val="nil"/>
        </w:pBdr>
        <w:tabs>
          <w:tab w:val="clear" w:pos="750"/>
          <w:tab w:val="num" w:pos="360"/>
        </w:tabs>
        <w:spacing w:after="0" w:line="240" w:lineRule="auto"/>
        <w:ind w:left="0" w:firstLine="0"/>
        <w:jc w:val="both"/>
        <w:rPr>
          <w:rFonts w:ascii="Times New Roman" w:hAnsi="Times New Roman" w:cs="Times New Roman"/>
          <w:lang w:val="es-ES"/>
        </w:rPr>
      </w:pPr>
      <w:r w:rsidRPr="005A2345">
        <w:rPr>
          <w:rFonts w:ascii="Times New Roman" w:hAnsi="Times New Roman" w:cs="Times New Roman"/>
          <w:color w:val="000000"/>
          <w:lang w:val="es-ES_tradnl"/>
        </w:rPr>
        <w:t xml:space="preserve">Cumplidos los trámites constitucionales y legales </w:t>
      </w:r>
      <w:r w:rsidRPr="005A2345">
        <w:rPr>
          <w:rFonts w:ascii="Times New Roman" w:hAnsi="Times New Roman" w:cs="Times New Roman"/>
          <w:color w:val="000000"/>
          <w:lang w:val="es-ES_tradnl"/>
        </w:rPr>
        <w:t>propios de los procesos de constitucionalidad, la Sala Plena de la Corte Constitucional decide la demanda de la referencia.</w:t>
      </w:r>
    </w:p>
    <w:p w:rsidR="00C81636" w:rsidRPr="005A2345" w:rsidRDefault="005A2345" w:rsidP="00E64023">
      <w:pPr>
        <w:ind w:right="56"/>
        <w:rPr>
          <w:rFonts w:ascii="Times New Roman" w:hAnsi="Times New Roman" w:cs="Times New Roman"/>
          <w:color w:val="000000" w:themeColor="text1"/>
          <w:sz w:val="28"/>
          <w:szCs w:val="28"/>
          <w:lang w:val="es-ES_tradnl"/>
        </w:rPr>
      </w:pPr>
    </w:p>
    <w:p w:rsidR="00C81636" w:rsidRPr="005A2345" w:rsidRDefault="005A2345" w:rsidP="00076595">
      <w:pPr>
        <w:pStyle w:val="Ttulo1"/>
        <w:numPr>
          <w:ilvl w:val="0"/>
          <w:numId w:val="1"/>
        </w:numPr>
        <w:tabs>
          <w:tab w:val="left" w:pos="284"/>
          <w:tab w:val="left" w:pos="567"/>
        </w:tabs>
        <w:spacing w:before="0" w:after="0" w:line="240" w:lineRule="auto"/>
        <w:ind w:left="0" w:firstLine="0"/>
        <w:rPr>
          <w:rFonts w:ascii="Times New Roman" w:hAnsi="Times New Roman" w:cs="Times New Roman"/>
          <w:color w:val="000000" w:themeColor="text1"/>
          <w:sz w:val="28"/>
          <w:szCs w:val="28"/>
        </w:rPr>
      </w:pPr>
      <w:r w:rsidRPr="005A2345">
        <w:rPr>
          <w:rFonts w:ascii="Times New Roman" w:hAnsi="Times New Roman" w:cs="Times New Roman"/>
          <w:color w:val="000000" w:themeColor="text1"/>
          <w:sz w:val="28"/>
          <w:szCs w:val="28"/>
        </w:rPr>
        <w:t>NORMA DEMANDADA</w:t>
      </w:r>
    </w:p>
    <w:p w:rsidR="00E64023" w:rsidRPr="005A2345" w:rsidRDefault="005A2345" w:rsidP="00E64023">
      <w:pPr>
        <w:tabs>
          <w:tab w:val="left" w:pos="284"/>
        </w:tabs>
        <w:jc w:val="both"/>
        <w:rPr>
          <w:rFonts w:ascii="Times New Roman" w:hAnsi="Times New Roman" w:cs="Times New Roman"/>
          <w:color w:val="000000" w:themeColor="text1"/>
          <w:sz w:val="28"/>
          <w:szCs w:val="28"/>
        </w:rPr>
      </w:pPr>
    </w:p>
    <w:p w:rsidR="0048136D" w:rsidRPr="005A2345" w:rsidRDefault="005A2345" w:rsidP="00CC4395">
      <w:pPr>
        <w:pStyle w:val="Prrafodelista"/>
        <w:tabs>
          <w:tab w:val="left" w:pos="284"/>
        </w:tabs>
        <w:spacing w:after="0" w:line="240" w:lineRule="auto"/>
        <w:ind w:left="0"/>
        <w:jc w:val="both"/>
        <w:rPr>
          <w:rFonts w:ascii="Times New Roman" w:hAnsi="Times New Roman" w:cs="Times New Roman"/>
          <w:lang w:eastAsia="es-CO"/>
        </w:rPr>
      </w:pPr>
      <w:r w:rsidRPr="005A2345">
        <w:rPr>
          <w:rFonts w:ascii="Times New Roman" w:hAnsi="Times New Roman" w:cs="Times New Roman"/>
          <w:lang w:val="es-ES_tradnl"/>
        </w:rPr>
        <w:t xml:space="preserve">A continuación, se transcribe </w:t>
      </w:r>
      <w:r w:rsidRPr="005A2345">
        <w:rPr>
          <w:rFonts w:ascii="Times New Roman" w:hAnsi="Times New Roman" w:cs="Times New Roman"/>
          <w:lang w:val="es-ES_tradnl"/>
        </w:rPr>
        <w:t xml:space="preserve">y resalta </w:t>
      </w:r>
      <w:r w:rsidRPr="005A2345">
        <w:rPr>
          <w:rFonts w:ascii="Times New Roman" w:hAnsi="Times New Roman" w:cs="Times New Roman"/>
          <w:lang w:val="es-ES_tradnl"/>
        </w:rPr>
        <w:t>la disposici</w:t>
      </w:r>
      <w:r w:rsidRPr="005A2345">
        <w:rPr>
          <w:rFonts w:ascii="Times New Roman" w:hAnsi="Times New Roman" w:cs="Times New Roman"/>
          <w:lang w:val="es-ES_tradnl"/>
        </w:rPr>
        <w:t>ón</w:t>
      </w:r>
      <w:r w:rsidRPr="005A2345">
        <w:rPr>
          <w:rFonts w:ascii="Times New Roman" w:hAnsi="Times New Roman" w:cs="Times New Roman"/>
          <w:lang w:val="es-ES_tradnl"/>
        </w:rPr>
        <w:t xml:space="preserve"> demandada, conforme a su publicación</w:t>
      </w:r>
      <w:r w:rsidRPr="005A2345">
        <w:rPr>
          <w:rFonts w:ascii="Times New Roman" w:hAnsi="Times New Roman" w:cs="Times New Roman"/>
          <w:lang w:val="es-ES_tradnl"/>
        </w:rPr>
        <w:t xml:space="preserve"> </w:t>
      </w:r>
      <w:r w:rsidRPr="005A2345">
        <w:rPr>
          <w:rFonts w:ascii="Times New Roman" w:hAnsi="Times New Roman" w:cs="Times New Roman"/>
          <w:lang w:val="es-ES_tradnl"/>
        </w:rPr>
        <w:t xml:space="preserve">en el </w:t>
      </w:r>
      <w:r w:rsidRPr="005A2345">
        <w:rPr>
          <w:rFonts w:ascii="Times New Roman" w:hAnsi="Times New Roman" w:cs="Times New Roman"/>
          <w:lang w:eastAsia="es-CO"/>
        </w:rPr>
        <w:t xml:space="preserve">Diario Oficial </w:t>
      </w:r>
      <w:r w:rsidRPr="005A2345">
        <w:rPr>
          <w:rFonts w:ascii="Times New Roman" w:hAnsi="Times New Roman" w:cs="Times New Roman"/>
          <w:lang w:eastAsia="es-CO"/>
        </w:rPr>
        <w:t>No. 52.208 de 4 de noviembre de 2022:</w:t>
      </w:r>
    </w:p>
    <w:p w:rsidR="00DE2736" w:rsidRPr="005A2345" w:rsidRDefault="005A2345" w:rsidP="00E64023">
      <w:pPr>
        <w:pBdr>
          <w:top w:val="nil"/>
          <w:left w:val="nil"/>
          <w:bottom w:val="nil"/>
          <w:right w:val="nil"/>
          <w:between w:val="nil"/>
        </w:pBdr>
        <w:tabs>
          <w:tab w:val="left" w:pos="284"/>
        </w:tabs>
        <w:ind w:right="618"/>
        <w:jc w:val="both"/>
        <w:rPr>
          <w:rFonts w:ascii="Times New Roman" w:hAnsi="Times New Roman" w:cs="Times New Roman"/>
          <w:sz w:val="28"/>
          <w:szCs w:val="28"/>
          <w:lang w:val="es-ES"/>
        </w:rPr>
      </w:pPr>
    </w:p>
    <w:p w:rsidR="00E64023" w:rsidRPr="005A2345" w:rsidRDefault="005A2345" w:rsidP="00E64023">
      <w:pPr>
        <w:jc w:val="center"/>
        <w:rPr>
          <w:rFonts w:ascii="Times New Roman" w:hAnsi="Times New Roman" w:cs="Times New Roman"/>
          <w:sz w:val="28"/>
          <w:szCs w:val="28"/>
        </w:rPr>
      </w:pPr>
      <w:r w:rsidRPr="005A2345">
        <w:rPr>
          <w:rFonts w:ascii="Times New Roman" w:hAnsi="Times New Roman" w:cs="Times New Roman"/>
          <w:b/>
          <w:bCs/>
          <w:sz w:val="28"/>
          <w:szCs w:val="28"/>
        </w:rPr>
        <w:t>LEY 2272 DE 2022</w:t>
      </w:r>
    </w:p>
    <w:p w:rsidR="00E64023" w:rsidRPr="005A2345" w:rsidRDefault="005A2345" w:rsidP="00E64023">
      <w:pPr>
        <w:jc w:val="center"/>
        <w:rPr>
          <w:rFonts w:ascii="Times New Roman" w:hAnsi="Times New Roman" w:cs="Times New Roman"/>
          <w:sz w:val="28"/>
          <w:szCs w:val="28"/>
        </w:rPr>
      </w:pPr>
      <w:r w:rsidRPr="005A2345">
        <w:rPr>
          <w:rFonts w:ascii="Times New Roman" w:hAnsi="Times New Roman" w:cs="Times New Roman"/>
          <w:sz w:val="28"/>
          <w:szCs w:val="28"/>
        </w:rPr>
        <w:t>(noviembre 4)</w:t>
      </w:r>
    </w:p>
    <w:p w:rsidR="00E64023" w:rsidRPr="005A2345" w:rsidRDefault="005A2345" w:rsidP="00E64023">
      <w:pPr>
        <w:jc w:val="center"/>
        <w:rPr>
          <w:rFonts w:ascii="Times New Roman" w:hAnsi="Times New Roman" w:cs="Times New Roman"/>
          <w:b/>
          <w:bCs/>
          <w:sz w:val="28"/>
          <w:szCs w:val="28"/>
        </w:rPr>
      </w:pPr>
    </w:p>
    <w:p w:rsidR="00E64023" w:rsidRPr="005A2345" w:rsidRDefault="005A2345" w:rsidP="00E64023">
      <w:pPr>
        <w:jc w:val="center"/>
        <w:rPr>
          <w:rFonts w:ascii="Times New Roman" w:hAnsi="Times New Roman" w:cs="Times New Roman"/>
          <w:sz w:val="28"/>
          <w:szCs w:val="28"/>
        </w:rPr>
      </w:pPr>
      <w:r w:rsidRPr="005A2345">
        <w:rPr>
          <w:rFonts w:ascii="Times New Roman" w:hAnsi="Times New Roman" w:cs="Times New Roman"/>
          <w:b/>
          <w:bCs/>
          <w:sz w:val="28"/>
          <w:szCs w:val="28"/>
        </w:rPr>
        <w:t>PODER PÚBLICO - RAMA LEGISLATIVA</w:t>
      </w:r>
    </w:p>
    <w:p w:rsidR="00E64023" w:rsidRPr="005A2345" w:rsidRDefault="005A2345" w:rsidP="00E64023">
      <w:pPr>
        <w:jc w:val="center"/>
        <w:rPr>
          <w:rFonts w:ascii="Times New Roman" w:hAnsi="Times New Roman" w:cs="Times New Roman"/>
          <w:sz w:val="28"/>
          <w:szCs w:val="28"/>
        </w:rPr>
      </w:pPr>
    </w:p>
    <w:p w:rsidR="00E64023" w:rsidRPr="005A2345" w:rsidRDefault="005A2345" w:rsidP="00E64023">
      <w:pPr>
        <w:jc w:val="center"/>
        <w:rPr>
          <w:rFonts w:ascii="Times New Roman" w:hAnsi="Times New Roman" w:cs="Times New Roman"/>
          <w:sz w:val="28"/>
          <w:szCs w:val="28"/>
        </w:rPr>
      </w:pPr>
      <w:r w:rsidRPr="005A2345">
        <w:rPr>
          <w:rFonts w:ascii="Times New Roman" w:hAnsi="Times New Roman" w:cs="Times New Roman"/>
          <w:sz w:val="28"/>
          <w:szCs w:val="28"/>
        </w:rPr>
        <w:t>Por medio de la cual se modifica adiciona y prorroga la ley </w:t>
      </w:r>
      <w:hyperlink r:id="rId29" w:anchor="INICIO" w:history="1">
        <w:r w:rsidRPr="005A2345">
          <w:rPr>
            <w:rFonts w:ascii="Times New Roman" w:hAnsi="Times New Roman" w:cs="Times New Roman"/>
            <w:sz w:val="28"/>
            <w:szCs w:val="28"/>
          </w:rPr>
          <w:t>418</w:t>
        </w:r>
      </w:hyperlink>
      <w:r w:rsidRPr="005A2345">
        <w:rPr>
          <w:rFonts w:ascii="Times New Roman" w:hAnsi="Times New Roman" w:cs="Times New Roman"/>
          <w:sz w:val="28"/>
          <w:szCs w:val="28"/>
        </w:rPr>
        <w:t> de 1997, prorrogada, modificada y adicionada por las Leyes </w:t>
      </w:r>
      <w:hyperlink r:id="rId30" w:anchor="INICIO" w:history="1">
        <w:r w:rsidRPr="005A2345">
          <w:rPr>
            <w:rFonts w:ascii="Times New Roman" w:hAnsi="Times New Roman" w:cs="Times New Roman"/>
            <w:sz w:val="28"/>
            <w:szCs w:val="28"/>
          </w:rPr>
          <w:t>5</w:t>
        </w:r>
        <w:r w:rsidRPr="005A2345">
          <w:rPr>
            <w:rFonts w:ascii="Times New Roman" w:hAnsi="Times New Roman" w:cs="Times New Roman"/>
            <w:sz w:val="28"/>
            <w:szCs w:val="28"/>
          </w:rPr>
          <w:t>48</w:t>
        </w:r>
      </w:hyperlink>
      <w:r w:rsidRPr="005A2345">
        <w:rPr>
          <w:rFonts w:ascii="Times New Roman" w:hAnsi="Times New Roman" w:cs="Times New Roman"/>
          <w:sz w:val="28"/>
          <w:szCs w:val="28"/>
        </w:rPr>
        <w:t> de 1999, </w:t>
      </w:r>
      <w:hyperlink r:id="rId31" w:anchor="INICIO" w:history="1">
        <w:r w:rsidRPr="005A2345">
          <w:rPr>
            <w:rFonts w:ascii="Times New Roman" w:hAnsi="Times New Roman" w:cs="Times New Roman"/>
            <w:sz w:val="28"/>
            <w:szCs w:val="28"/>
          </w:rPr>
          <w:t>782</w:t>
        </w:r>
      </w:hyperlink>
      <w:r w:rsidRPr="005A2345">
        <w:rPr>
          <w:rFonts w:ascii="Times New Roman" w:hAnsi="Times New Roman" w:cs="Times New Roman"/>
          <w:sz w:val="28"/>
          <w:szCs w:val="28"/>
        </w:rPr>
        <w:t> de 2002, </w:t>
      </w:r>
      <w:hyperlink r:id="rId32" w:anchor="INICIO" w:history="1">
        <w:r w:rsidRPr="005A2345">
          <w:rPr>
            <w:rFonts w:ascii="Times New Roman" w:hAnsi="Times New Roman" w:cs="Times New Roman"/>
            <w:sz w:val="28"/>
            <w:szCs w:val="28"/>
          </w:rPr>
          <w:t>1106</w:t>
        </w:r>
      </w:hyperlink>
      <w:r w:rsidRPr="005A2345">
        <w:rPr>
          <w:rFonts w:ascii="Times New Roman" w:hAnsi="Times New Roman" w:cs="Times New Roman"/>
          <w:sz w:val="28"/>
          <w:szCs w:val="28"/>
        </w:rPr>
        <w:t> de 2006, </w:t>
      </w:r>
      <w:hyperlink r:id="rId33" w:anchor="INICIO" w:history="1">
        <w:r w:rsidRPr="005A2345">
          <w:rPr>
            <w:rFonts w:ascii="Times New Roman" w:hAnsi="Times New Roman" w:cs="Times New Roman"/>
            <w:sz w:val="28"/>
            <w:szCs w:val="28"/>
          </w:rPr>
          <w:t>1421</w:t>
        </w:r>
      </w:hyperlink>
      <w:r w:rsidRPr="005A2345">
        <w:rPr>
          <w:rFonts w:ascii="Times New Roman" w:hAnsi="Times New Roman" w:cs="Times New Roman"/>
          <w:sz w:val="28"/>
          <w:szCs w:val="28"/>
        </w:rPr>
        <w:t> de 2010, </w:t>
      </w:r>
      <w:hyperlink r:id="rId34" w:anchor="INICIO" w:history="1">
        <w:r w:rsidRPr="005A2345">
          <w:rPr>
            <w:rFonts w:ascii="Times New Roman" w:hAnsi="Times New Roman" w:cs="Times New Roman"/>
            <w:sz w:val="28"/>
            <w:szCs w:val="28"/>
          </w:rPr>
          <w:t>1738</w:t>
        </w:r>
      </w:hyperlink>
      <w:r w:rsidRPr="005A2345">
        <w:rPr>
          <w:rFonts w:ascii="Times New Roman" w:hAnsi="Times New Roman" w:cs="Times New Roman"/>
          <w:sz w:val="28"/>
          <w:szCs w:val="28"/>
        </w:rPr>
        <w:t> de 2014 y </w:t>
      </w:r>
      <w:hyperlink r:id="rId35" w:anchor="INICIO" w:history="1">
        <w:r w:rsidRPr="005A2345">
          <w:rPr>
            <w:rFonts w:ascii="Times New Roman" w:hAnsi="Times New Roman" w:cs="Times New Roman"/>
            <w:sz w:val="28"/>
            <w:szCs w:val="28"/>
          </w:rPr>
          <w:t>1941</w:t>
        </w:r>
      </w:hyperlink>
      <w:r w:rsidRPr="005A2345">
        <w:rPr>
          <w:rFonts w:ascii="Times New Roman" w:hAnsi="Times New Roman" w:cs="Times New Roman"/>
          <w:sz w:val="28"/>
          <w:szCs w:val="28"/>
        </w:rPr>
        <w:t> de 2018, se define la política de paz de Estado, se crea el servicio social para la paz, y se dictan otras disposiciones.</w:t>
      </w:r>
    </w:p>
    <w:p w:rsidR="00E64023" w:rsidRPr="005A2345" w:rsidRDefault="005A2345" w:rsidP="00E64023">
      <w:pPr>
        <w:jc w:val="center"/>
        <w:rPr>
          <w:rFonts w:ascii="Times New Roman" w:hAnsi="Times New Roman" w:cs="Times New Roman"/>
          <w:b/>
          <w:bCs/>
          <w:sz w:val="28"/>
          <w:szCs w:val="28"/>
        </w:rPr>
      </w:pPr>
    </w:p>
    <w:p w:rsidR="00E64023" w:rsidRPr="005A2345" w:rsidRDefault="005A2345" w:rsidP="00E64023">
      <w:pPr>
        <w:jc w:val="center"/>
        <w:rPr>
          <w:rFonts w:ascii="Times New Roman" w:hAnsi="Times New Roman" w:cs="Times New Roman"/>
          <w:sz w:val="28"/>
          <w:szCs w:val="28"/>
        </w:rPr>
      </w:pPr>
      <w:r w:rsidRPr="005A2345">
        <w:rPr>
          <w:rFonts w:ascii="Times New Roman" w:hAnsi="Times New Roman" w:cs="Times New Roman"/>
          <w:b/>
          <w:bCs/>
          <w:sz w:val="28"/>
          <w:szCs w:val="28"/>
        </w:rPr>
        <w:t>EL CONGRESO DE COLOMBIA,</w:t>
      </w:r>
    </w:p>
    <w:p w:rsidR="00E64023" w:rsidRPr="005A2345" w:rsidRDefault="005A2345" w:rsidP="00E64023">
      <w:pPr>
        <w:jc w:val="center"/>
        <w:rPr>
          <w:rFonts w:ascii="Times New Roman" w:hAnsi="Times New Roman" w:cs="Times New Roman"/>
          <w:b/>
          <w:bCs/>
          <w:sz w:val="28"/>
          <w:szCs w:val="28"/>
        </w:rPr>
      </w:pPr>
    </w:p>
    <w:p w:rsidR="00E64023" w:rsidRPr="005A2345" w:rsidRDefault="005A2345" w:rsidP="00E64023">
      <w:pPr>
        <w:jc w:val="center"/>
        <w:rPr>
          <w:rFonts w:ascii="Times New Roman" w:hAnsi="Times New Roman" w:cs="Times New Roman"/>
          <w:sz w:val="28"/>
          <w:szCs w:val="28"/>
        </w:rPr>
      </w:pPr>
      <w:r w:rsidRPr="005A2345">
        <w:rPr>
          <w:rFonts w:ascii="Times New Roman" w:hAnsi="Times New Roman" w:cs="Times New Roman"/>
          <w:b/>
          <w:bCs/>
          <w:sz w:val="28"/>
          <w:szCs w:val="28"/>
        </w:rPr>
        <w:t>DECRETA:</w:t>
      </w:r>
    </w:p>
    <w:p w:rsidR="00E64023" w:rsidRPr="005A2345" w:rsidRDefault="005A2345" w:rsidP="00E64023">
      <w:pPr>
        <w:jc w:val="both"/>
        <w:rPr>
          <w:rFonts w:ascii="Times New Roman" w:hAnsi="Times New Roman" w:cs="Times New Roman"/>
          <w:sz w:val="28"/>
          <w:szCs w:val="28"/>
        </w:rPr>
      </w:pPr>
    </w:p>
    <w:p w:rsidR="00E64023" w:rsidRPr="005A2345" w:rsidRDefault="005A2345" w:rsidP="00E64023">
      <w:pPr>
        <w:jc w:val="both"/>
        <w:rPr>
          <w:rFonts w:ascii="Times New Roman" w:hAnsi="Times New Roman" w:cs="Times New Roman"/>
          <w:sz w:val="28"/>
          <w:szCs w:val="28"/>
        </w:rPr>
      </w:pPr>
    </w:p>
    <w:p w:rsidR="00E64023" w:rsidRPr="005A2345" w:rsidRDefault="005A2345" w:rsidP="00E64023">
      <w:pPr>
        <w:jc w:val="center"/>
        <w:rPr>
          <w:rFonts w:ascii="Times New Roman" w:hAnsi="Times New Roman" w:cs="Times New Roman"/>
          <w:b/>
          <w:bCs/>
          <w:sz w:val="28"/>
          <w:szCs w:val="28"/>
        </w:rPr>
      </w:pPr>
      <w:bookmarkStart w:id="13" w:name="CAPÍTULO_II"/>
      <w:r w:rsidRPr="005A2345">
        <w:rPr>
          <w:rFonts w:ascii="Times New Roman" w:hAnsi="Times New Roman" w:cs="Times New Roman"/>
          <w:b/>
          <w:bCs/>
          <w:sz w:val="28"/>
          <w:szCs w:val="28"/>
        </w:rPr>
        <w:t>CAPÍTULO II.</w:t>
      </w:r>
      <w:bookmarkEnd w:id="13"/>
    </w:p>
    <w:p w:rsidR="00E64023" w:rsidRPr="005A2345" w:rsidRDefault="005A2345" w:rsidP="00E64023">
      <w:pPr>
        <w:jc w:val="center"/>
        <w:rPr>
          <w:rFonts w:ascii="Times New Roman" w:hAnsi="Times New Roman" w:cs="Times New Roman"/>
          <w:sz w:val="28"/>
          <w:szCs w:val="28"/>
        </w:rPr>
      </w:pPr>
    </w:p>
    <w:p w:rsidR="00E64023" w:rsidRPr="005A2345" w:rsidRDefault="005A2345" w:rsidP="00E64023">
      <w:pPr>
        <w:jc w:val="center"/>
        <w:rPr>
          <w:rFonts w:ascii="Times New Roman" w:hAnsi="Times New Roman" w:cs="Times New Roman"/>
          <w:sz w:val="28"/>
          <w:szCs w:val="28"/>
        </w:rPr>
      </w:pPr>
      <w:r w:rsidRPr="005A2345">
        <w:rPr>
          <w:rFonts w:ascii="Times New Roman" w:hAnsi="Times New Roman" w:cs="Times New Roman"/>
          <w:b/>
          <w:bCs/>
          <w:sz w:val="28"/>
          <w:szCs w:val="28"/>
        </w:rPr>
        <w:t>MECANISMOS PARA LA PAZ TOTAL.</w:t>
      </w:r>
    </w:p>
    <w:p w:rsidR="00E64023" w:rsidRPr="005A2345" w:rsidRDefault="005A2345" w:rsidP="00E64023">
      <w:pPr>
        <w:jc w:val="center"/>
        <w:rPr>
          <w:rFonts w:ascii="Times New Roman" w:hAnsi="Times New Roman" w:cs="Times New Roman"/>
          <w:sz w:val="28"/>
          <w:szCs w:val="28"/>
        </w:rPr>
      </w:pPr>
    </w:p>
    <w:p w:rsidR="00E64023" w:rsidRPr="005A2345" w:rsidRDefault="005A2345" w:rsidP="00E64023">
      <w:pPr>
        <w:jc w:val="center"/>
        <w:rPr>
          <w:rFonts w:ascii="Times New Roman" w:hAnsi="Times New Roman" w:cs="Times New Roman"/>
          <w:sz w:val="28"/>
          <w:szCs w:val="28"/>
        </w:rPr>
      </w:pPr>
      <w:r w:rsidRPr="005A2345">
        <w:rPr>
          <w:rFonts w:ascii="Times New Roman" w:hAnsi="Times New Roman" w:cs="Times New Roman"/>
          <w:sz w:val="28"/>
          <w:szCs w:val="28"/>
        </w:rPr>
        <w:t>[…]</w:t>
      </w:r>
    </w:p>
    <w:p w:rsidR="00E64023" w:rsidRPr="005A2345" w:rsidRDefault="005A2345" w:rsidP="00CC4395">
      <w:pPr>
        <w:ind w:left="851" w:right="618"/>
        <w:jc w:val="both"/>
        <w:rPr>
          <w:rFonts w:ascii="Times New Roman" w:hAnsi="Times New Roman" w:cs="Times New Roman"/>
          <w:sz w:val="28"/>
          <w:szCs w:val="28"/>
        </w:rPr>
      </w:pPr>
    </w:p>
    <w:p w:rsidR="00E64023" w:rsidRPr="005A2345" w:rsidRDefault="005A2345" w:rsidP="00CC4395">
      <w:pPr>
        <w:ind w:left="851" w:right="618"/>
        <w:jc w:val="both"/>
        <w:rPr>
          <w:rFonts w:ascii="Times New Roman" w:hAnsi="Times New Roman" w:cs="Times New Roman"/>
          <w:sz w:val="28"/>
          <w:szCs w:val="28"/>
        </w:rPr>
      </w:pPr>
      <w:bookmarkStart w:id="14" w:name="6"/>
      <w:r w:rsidRPr="005A2345">
        <w:rPr>
          <w:rFonts w:ascii="Times New Roman" w:hAnsi="Times New Roman" w:cs="Times New Roman"/>
          <w:b/>
          <w:bCs/>
          <w:sz w:val="28"/>
          <w:szCs w:val="28"/>
        </w:rPr>
        <w:t>ARTÍCULO 6o.</w:t>
      </w:r>
      <w:bookmarkEnd w:id="14"/>
      <w:r w:rsidRPr="005A2345">
        <w:rPr>
          <w:rFonts w:ascii="Times New Roman" w:hAnsi="Times New Roman" w:cs="Times New Roman"/>
          <w:sz w:val="28"/>
          <w:szCs w:val="28"/>
        </w:rPr>
        <w:t> Incorpórese un artículo nuevo a la Ley </w:t>
      </w:r>
      <w:hyperlink r:id="rId36" w:anchor="INICIO" w:history="1">
        <w:r w:rsidRPr="005A2345">
          <w:rPr>
            <w:rFonts w:ascii="Times New Roman" w:hAnsi="Times New Roman" w:cs="Times New Roman"/>
            <w:color w:val="0563C1"/>
            <w:sz w:val="28"/>
            <w:szCs w:val="28"/>
            <w:u w:val="single"/>
          </w:rPr>
          <w:t>418</w:t>
        </w:r>
      </w:hyperlink>
      <w:r w:rsidRPr="005A2345">
        <w:rPr>
          <w:rFonts w:ascii="Times New Roman" w:hAnsi="Times New Roman" w:cs="Times New Roman"/>
          <w:sz w:val="28"/>
          <w:szCs w:val="28"/>
        </w:rPr>
        <w:t> de 1997, del siguiente tenor:</w:t>
      </w:r>
    </w:p>
    <w:p w:rsidR="00E64023" w:rsidRPr="005A2345" w:rsidRDefault="005A2345" w:rsidP="00CC4395">
      <w:pPr>
        <w:ind w:left="851" w:right="618"/>
        <w:jc w:val="both"/>
        <w:rPr>
          <w:rFonts w:ascii="Times New Roman" w:hAnsi="Times New Roman" w:cs="Times New Roman"/>
          <w:b/>
          <w:bCs/>
          <w:sz w:val="28"/>
          <w:szCs w:val="28"/>
        </w:rPr>
      </w:pPr>
    </w:p>
    <w:p w:rsidR="00E64023" w:rsidRPr="005A2345" w:rsidRDefault="005A2345" w:rsidP="00CC4395">
      <w:pPr>
        <w:ind w:left="851" w:right="618"/>
        <w:jc w:val="both"/>
        <w:rPr>
          <w:rFonts w:ascii="Times New Roman" w:hAnsi="Times New Roman" w:cs="Times New Roman"/>
          <w:sz w:val="28"/>
          <w:szCs w:val="28"/>
        </w:rPr>
      </w:pPr>
      <w:r w:rsidRPr="005A2345">
        <w:rPr>
          <w:rFonts w:ascii="Times New Roman" w:hAnsi="Times New Roman" w:cs="Times New Roman"/>
          <w:b/>
          <w:bCs/>
          <w:sz w:val="28"/>
          <w:szCs w:val="28"/>
        </w:rPr>
        <w:t>Artículo </w:t>
      </w:r>
      <w:hyperlink r:id="rId37" w:anchor="8A" w:history="1">
        <w:r w:rsidRPr="005A2345">
          <w:rPr>
            <w:rFonts w:ascii="Times New Roman" w:hAnsi="Times New Roman" w:cs="Times New Roman"/>
            <w:b/>
            <w:bCs/>
            <w:color w:val="0563C1"/>
            <w:sz w:val="28"/>
            <w:szCs w:val="28"/>
            <w:u w:val="single"/>
          </w:rPr>
          <w:t>8A</w:t>
        </w:r>
      </w:hyperlink>
      <w:r w:rsidRPr="005A2345">
        <w:rPr>
          <w:rFonts w:ascii="Times New Roman" w:hAnsi="Times New Roman" w:cs="Times New Roman"/>
          <w:b/>
          <w:bCs/>
          <w:sz w:val="28"/>
          <w:szCs w:val="28"/>
        </w:rPr>
        <w:t>. Gabinete de Paz. </w:t>
      </w:r>
      <w:r w:rsidRPr="005A2345">
        <w:rPr>
          <w:rFonts w:ascii="Times New Roman" w:hAnsi="Times New Roman" w:cs="Times New Roman"/>
          <w:sz w:val="28"/>
          <w:szCs w:val="28"/>
        </w:rPr>
        <w:t xml:space="preserve">Cada uno de los Ministerios que conforman el Gobierno nacional deberá definir los componentes de la política pública de paz que hagan parte de su competencia. En sesiones bimestrales o cuando así lo </w:t>
      </w:r>
      <w:r w:rsidRPr="005A2345">
        <w:rPr>
          <w:rFonts w:ascii="Times New Roman" w:hAnsi="Times New Roman" w:cs="Times New Roman"/>
          <w:sz w:val="28"/>
          <w:szCs w:val="28"/>
        </w:rPr>
        <w:t>determine el Presidente de la República, el Gabinete Ministerial sesionará como Gabinete de Paz. En esas sesiones los Ministerios presentarán informes sobre los asuntos a su cargo en esta materia.</w:t>
      </w:r>
    </w:p>
    <w:p w:rsidR="00E64023" w:rsidRPr="005A2345" w:rsidRDefault="005A2345" w:rsidP="00CC4395">
      <w:pPr>
        <w:ind w:left="851" w:right="618"/>
        <w:jc w:val="both"/>
        <w:rPr>
          <w:rFonts w:ascii="Times New Roman" w:hAnsi="Times New Roman" w:cs="Times New Roman"/>
          <w:sz w:val="28"/>
          <w:szCs w:val="28"/>
        </w:rPr>
      </w:pPr>
    </w:p>
    <w:p w:rsidR="00E64023" w:rsidRPr="005A2345" w:rsidRDefault="005A2345" w:rsidP="00CC4395">
      <w:pPr>
        <w:ind w:left="851" w:right="618"/>
        <w:jc w:val="both"/>
        <w:rPr>
          <w:rFonts w:ascii="Times New Roman" w:hAnsi="Times New Roman" w:cs="Times New Roman"/>
          <w:sz w:val="28"/>
          <w:szCs w:val="28"/>
          <w:u w:val="single"/>
        </w:rPr>
      </w:pPr>
      <w:bookmarkStart w:id="15" w:name="_Hlk179386890"/>
      <w:r w:rsidRPr="005A2345">
        <w:rPr>
          <w:rFonts w:ascii="Times New Roman" w:hAnsi="Times New Roman" w:cs="Times New Roman"/>
          <w:b/>
          <w:bCs/>
          <w:sz w:val="28"/>
          <w:szCs w:val="28"/>
        </w:rPr>
        <w:t>PARÁGRAFO 1o. </w:t>
      </w:r>
      <w:r w:rsidRPr="005A2345">
        <w:rPr>
          <w:rFonts w:ascii="Times New Roman" w:hAnsi="Times New Roman" w:cs="Times New Roman"/>
          <w:sz w:val="28"/>
          <w:szCs w:val="28"/>
          <w:u w:val="single"/>
        </w:rPr>
        <w:t>El Gabinete de Paz será convocado por el Pre</w:t>
      </w:r>
      <w:r w:rsidRPr="005A2345">
        <w:rPr>
          <w:rFonts w:ascii="Times New Roman" w:hAnsi="Times New Roman" w:cs="Times New Roman"/>
          <w:sz w:val="28"/>
          <w:szCs w:val="28"/>
          <w:u w:val="single"/>
        </w:rPr>
        <w:t xml:space="preserve">sidente de la República o por quien él designe, </w:t>
      </w:r>
      <w:bookmarkStart w:id="16" w:name="_Hlk179213660"/>
      <w:r w:rsidRPr="005A2345">
        <w:rPr>
          <w:rFonts w:ascii="Times New Roman" w:hAnsi="Times New Roman" w:cs="Times New Roman"/>
          <w:sz w:val="28"/>
          <w:szCs w:val="28"/>
          <w:u w:val="single"/>
        </w:rPr>
        <w:t>y los asuntos referidos a conversaciones, acuerdos y negociaciones con actores armados que se traten en sus sesiones, así como la información y documentos que se expidan en esta materia, podrán tener el carác</w:t>
      </w:r>
      <w:r w:rsidRPr="005A2345">
        <w:rPr>
          <w:rFonts w:ascii="Times New Roman" w:hAnsi="Times New Roman" w:cs="Times New Roman"/>
          <w:sz w:val="28"/>
          <w:szCs w:val="28"/>
          <w:u w:val="single"/>
        </w:rPr>
        <w:t>ter de reservados, excepto la información relacionada con la ejecución presupuestal de los Ministerios.</w:t>
      </w:r>
      <w:bookmarkEnd w:id="16"/>
      <w:r w:rsidRPr="005A2345">
        <w:rPr>
          <w:rFonts w:ascii="Times New Roman" w:hAnsi="Times New Roman" w:cs="Times New Roman"/>
          <w:sz w:val="28"/>
          <w:szCs w:val="28"/>
          <w:u w:val="single"/>
        </w:rPr>
        <w:t xml:space="preserve"> A sus sesiones podrán ser invitadas las autoridades que defina el Presidente de la República. Deberá rendir un informe a la Nación acerca del desarrollo</w:t>
      </w:r>
      <w:r w:rsidRPr="005A2345">
        <w:rPr>
          <w:rFonts w:ascii="Times New Roman" w:hAnsi="Times New Roman" w:cs="Times New Roman"/>
          <w:sz w:val="28"/>
          <w:szCs w:val="28"/>
          <w:u w:val="single"/>
        </w:rPr>
        <w:t xml:space="preserve"> de los diálogos o acercamientos, sin vulnerar los compromisos de reserva pactados en los procesos.</w:t>
      </w:r>
    </w:p>
    <w:bookmarkEnd w:id="15"/>
    <w:p w:rsidR="00E64023" w:rsidRPr="005A2345" w:rsidRDefault="005A2345" w:rsidP="00CC4395">
      <w:pPr>
        <w:ind w:left="851" w:right="618"/>
        <w:jc w:val="both"/>
        <w:rPr>
          <w:rFonts w:ascii="Times New Roman" w:hAnsi="Times New Roman" w:cs="Times New Roman"/>
          <w:sz w:val="28"/>
          <w:szCs w:val="28"/>
        </w:rPr>
      </w:pPr>
    </w:p>
    <w:p w:rsidR="00E64023" w:rsidRPr="005A2345" w:rsidRDefault="005A2345" w:rsidP="00CC4395">
      <w:pPr>
        <w:ind w:left="851" w:right="618"/>
        <w:jc w:val="both"/>
        <w:rPr>
          <w:rFonts w:ascii="Times New Roman" w:hAnsi="Times New Roman" w:cs="Times New Roman"/>
          <w:sz w:val="28"/>
          <w:szCs w:val="28"/>
        </w:rPr>
      </w:pPr>
      <w:r w:rsidRPr="005A2345">
        <w:rPr>
          <w:rFonts w:ascii="Times New Roman" w:hAnsi="Times New Roman" w:cs="Times New Roman"/>
          <w:b/>
          <w:bCs/>
          <w:sz w:val="28"/>
          <w:szCs w:val="28"/>
        </w:rPr>
        <w:t>PARÁGRAFO 2o. </w:t>
      </w:r>
      <w:r w:rsidRPr="005A2345">
        <w:rPr>
          <w:rFonts w:ascii="Times New Roman" w:hAnsi="Times New Roman" w:cs="Times New Roman"/>
          <w:sz w:val="28"/>
          <w:szCs w:val="28"/>
        </w:rPr>
        <w:t>El Presidente de la República podrá convocar a las sesiones del Gabinete de Paz a los representantes autorizados por el Gobierno nacional que</w:t>
      </w:r>
      <w:r w:rsidRPr="005A2345">
        <w:rPr>
          <w:rFonts w:ascii="Times New Roman" w:hAnsi="Times New Roman" w:cs="Times New Roman"/>
          <w:sz w:val="28"/>
          <w:szCs w:val="28"/>
        </w:rPr>
        <w:t xml:space="preserve"> participen de diálogos, acercamientos, negociaciones o firma de acuerdos de paz, así como a otros servidores públicos, integrantes de las Comisiones de Paz del Congreso de la República, Gobernadores y Alcaldes de zonas afectadas por el conflicto o represe</w:t>
      </w:r>
      <w:r w:rsidRPr="005A2345">
        <w:rPr>
          <w:rFonts w:ascii="Times New Roman" w:hAnsi="Times New Roman" w:cs="Times New Roman"/>
          <w:sz w:val="28"/>
          <w:szCs w:val="28"/>
        </w:rPr>
        <w:t>ntantes de la sociedad civil que, por autorización del Presidente de la República, participen de los mismos.</w:t>
      </w:r>
    </w:p>
    <w:p w:rsidR="00E64023" w:rsidRPr="005A2345" w:rsidRDefault="005A2345" w:rsidP="00CC4395">
      <w:pPr>
        <w:ind w:left="851" w:right="618"/>
        <w:jc w:val="both"/>
        <w:rPr>
          <w:rFonts w:ascii="Times New Roman" w:hAnsi="Times New Roman" w:cs="Times New Roman"/>
          <w:sz w:val="28"/>
          <w:szCs w:val="28"/>
        </w:rPr>
      </w:pPr>
    </w:p>
    <w:p w:rsidR="00E64023" w:rsidRPr="005A2345" w:rsidRDefault="005A2345" w:rsidP="00CC4395">
      <w:pPr>
        <w:ind w:left="851" w:right="618"/>
        <w:jc w:val="both"/>
        <w:rPr>
          <w:rFonts w:ascii="Times New Roman" w:hAnsi="Times New Roman" w:cs="Times New Roman"/>
          <w:sz w:val="28"/>
          <w:szCs w:val="28"/>
        </w:rPr>
      </w:pPr>
      <w:r w:rsidRPr="005A2345">
        <w:rPr>
          <w:rFonts w:ascii="Times New Roman" w:hAnsi="Times New Roman" w:cs="Times New Roman"/>
          <w:sz w:val="28"/>
          <w:szCs w:val="28"/>
        </w:rPr>
        <w:t>El Alto Comisionado para la Paz será invitado permanente a las sesiones del Gabinete de Paz.»</w:t>
      </w:r>
    </w:p>
    <w:p w:rsidR="00E64023" w:rsidRPr="005A2345" w:rsidRDefault="005A2345" w:rsidP="004F1C02">
      <w:pPr>
        <w:pBdr>
          <w:top w:val="nil"/>
          <w:left w:val="nil"/>
          <w:bottom w:val="nil"/>
          <w:right w:val="nil"/>
          <w:between w:val="nil"/>
        </w:pBdr>
        <w:ind w:right="618"/>
        <w:jc w:val="both"/>
        <w:rPr>
          <w:rFonts w:ascii="Times New Roman" w:hAnsi="Times New Roman" w:cs="Times New Roman"/>
          <w:sz w:val="28"/>
        </w:rPr>
      </w:pPr>
    </w:p>
    <w:p w:rsidR="00C81636" w:rsidRPr="005A2345" w:rsidRDefault="005A2345" w:rsidP="00076595">
      <w:pPr>
        <w:pStyle w:val="Ttulo1"/>
        <w:numPr>
          <w:ilvl w:val="0"/>
          <w:numId w:val="1"/>
        </w:numPr>
        <w:tabs>
          <w:tab w:val="left" w:pos="426"/>
          <w:tab w:val="left" w:pos="993"/>
        </w:tabs>
        <w:spacing w:before="0" w:after="0" w:line="240" w:lineRule="auto"/>
        <w:ind w:left="0" w:firstLine="0"/>
        <w:rPr>
          <w:rFonts w:ascii="Times New Roman" w:hAnsi="Times New Roman" w:cs="Times New Roman"/>
          <w:color w:val="000000" w:themeColor="text1"/>
          <w:sz w:val="28"/>
          <w:szCs w:val="28"/>
          <w:lang w:val="es-ES_tradnl"/>
        </w:rPr>
      </w:pPr>
      <w:r w:rsidRPr="005A2345">
        <w:rPr>
          <w:rFonts w:ascii="Times New Roman" w:hAnsi="Times New Roman" w:cs="Times New Roman"/>
          <w:color w:val="000000" w:themeColor="text1"/>
          <w:sz w:val="28"/>
          <w:szCs w:val="28"/>
          <w:lang w:val="es-ES_tradnl"/>
        </w:rPr>
        <w:t xml:space="preserve"> </w:t>
      </w:r>
      <w:r w:rsidRPr="005A2345">
        <w:rPr>
          <w:rFonts w:ascii="Times New Roman" w:hAnsi="Times New Roman" w:cs="Times New Roman"/>
          <w:color w:val="000000" w:themeColor="text1"/>
          <w:sz w:val="28"/>
          <w:szCs w:val="28"/>
          <w:lang w:val="es-ES_tradnl"/>
        </w:rPr>
        <w:t>DEMANDA</w:t>
      </w:r>
    </w:p>
    <w:p w:rsidR="00F75368" w:rsidRPr="005A2345" w:rsidRDefault="005A2345" w:rsidP="009466EC">
      <w:pPr>
        <w:tabs>
          <w:tab w:val="left" w:pos="426"/>
        </w:tabs>
        <w:jc w:val="both"/>
        <w:rPr>
          <w:rFonts w:ascii="Times New Roman" w:hAnsi="Times New Roman" w:cs="Times New Roman"/>
          <w:sz w:val="28"/>
          <w:lang w:val="es-ES_tradnl" w:eastAsia="es-ES"/>
        </w:rPr>
      </w:pPr>
    </w:p>
    <w:p w:rsidR="00CC4395" w:rsidRPr="005A2345" w:rsidRDefault="005A2345" w:rsidP="0038734C">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lang w:val="es-ES_tradnl"/>
        </w:rPr>
        <w:t xml:space="preserve"> </w:t>
      </w:r>
      <w:r w:rsidRPr="005A2345">
        <w:rPr>
          <w:rFonts w:ascii="Times New Roman" w:hAnsi="Times New Roman" w:cs="Times New Roman"/>
          <w:lang w:val="es-ES_tradnl"/>
        </w:rPr>
        <w:t>En el escrito principal de la demanda, el actor propuso tres cargos en los que desarrolló varias razones de inconstitucionalidad contra el parágrafo 1º del artículo 6 de la Ley 2272 de 2022. Sin embargo, en etapa de admisión el despacho sustanciador admiti</w:t>
      </w:r>
      <w:r w:rsidRPr="005A2345">
        <w:rPr>
          <w:rFonts w:ascii="Times New Roman" w:hAnsi="Times New Roman" w:cs="Times New Roman"/>
          <w:lang w:val="es-ES_tradnl"/>
        </w:rPr>
        <w:t xml:space="preserve">ó solo un cargo que sostiene que la norma demandada desconoce lo establecido en los artículos 23 y 74 de la Carta Política. A continuación, se hará referencia a las razones expuestas por el actor respecto del cargo admitido. </w:t>
      </w:r>
    </w:p>
    <w:p w:rsidR="0038734C" w:rsidRPr="005A2345" w:rsidRDefault="005A2345" w:rsidP="0038734C">
      <w:pPr>
        <w:pStyle w:val="Prrafodelista"/>
        <w:tabs>
          <w:tab w:val="left" w:pos="284"/>
          <w:tab w:val="left" w:pos="426"/>
        </w:tabs>
        <w:spacing w:after="0" w:line="240" w:lineRule="auto"/>
        <w:ind w:left="0"/>
        <w:jc w:val="both"/>
        <w:rPr>
          <w:rFonts w:ascii="Times New Roman" w:hAnsi="Times New Roman" w:cs="Times New Roman"/>
          <w:lang w:val="es-ES_tradnl"/>
        </w:rPr>
      </w:pPr>
    </w:p>
    <w:p w:rsidR="00255BA2" w:rsidRPr="005A2345" w:rsidRDefault="005A2345" w:rsidP="00255BA2">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lang w:val="es-ES_tradnl"/>
        </w:rPr>
        <w:t>El demandante sostuvo que la norma que ataca vulnera los derechos fundamentales de petición y de acceso a los documentos públicos, así como la Convención Americana sobre Derechos Humanos y del Pacto Internacional de Derechos Civiles y Políticos en punto al</w:t>
      </w:r>
      <w:r w:rsidRPr="005A2345">
        <w:rPr>
          <w:rFonts w:ascii="Times New Roman" w:hAnsi="Times New Roman" w:cs="Times New Roman"/>
          <w:lang w:val="es-ES_tradnl"/>
        </w:rPr>
        <w:t xml:space="preserve"> derecho de acceso a la información y de la Ley Estatutaria 1712 de 2014 sobre excepciones de acceso a la información. Advirtió que </w:t>
      </w:r>
      <w:r w:rsidRPr="005A2345">
        <w:rPr>
          <w:rFonts w:ascii="Times New Roman" w:hAnsi="Times New Roman" w:cs="Times New Roman"/>
          <w:lang w:val="es-ES_tradnl"/>
        </w:rPr>
        <w:t>el parágrafo 1° del artículo 6 al establecer que «podrán tener el carácter reservado» tanto «los asuntos referidos a convers</w:t>
      </w:r>
      <w:r w:rsidRPr="005A2345">
        <w:rPr>
          <w:rFonts w:ascii="Times New Roman" w:hAnsi="Times New Roman" w:cs="Times New Roman"/>
          <w:lang w:val="es-ES_tradnl"/>
        </w:rPr>
        <w:t xml:space="preserve">aciones, acuerdos y negociaciones con actores armados» como «la información y documentos que se expidan en esta materia», desconoce el núcleo esencial del derecho a la información y de petición, toda vez que impide garantizar las condiciones necesarias de </w:t>
      </w:r>
      <w:r w:rsidRPr="005A2345">
        <w:rPr>
          <w:rFonts w:ascii="Times New Roman" w:hAnsi="Times New Roman" w:cs="Times New Roman"/>
          <w:lang w:val="es-ES_tradnl"/>
        </w:rPr>
        <w:t xml:space="preserve">transparencia y participación de la ciudadanía en los procesos de paz que adelanta el Gobierno nacional. Para el efecto, </w:t>
      </w:r>
      <w:r w:rsidRPr="005A2345">
        <w:rPr>
          <w:rFonts w:ascii="Times New Roman" w:hAnsi="Times New Roman" w:cs="Times New Roman"/>
          <w:lang w:val="es-ES_tradnl"/>
        </w:rPr>
        <w:t>el demandante hizo</w:t>
      </w:r>
      <w:r w:rsidRPr="005A2345">
        <w:rPr>
          <w:rFonts w:ascii="Times New Roman" w:hAnsi="Times New Roman" w:cs="Times New Roman"/>
          <w:lang w:val="es-ES_tradnl"/>
        </w:rPr>
        <w:t xml:space="preserve"> referencia a la jurisprudencia constitucional que ha establecido que el acceso a la información pública garantiza el</w:t>
      </w:r>
      <w:r w:rsidRPr="005A2345">
        <w:rPr>
          <w:rFonts w:ascii="Times New Roman" w:hAnsi="Times New Roman" w:cs="Times New Roman"/>
          <w:lang w:val="es-ES_tradnl"/>
        </w:rPr>
        <w:t xml:space="preserve"> ejercicio de la democracia participativa y posibilita el control ciudadano en la actividad estatal. Resalt</w:t>
      </w:r>
      <w:r w:rsidRPr="005A2345">
        <w:rPr>
          <w:rFonts w:ascii="Times New Roman" w:hAnsi="Times New Roman" w:cs="Times New Roman"/>
          <w:lang w:val="es-ES_tradnl"/>
        </w:rPr>
        <w:t>ó</w:t>
      </w:r>
      <w:r w:rsidRPr="005A2345">
        <w:rPr>
          <w:rFonts w:ascii="Times New Roman" w:hAnsi="Times New Roman" w:cs="Times New Roman"/>
          <w:lang w:val="es-ES_tradnl"/>
        </w:rPr>
        <w:t xml:space="preserve"> que la regulación de la información debe atender al principio de máxima publicidad y divulgación, lo que implica que la regla general es permitir e</w:t>
      </w:r>
      <w:r w:rsidRPr="005A2345">
        <w:rPr>
          <w:rFonts w:ascii="Times New Roman" w:hAnsi="Times New Roman" w:cs="Times New Roman"/>
          <w:lang w:val="es-ES_tradnl"/>
        </w:rPr>
        <w:t>l acceso a documentos públicos y la excepción es la reserva, bajo precisos términos legales y constitucionales.</w:t>
      </w:r>
    </w:p>
    <w:p w:rsidR="00255BA2" w:rsidRPr="005A2345" w:rsidRDefault="005A2345" w:rsidP="00255BA2">
      <w:pPr>
        <w:pStyle w:val="Prrafodelista"/>
        <w:tabs>
          <w:tab w:val="left" w:pos="284"/>
          <w:tab w:val="left" w:pos="426"/>
        </w:tabs>
        <w:spacing w:after="0" w:line="240" w:lineRule="auto"/>
        <w:ind w:left="0"/>
        <w:jc w:val="both"/>
        <w:rPr>
          <w:rFonts w:ascii="Times New Roman" w:hAnsi="Times New Roman" w:cs="Times New Roman"/>
          <w:lang w:val="es-ES_tradnl"/>
        </w:rPr>
      </w:pPr>
    </w:p>
    <w:p w:rsidR="0004583C" w:rsidRPr="005A2345" w:rsidRDefault="005A2345" w:rsidP="0004583C">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lang w:val="es-ES_tradnl"/>
        </w:rPr>
        <w:t xml:space="preserve">En cuanto a los límites constitucionales para el acceso a la información pública, </w:t>
      </w:r>
      <w:r w:rsidRPr="005A2345">
        <w:rPr>
          <w:rFonts w:ascii="Times New Roman" w:hAnsi="Times New Roman" w:cs="Times New Roman"/>
          <w:lang w:val="es-ES_tradnl"/>
        </w:rPr>
        <w:t>el ciudadano reconoció</w:t>
      </w:r>
      <w:r w:rsidRPr="005A2345">
        <w:rPr>
          <w:rFonts w:ascii="Times New Roman" w:hAnsi="Times New Roman" w:cs="Times New Roman"/>
          <w:lang w:val="es-ES_tradnl"/>
        </w:rPr>
        <w:t xml:space="preserve"> que el derecho al acceso a la información puede ser sujeto de restricciones, pero resalt</w:t>
      </w:r>
      <w:r w:rsidRPr="005A2345">
        <w:rPr>
          <w:rFonts w:ascii="Times New Roman" w:hAnsi="Times New Roman" w:cs="Times New Roman"/>
          <w:lang w:val="es-ES_tradnl"/>
        </w:rPr>
        <w:t>ó</w:t>
      </w:r>
      <w:r w:rsidRPr="005A2345">
        <w:rPr>
          <w:rFonts w:ascii="Times New Roman" w:hAnsi="Times New Roman" w:cs="Times New Roman"/>
          <w:lang w:val="es-ES_tradnl"/>
        </w:rPr>
        <w:t xml:space="preserve"> que estas medidas deben atender a criterios de razonabilidad y proporcionalidad. </w:t>
      </w:r>
    </w:p>
    <w:p w:rsidR="0004583C" w:rsidRPr="005A2345" w:rsidRDefault="005A2345" w:rsidP="0004583C">
      <w:pPr>
        <w:pStyle w:val="Prrafodelista"/>
        <w:rPr>
          <w:rFonts w:ascii="Times New Roman" w:hAnsi="Times New Roman" w:cs="Times New Roman"/>
          <w:lang w:val="es-ES_tradnl"/>
        </w:rPr>
      </w:pPr>
    </w:p>
    <w:p w:rsidR="00073952" w:rsidRPr="005A2345" w:rsidRDefault="005A2345" w:rsidP="00073952">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lang w:val="es-ES_tradnl"/>
        </w:rPr>
        <w:t xml:space="preserve">A continuación, </w:t>
      </w:r>
      <w:r w:rsidRPr="005A2345">
        <w:rPr>
          <w:rFonts w:ascii="Times New Roman" w:hAnsi="Times New Roman" w:cs="Times New Roman"/>
          <w:lang w:val="es-ES_tradnl"/>
        </w:rPr>
        <w:t>el</w:t>
      </w:r>
      <w:r w:rsidRPr="005A2345">
        <w:rPr>
          <w:rFonts w:ascii="Times New Roman" w:hAnsi="Times New Roman" w:cs="Times New Roman"/>
          <w:lang w:val="es-ES_tradnl"/>
        </w:rPr>
        <w:t xml:space="preserve"> demandante cit</w:t>
      </w:r>
      <w:r w:rsidRPr="005A2345">
        <w:rPr>
          <w:rFonts w:ascii="Times New Roman" w:hAnsi="Times New Roman" w:cs="Times New Roman"/>
          <w:lang w:val="es-ES_tradnl"/>
        </w:rPr>
        <w:t>ó</w:t>
      </w:r>
      <w:r w:rsidRPr="005A2345">
        <w:rPr>
          <w:rFonts w:ascii="Times New Roman" w:hAnsi="Times New Roman" w:cs="Times New Roman"/>
          <w:lang w:val="es-ES_tradnl"/>
        </w:rPr>
        <w:t xml:space="preserve"> los presupuestos jurisprudenciales para que una</w:t>
      </w:r>
      <w:r w:rsidRPr="005A2345">
        <w:rPr>
          <w:rFonts w:ascii="Times New Roman" w:hAnsi="Times New Roman" w:cs="Times New Roman"/>
          <w:lang w:val="es-ES_tradnl"/>
        </w:rPr>
        <w:t xml:space="preserve"> reserva de información pública sea legítima. Particularmente, afirm</w:t>
      </w:r>
      <w:r w:rsidRPr="005A2345">
        <w:rPr>
          <w:rFonts w:ascii="Times New Roman" w:hAnsi="Times New Roman" w:cs="Times New Roman"/>
          <w:lang w:val="es-ES_tradnl"/>
        </w:rPr>
        <w:t>ó</w:t>
      </w:r>
      <w:r w:rsidRPr="005A2345">
        <w:rPr>
          <w:rFonts w:ascii="Times New Roman" w:hAnsi="Times New Roman" w:cs="Times New Roman"/>
          <w:lang w:val="es-ES_tradnl"/>
        </w:rPr>
        <w:t xml:space="preserve"> que el legislador omitió cumplir con, al menos, tres factores: (i) la norma demandada vulnera la obligación de precisión y claridad de la reserva de la información, toda vez que no se </w:t>
      </w:r>
      <w:r w:rsidRPr="005A2345">
        <w:rPr>
          <w:rFonts w:ascii="Times New Roman" w:hAnsi="Times New Roman" w:cs="Times New Roman"/>
          <w:lang w:val="es-ES_tradnl"/>
        </w:rPr>
        <w:t>de</w:t>
      </w:r>
      <w:r w:rsidRPr="005A2345">
        <w:rPr>
          <w:rFonts w:ascii="Times New Roman" w:hAnsi="Times New Roman" w:cs="Times New Roman"/>
          <w:lang w:val="es-ES_tradnl"/>
        </w:rPr>
        <w:t>limita</w:t>
      </w:r>
      <w:r w:rsidRPr="005A2345">
        <w:rPr>
          <w:rFonts w:ascii="Times New Roman" w:hAnsi="Times New Roman" w:cs="Times New Roman"/>
          <w:lang w:val="es-ES_tradnl"/>
        </w:rPr>
        <w:t xml:space="preserve"> el alcance de la reserva ni la autoridad competente para definirla. Según </w:t>
      </w:r>
      <w:r w:rsidRPr="005A2345">
        <w:rPr>
          <w:rFonts w:ascii="Times New Roman" w:hAnsi="Times New Roman" w:cs="Times New Roman"/>
          <w:lang w:val="es-ES_tradnl"/>
        </w:rPr>
        <w:t>el actor</w:t>
      </w:r>
      <w:r w:rsidRPr="005A2345">
        <w:rPr>
          <w:rFonts w:ascii="Times New Roman" w:hAnsi="Times New Roman" w:cs="Times New Roman"/>
          <w:lang w:val="es-ES_tradnl"/>
        </w:rPr>
        <w:t>, la norma es indeterminada y de textura abierta y no permite establecer, por ejemplo, si la reserva se aplica a todos los asuntos referidos a las conversaciones, acue</w:t>
      </w:r>
      <w:r w:rsidRPr="005A2345">
        <w:rPr>
          <w:rFonts w:ascii="Times New Roman" w:hAnsi="Times New Roman" w:cs="Times New Roman"/>
          <w:lang w:val="es-ES_tradnl"/>
        </w:rPr>
        <w:t>rdos y negociaciones; aplica solo a los que trate el Gabinete de Paz; cuáles son las condiciones que justifican la reserva; y cuál es la autoridad que define la reserva de la información. (ii) La norma demandada no consagra un límite temporal para la reser</w:t>
      </w:r>
      <w:r w:rsidRPr="005A2345">
        <w:rPr>
          <w:rFonts w:ascii="Times New Roman" w:hAnsi="Times New Roman" w:cs="Times New Roman"/>
          <w:lang w:val="es-ES_tradnl"/>
        </w:rPr>
        <w:t>va. Sobre este punto, señal</w:t>
      </w:r>
      <w:r w:rsidRPr="005A2345">
        <w:rPr>
          <w:rFonts w:ascii="Times New Roman" w:hAnsi="Times New Roman" w:cs="Times New Roman"/>
          <w:lang w:val="es-ES_tradnl"/>
        </w:rPr>
        <w:t>ó</w:t>
      </w:r>
      <w:r w:rsidRPr="005A2345">
        <w:rPr>
          <w:rFonts w:ascii="Times New Roman" w:hAnsi="Times New Roman" w:cs="Times New Roman"/>
          <w:lang w:val="es-ES_tradnl"/>
        </w:rPr>
        <w:t xml:space="preserve"> que en la sentencia C-540 de 2012, en la que se estudió la ley estatutaria del marco normativo de los organismos de inteligencia y contrainteligencia, la Corte </w:t>
      </w:r>
      <w:r w:rsidRPr="005A2345">
        <w:rPr>
          <w:rFonts w:ascii="Times New Roman" w:hAnsi="Times New Roman" w:cs="Times New Roman"/>
          <w:lang w:val="es-ES_tradnl"/>
        </w:rPr>
        <w:t>estableció</w:t>
      </w:r>
      <w:r w:rsidRPr="005A2345">
        <w:rPr>
          <w:rFonts w:ascii="Times New Roman" w:hAnsi="Times New Roman" w:cs="Times New Roman"/>
          <w:lang w:val="es-ES_tradnl"/>
        </w:rPr>
        <w:t xml:space="preserve"> que la reserva de la documentación debe ser temporal y q</w:t>
      </w:r>
      <w:r w:rsidRPr="005A2345">
        <w:rPr>
          <w:rFonts w:ascii="Times New Roman" w:hAnsi="Times New Roman" w:cs="Times New Roman"/>
          <w:lang w:val="es-ES_tradnl"/>
        </w:rPr>
        <w:t>ue el plazo que se defina debe responder a criterios de razonabilidad y proporcionalidad al bien jurídico que se pretende proteger. Frente a esto, afirm</w:t>
      </w:r>
      <w:r w:rsidRPr="005A2345">
        <w:rPr>
          <w:rFonts w:ascii="Times New Roman" w:hAnsi="Times New Roman" w:cs="Times New Roman"/>
          <w:lang w:val="es-ES_tradnl"/>
        </w:rPr>
        <w:t>ó</w:t>
      </w:r>
      <w:r w:rsidRPr="005A2345">
        <w:rPr>
          <w:rFonts w:ascii="Times New Roman" w:hAnsi="Times New Roman" w:cs="Times New Roman"/>
          <w:lang w:val="es-ES_tradnl"/>
        </w:rPr>
        <w:t xml:space="preserve"> </w:t>
      </w:r>
      <w:r w:rsidRPr="005A2345">
        <w:rPr>
          <w:rFonts w:ascii="Times New Roman" w:hAnsi="Times New Roman" w:cs="Times New Roman"/>
          <w:lang w:val="es-ES_tradnl"/>
        </w:rPr>
        <w:t>el</w:t>
      </w:r>
      <w:r w:rsidRPr="005A2345">
        <w:rPr>
          <w:rFonts w:ascii="Times New Roman" w:hAnsi="Times New Roman" w:cs="Times New Roman"/>
          <w:lang w:val="es-ES_tradnl"/>
        </w:rPr>
        <w:t xml:space="preserve"> demandante que la norma atacada no contiene un tiempo cierto en el que se tenga certeza de levantar</w:t>
      </w:r>
      <w:r w:rsidRPr="005A2345">
        <w:rPr>
          <w:rFonts w:ascii="Times New Roman" w:hAnsi="Times New Roman" w:cs="Times New Roman"/>
          <w:lang w:val="es-ES_tradnl"/>
        </w:rPr>
        <w:t>se la reserva de la información. (iii) La norma demandada no establec</w:t>
      </w:r>
      <w:r w:rsidRPr="005A2345">
        <w:rPr>
          <w:rFonts w:ascii="Times New Roman" w:hAnsi="Times New Roman" w:cs="Times New Roman"/>
          <w:lang w:val="es-ES_tradnl"/>
        </w:rPr>
        <w:t>ió</w:t>
      </w:r>
      <w:r w:rsidRPr="005A2345">
        <w:rPr>
          <w:rFonts w:ascii="Times New Roman" w:hAnsi="Times New Roman" w:cs="Times New Roman"/>
          <w:lang w:val="es-ES_tradnl"/>
        </w:rPr>
        <w:t xml:space="preserve"> bajo qué criterio de excepción se inscribe la reserva de la información. Al respecto, explic</w:t>
      </w:r>
      <w:r w:rsidRPr="005A2345">
        <w:rPr>
          <w:rFonts w:ascii="Times New Roman" w:hAnsi="Times New Roman" w:cs="Times New Roman"/>
          <w:lang w:val="es-ES_tradnl"/>
        </w:rPr>
        <w:t>ó</w:t>
      </w:r>
      <w:r w:rsidRPr="005A2345">
        <w:rPr>
          <w:rFonts w:ascii="Times New Roman" w:hAnsi="Times New Roman" w:cs="Times New Roman"/>
          <w:lang w:val="es-ES_tradnl"/>
        </w:rPr>
        <w:t xml:space="preserve"> que la fórmula de reserva que dispuso el legislador en la norma demandada es muy abstracta</w:t>
      </w:r>
      <w:r w:rsidRPr="005A2345">
        <w:rPr>
          <w:rFonts w:ascii="Times New Roman" w:hAnsi="Times New Roman" w:cs="Times New Roman"/>
          <w:lang w:val="es-ES_tradnl"/>
        </w:rPr>
        <w:t xml:space="preserve"> y genérica y no es claro cuál es el fin legítimo que pretende proteger o alcanzar. Precis</w:t>
      </w:r>
      <w:r w:rsidRPr="005A2345">
        <w:rPr>
          <w:rFonts w:ascii="Times New Roman" w:hAnsi="Times New Roman" w:cs="Times New Roman"/>
          <w:lang w:val="es-ES_tradnl"/>
        </w:rPr>
        <w:t>ó</w:t>
      </w:r>
      <w:r w:rsidRPr="005A2345">
        <w:rPr>
          <w:rFonts w:ascii="Times New Roman" w:hAnsi="Times New Roman" w:cs="Times New Roman"/>
          <w:lang w:val="es-ES_tradnl"/>
        </w:rPr>
        <w:t xml:space="preserve"> que los artículos 18 y 19 de la Ley Estatutaria de acceso a la información establece</w:t>
      </w:r>
      <w:r w:rsidRPr="005A2345">
        <w:rPr>
          <w:rFonts w:ascii="Times New Roman" w:hAnsi="Times New Roman" w:cs="Times New Roman"/>
          <w:lang w:val="es-ES_tradnl"/>
        </w:rPr>
        <w:t>n</w:t>
      </w:r>
      <w:r w:rsidRPr="005A2345">
        <w:rPr>
          <w:rFonts w:ascii="Times New Roman" w:hAnsi="Times New Roman" w:cs="Times New Roman"/>
          <w:lang w:val="es-ES_tradnl"/>
        </w:rPr>
        <w:t xml:space="preserve"> los supuestos en los que se puede adoptar una reserva de información, pero a p</w:t>
      </w:r>
      <w:r w:rsidRPr="005A2345">
        <w:rPr>
          <w:rFonts w:ascii="Times New Roman" w:hAnsi="Times New Roman" w:cs="Times New Roman"/>
          <w:lang w:val="es-ES_tradnl"/>
        </w:rPr>
        <w:t xml:space="preserve">esar de esto, el legislador en el artículo 6 de la Ley 2272 de 2022 no definió cuál es la razón. </w:t>
      </w:r>
    </w:p>
    <w:p w:rsidR="00073952" w:rsidRPr="005A2345" w:rsidRDefault="005A2345" w:rsidP="00073952">
      <w:pPr>
        <w:pStyle w:val="Prrafodelista"/>
        <w:tabs>
          <w:tab w:val="left" w:pos="284"/>
          <w:tab w:val="left" w:pos="426"/>
        </w:tabs>
        <w:spacing w:after="0" w:line="240" w:lineRule="auto"/>
        <w:ind w:left="0"/>
        <w:jc w:val="both"/>
        <w:rPr>
          <w:rFonts w:ascii="Times New Roman" w:hAnsi="Times New Roman" w:cs="Times New Roman"/>
          <w:lang w:val="es-ES_tradnl"/>
        </w:rPr>
      </w:pPr>
    </w:p>
    <w:p w:rsidR="00073952" w:rsidRPr="005A2345" w:rsidRDefault="005A2345" w:rsidP="00073952">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iCs/>
          <w:lang w:val="es-ES_tradnl"/>
        </w:rPr>
        <w:t xml:space="preserve">Ahora bien, en el escrito de corrección, el demandante complementó la argumentación respecto de este cargo. </w:t>
      </w:r>
    </w:p>
    <w:p w:rsidR="00073952" w:rsidRPr="005A2345" w:rsidRDefault="005A2345" w:rsidP="00073952">
      <w:pPr>
        <w:pStyle w:val="Prrafodelista"/>
        <w:rPr>
          <w:rFonts w:ascii="Times New Roman" w:hAnsi="Times New Roman" w:cs="Times New Roman"/>
          <w:iCs/>
          <w:lang w:val="es-ES_tradnl"/>
        </w:rPr>
      </w:pPr>
    </w:p>
    <w:p w:rsidR="00073952" w:rsidRPr="005A2345" w:rsidRDefault="005A2345" w:rsidP="00073952">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iCs/>
          <w:lang w:val="es-ES_tradnl"/>
        </w:rPr>
        <w:t>En relación con la presunta violación del derec</w:t>
      </w:r>
      <w:r w:rsidRPr="005A2345">
        <w:rPr>
          <w:rFonts w:ascii="Times New Roman" w:hAnsi="Times New Roman" w:cs="Times New Roman"/>
          <w:iCs/>
          <w:lang w:val="es-ES_tradnl"/>
        </w:rPr>
        <w:t>ho al acceso a los documentos públicos (artículo 74 CP), aclaró que «</w:t>
      </w:r>
      <w:r w:rsidRPr="005A2345">
        <w:rPr>
          <w:rFonts w:ascii="Times New Roman" w:hAnsi="Times New Roman" w:cs="Times New Roman"/>
          <w:iCs/>
        </w:rPr>
        <w:t xml:space="preserve">el reproche de la demanda se centra en determinar que la reserva establecida por el legislador en la Ley 2272 de 2022, para acceder a información y documentos derivados de la política de </w:t>
      </w:r>
      <w:r w:rsidRPr="005A2345">
        <w:rPr>
          <w:rFonts w:ascii="Times New Roman" w:hAnsi="Times New Roman" w:cs="Times New Roman"/>
          <w:iCs/>
        </w:rPr>
        <w:t>Paz Total y del Gabinete de Paz, no es razonable ni proporcional».</w:t>
      </w:r>
      <w:r w:rsidRPr="005A2345">
        <w:rPr>
          <w:rFonts w:ascii="Times New Roman" w:hAnsi="Times New Roman" w:cs="Times New Roman"/>
          <w:vertAlign w:val="superscript"/>
        </w:rPr>
        <w:footnoteReference w:id="2"/>
      </w:r>
      <w:r w:rsidRPr="005A2345">
        <w:rPr>
          <w:rFonts w:ascii="Times New Roman" w:hAnsi="Times New Roman" w:cs="Times New Roman"/>
          <w:iCs/>
        </w:rPr>
        <w:t xml:space="preserve"> Según el demandante la reserva que se establece en la norma no cumple con los altos criterios jurisprudenciales y afecta el principio de máxima publicidad y divulgación de la información q</w:t>
      </w:r>
      <w:r w:rsidRPr="005A2345">
        <w:rPr>
          <w:rFonts w:ascii="Times New Roman" w:hAnsi="Times New Roman" w:cs="Times New Roman"/>
          <w:iCs/>
        </w:rPr>
        <w:t>ue en un Estado de Derecho. Para el efecto, el actor citó la sentencia T-114 de 2018 y subrayó que la reserva de información pública debe obedecer a un límite temporal, a los principios de razonabilidad y proporcionalidad y no puede depender de la discreci</w:t>
      </w:r>
      <w:r w:rsidRPr="005A2345">
        <w:rPr>
          <w:rFonts w:ascii="Times New Roman" w:hAnsi="Times New Roman" w:cs="Times New Roman"/>
          <w:iCs/>
        </w:rPr>
        <w:t>onalidad de las autoridades públicas.</w:t>
      </w:r>
    </w:p>
    <w:p w:rsidR="00073952" w:rsidRPr="005A2345" w:rsidRDefault="005A2345" w:rsidP="00073952">
      <w:pPr>
        <w:pStyle w:val="Prrafodelista"/>
        <w:rPr>
          <w:rFonts w:ascii="Times New Roman" w:hAnsi="Times New Roman" w:cs="Times New Roman"/>
          <w:iCs/>
        </w:rPr>
      </w:pPr>
    </w:p>
    <w:p w:rsidR="00073952" w:rsidRPr="005A2345" w:rsidRDefault="005A2345" w:rsidP="00073952">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iCs/>
        </w:rPr>
        <w:t xml:space="preserve">De acuerdo con el demandante, la reserva de información pública relativa a la política de paz total no es razonable, pues este asunto es de una verdadera trascendencia para la sociedad en su conjunto. En palabras del </w:t>
      </w:r>
      <w:r w:rsidRPr="005A2345">
        <w:rPr>
          <w:rFonts w:ascii="Times New Roman" w:hAnsi="Times New Roman" w:cs="Times New Roman"/>
          <w:iCs/>
        </w:rPr>
        <w:t>ciudadano: «[l]a limitación general sobre el acceso a la información consagrada en la norma demandada no es razonable, considerando que se trata de un asunto de tanta trascendencia social e institucional como lo es la política de Paz Total. Cuando el parág</w:t>
      </w:r>
      <w:r w:rsidRPr="005A2345">
        <w:rPr>
          <w:rFonts w:ascii="Times New Roman" w:hAnsi="Times New Roman" w:cs="Times New Roman"/>
          <w:iCs/>
        </w:rPr>
        <w:t>rafo 1 del artículo 6 de la ley 2272 de 2022 alude en general a “asuntos”, “conversaciones”, “acuerdos”, “negociaciones con actores armado</w:t>
      </w:r>
      <w:r w:rsidRPr="005A2345">
        <w:rPr>
          <w:rFonts w:ascii="Times New Roman" w:hAnsi="Times New Roman" w:cs="Times New Roman"/>
          <w:iCs/>
        </w:rPr>
        <w:t>s</w:t>
      </w:r>
      <w:r w:rsidRPr="005A2345">
        <w:rPr>
          <w:rFonts w:ascii="Times New Roman" w:hAnsi="Times New Roman" w:cs="Times New Roman"/>
          <w:iCs/>
        </w:rPr>
        <w:t>”, “información y documentos” está abarcando todos los aspectos relacionados con los temas de paz, dejando a la ciuda</w:t>
      </w:r>
      <w:r w:rsidRPr="005A2345">
        <w:rPr>
          <w:rFonts w:ascii="Times New Roman" w:hAnsi="Times New Roman" w:cs="Times New Roman"/>
          <w:iCs/>
        </w:rPr>
        <w:t>danía sin posibilidad de acceder a información y documentación sobre dicha materia».</w:t>
      </w:r>
      <w:r w:rsidRPr="005A2345">
        <w:rPr>
          <w:rFonts w:ascii="Times New Roman" w:hAnsi="Times New Roman" w:cs="Times New Roman"/>
          <w:vertAlign w:val="superscript"/>
        </w:rPr>
        <w:footnoteReference w:id="3"/>
      </w:r>
    </w:p>
    <w:p w:rsidR="00073952" w:rsidRPr="005A2345" w:rsidRDefault="005A2345" w:rsidP="00073952">
      <w:pPr>
        <w:pStyle w:val="Prrafodelista"/>
        <w:rPr>
          <w:rFonts w:ascii="Times New Roman" w:hAnsi="Times New Roman" w:cs="Times New Roman"/>
          <w:iCs/>
          <w:lang w:val="es-ES_tradnl"/>
        </w:rPr>
      </w:pPr>
    </w:p>
    <w:p w:rsidR="00073952" w:rsidRPr="005A2345" w:rsidRDefault="005A2345" w:rsidP="00073952">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iCs/>
          <w:lang w:val="es-ES_tradnl"/>
        </w:rPr>
        <w:t>El actor precisó que la norma no determina con claridad cuál es la información objeto de reserva, ni la causal aplicable de la Ley Estatutaria, ni por cuánto tiempo, dej</w:t>
      </w:r>
      <w:r w:rsidRPr="005A2345">
        <w:rPr>
          <w:rFonts w:ascii="Times New Roman" w:hAnsi="Times New Roman" w:cs="Times New Roman"/>
          <w:iCs/>
          <w:lang w:val="es-ES_tradnl"/>
        </w:rPr>
        <w:t>ando un amplio margen de discrecionalidad a las autoridades responsables.</w:t>
      </w:r>
      <w:r w:rsidRPr="005A2345">
        <w:rPr>
          <w:rFonts w:ascii="Times New Roman" w:hAnsi="Times New Roman" w:cs="Times New Roman"/>
          <w:iCs/>
          <w:lang w:val="es-ES_tradnl"/>
        </w:rPr>
        <w:t xml:space="preserve"> </w:t>
      </w:r>
      <w:r w:rsidRPr="005A2345">
        <w:rPr>
          <w:rFonts w:ascii="Times New Roman" w:hAnsi="Times New Roman" w:cs="Times New Roman"/>
          <w:iCs/>
          <w:lang w:val="es-ES_tradnl"/>
        </w:rPr>
        <w:t>Argumentó que la norma tampoco es proporcional, porque otorga reserva a todos los “asuntos”, “conversaciones”, “acuerdos”, “negociaciones con actores armados”, “información y documen</w:t>
      </w:r>
      <w:r w:rsidRPr="005A2345">
        <w:rPr>
          <w:rFonts w:ascii="Times New Roman" w:hAnsi="Times New Roman" w:cs="Times New Roman"/>
          <w:iCs/>
          <w:lang w:val="es-ES_tradnl"/>
        </w:rPr>
        <w:t>tos” en materia de paz. Al respecto, el actor cuestionó que si lo que se pretende es proteger las negociaciones de paz, como fin legítimo, se está sacrificando y anulando el derecho al acceso a la información pública. Además, resaltó que no es claro cómo e</w:t>
      </w:r>
      <w:r w:rsidRPr="005A2345">
        <w:rPr>
          <w:rFonts w:ascii="Times New Roman" w:hAnsi="Times New Roman" w:cs="Times New Roman"/>
          <w:iCs/>
          <w:lang w:val="es-ES_tradnl"/>
        </w:rPr>
        <w:t>l acceso a la información sobre las negociaciones de paz puede afectar la política y las decisiones del gabinete.</w:t>
      </w:r>
    </w:p>
    <w:p w:rsidR="00073952" w:rsidRPr="005A2345" w:rsidRDefault="005A2345" w:rsidP="00073952">
      <w:pPr>
        <w:pStyle w:val="Prrafodelista"/>
        <w:rPr>
          <w:rFonts w:ascii="Times New Roman" w:hAnsi="Times New Roman" w:cs="Times New Roman"/>
          <w:iCs/>
          <w:lang w:val="es-ES_tradnl"/>
        </w:rPr>
      </w:pPr>
    </w:p>
    <w:p w:rsidR="00F728C7" w:rsidRPr="005A2345" w:rsidRDefault="005A2345" w:rsidP="00F728C7">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iCs/>
          <w:lang w:val="es-ES_tradnl"/>
        </w:rPr>
        <w:t>El</w:t>
      </w:r>
      <w:r w:rsidRPr="005A2345">
        <w:rPr>
          <w:rFonts w:ascii="Times New Roman" w:hAnsi="Times New Roman" w:cs="Times New Roman"/>
          <w:iCs/>
          <w:lang w:val="es-ES_tradnl"/>
        </w:rPr>
        <w:t xml:space="preserve"> ciudadano reconoció que la Ley Estatutaria 1712 de 2014 establece un tiempo límite para mantener la reserva de cierta información pública; sin embargo, afirmó que esto no resuelve la inconstitucionalidad de la norma, porque «</w:t>
      </w:r>
      <w:r w:rsidRPr="005A2345">
        <w:rPr>
          <w:rFonts w:ascii="Times New Roman" w:hAnsi="Times New Roman" w:cs="Times New Roman"/>
          <w:bCs/>
          <w:iCs/>
        </w:rPr>
        <w:t>a)</w:t>
      </w:r>
      <w:r w:rsidRPr="005A2345">
        <w:rPr>
          <w:rFonts w:ascii="Times New Roman" w:hAnsi="Times New Roman" w:cs="Times New Roman"/>
          <w:b/>
          <w:bCs/>
          <w:iCs/>
        </w:rPr>
        <w:t xml:space="preserve"> </w:t>
      </w:r>
      <w:r w:rsidRPr="005A2345">
        <w:rPr>
          <w:rFonts w:ascii="Times New Roman" w:hAnsi="Times New Roman" w:cs="Times New Roman"/>
          <w:iCs/>
        </w:rPr>
        <w:t>Tal y como se indicó, el le</w:t>
      </w:r>
      <w:r w:rsidRPr="005A2345">
        <w:rPr>
          <w:rFonts w:ascii="Times New Roman" w:hAnsi="Times New Roman" w:cs="Times New Roman"/>
          <w:iCs/>
        </w:rPr>
        <w:t xml:space="preserve">gislador no indicó si la reserva consagrada en el parágrafo 1 del artículo 6 de la ley 2272 de 2022 se inscribe en el artículo 18 o 19 de la Ley Estatutaria 1712 de 2014. </w:t>
      </w:r>
      <w:r w:rsidRPr="005A2345">
        <w:rPr>
          <w:rFonts w:ascii="Times New Roman" w:hAnsi="Times New Roman" w:cs="Times New Roman"/>
          <w:bCs/>
          <w:iCs/>
        </w:rPr>
        <w:t>b)</w:t>
      </w:r>
      <w:r w:rsidRPr="005A2345">
        <w:rPr>
          <w:rFonts w:ascii="Times New Roman" w:hAnsi="Times New Roman" w:cs="Times New Roman"/>
          <w:b/>
          <w:bCs/>
          <w:iCs/>
        </w:rPr>
        <w:t xml:space="preserve"> </w:t>
      </w:r>
      <w:r w:rsidRPr="005A2345">
        <w:rPr>
          <w:rFonts w:ascii="Times New Roman" w:hAnsi="Times New Roman" w:cs="Times New Roman"/>
          <w:iCs/>
        </w:rPr>
        <w:t>No es proporcional establecer una reserva a 15 años en un asunto de interés actual</w:t>
      </w:r>
      <w:r w:rsidRPr="005A2345">
        <w:rPr>
          <w:rFonts w:ascii="Times New Roman" w:hAnsi="Times New Roman" w:cs="Times New Roman"/>
          <w:iCs/>
        </w:rPr>
        <w:t xml:space="preserve"> y directo para la sociedad, como lo son las negociaciones y acuerdos derivados de la paz, la cual se fundamenta en acuerdos sociales y políticos sobre procesos de negociación, diálogo y sometimiento a la justicia, discusiones esenciales que requiere conoc</w:t>
      </w:r>
      <w:r w:rsidRPr="005A2345">
        <w:rPr>
          <w:rFonts w:ascii="Times New Roman" w:hAnsi="Times New Roman" w:cs="Times New Roman"/>
          <w:iCs/>
        </w:rPr>
        <w:t>er de manera transparente y oportuna la sociedad».</w:t>
      </w:r>
      <w:r w:rsidRPr="005A2345">
        <w:rPr>
          <w:rFonts w:ascii="Times New Roman" w:hAnsi="Times New Roman" w:cs="Times New Roman"/>
          <w:vertAlign w:val="superscript"/>
        </w:rPr>
        <w:footnoteReference w:id="4"/>
      </w:r>
    </w:p>
    <w:p w:rsidR="00F728C7" w:rsidRPr="005A2345" w:rsidRDefault="005A2345" w:rsidP="00F728C7">
      <w:pPr>
        <w:pStyle w:val="Prrafodelista"/>
        <w:rPr>
          <w:rFonts w:ascii="Times New Roman" w:hAnsi="Times New Roman" w:cs="Times New Roman"/>
          <w:iCs/>
          <w:lang w:val="es-ES_tradnl"/>
        </w:rPr>
      </w:pPr>
    </w:p>
    <w:p w:rsidR="00F728C7" w:rsidRPr="005A2345" w:rsidRDefault="005A2345" w:rsidP="00F728C7">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iCs/>
          <w:lang w:val="es-ES_tradnl"/>
        </w:rPr>
        <w:t>Argumentó</w:t>
      </w:r>
      <w:r w:rsidRPr="005A2345">
        <w:rPr>
          <w:rFonts w:ascii="Times New Roman" w:hAnsi="Times New Roman" w:cs="Times New Roman"/>
          <w:iCs/>
          <w:lang w:val="es-ES_tradnl"/>
        </w:rPr>
        <w:t xml:space="preserve"> que es necesario que la norma objeto de reproche precise con claridad todas las condiciones de la reserva</w:t>
      </w:r>
      <w:r w:rsidRPr="005A2345">
        <w:rPr>
          <w:rFonts w:ascii="Times New Roman" w:hAnsi="Times New Roman" w:cs="Times New Roman"/>
          <w:iCs/>
          <w:lang w:val="es-ES_tradnl"/>
        </w:rPr>
        <w:t>,</w:t>
      </w:r>
      <w:r w:rsidRPr="005A2345">
        <w:rPr>
          <w:rFonts w:ascii="Times New Roman" w:hAnsi="Times New Roman" w:cs="Times New Roman"/>
          <w:iCs/>
          <w:lang w:val="es-ES_tradnl"/>
        </w:rPr>
        <w:t xml:space="preserve"> porque «</w:t>
      </w:r>
      <w:r w:rsidRPr="005A2345">
        <w:rPr>
          <w:rFonts w:ascii="Times New Roman" w:hAnsi="Times New Roman" w:cs="Times New Roman"/>
          <w:iCs/>
        </w:rPr>
        <w:t>si bien existe una Ley Estatutaria -1712 de 2014- que regula el derecho de acc</w:t>
      </w:r>
      <w:r w:rsidRPr="005A2345">
        <w:rPr>
          <w:rFonts w:ascii="Times New Roman" w:hAnsi="Times New Roman" w:cs="Times New Roman"/>
          <w:iCs/>
        </w:rPr>
        <w:t>eso a la información pública y sus excepciones, nuevas disposiciones legislativas como la norma demandada, deben respetar no sólo los mandatos constitucionales sino los estándares consagrados en las normas de rango estatutario».</w:t>
      </w:r>
      <w:r w:rsidRPr="005A2345">
        <w:rPr>
          <w:rFonts w:ascii="Times New Roman" w:hAnsi="Times New Roman" w:cs="Times New Roman"/>
          <w:vertAlign w:val="superscript"/>
        </w:rPr>
        <w:footnoteReference w:id="5"/>
      </w:r>
      <w:r w:rsidRPr="005A2345">
        <w:rPr>
          <w:rFonts w:ascii="Times New Roman" w:hAnsi="Times New Roman" w:cs="Times New Roman"/>
          <w:iCs/>
        </w:rPr>
        <w:t xml:space="preserve"> Sobre este punto, reiteró </w:t>
      </w:r>
      <w:r w:rsidRPr="005A2345">
        <w:rPr>
          <w:rFonts w:ascii="Times New Roman" w:hAnsi="Times New Roman" w:cs="Times New Roman"/>
          <w:iCs/>
        </w:rPr>
        <w:t>que (i) la cláusula de reserva de carácter abierto no es razonable para el ejercicio del derecho al acceso a la información pública; y (ii) «dado que se trata de una excepción al principio de publicidad, no basta con una consagración legal general, el legi</w:t>
      </w:r>
      <w:r w:rsidRPr="005A2345">
        <w:rPr>
          <w:rFonts w:ascii="Times New Roman" w:hAnsi="Times New Roman" w:cs="Times New Roman"/>
          <w:iCs/>
        </w:rPr>
        <w:t>slador es el llamado a limitar de manera razonable la discrecionalidad de la administración, en punto a la información exceptuada de publicidad, para lo cual debe determinar en las materias sometidas a reserva, qué información es la que goza de este tratam</w:t>
      </w:r>
      <w:r w:rsidRPr="005A2345">
        <w:rPr>
          <w:rFonts w:ascii="Times New Roman" w:hAnsi="Times New Roman" w:cs="Times New Roman"/>
          <w:iCs/>
        </w:rPr>
        <w:t>iento excepcional, sin que ello implique vaciar el contenido del principio de máxima publicidad».</w:t>
      </w:r>
      <w:r w:rsidRPr="005A2345">
        <w:rPr>
          <w:rFonts w:ascii="Times New Roman" w:hAnsi="Times New Roman" w:cs="Times New Roman"/>
          <w:vertAlign w:val="superscript"/>
        </w:rPr>
        <w:footnoteReference w:id="6"/>
      </w:r>
    </w:p>
    <w:p w:rsidR="00F728C7" w:rsidRPr="005A2345" w:rsidRDefault="005A2345" w:rsidP="00F728C7">
      <w:pPr>
        <w:pStyle w:val="Prrafodelista"/>
        <w:rPr>
          <w:rFonts w:ascii="Times New Roman" w:hAnsi="Times New Roman" w:cs="Times New Roman"/>
          <w:iCs/>
          <w:lang w:val="es-ES_tradnl"/>
        </w:rPr>
      </w:pPr>
    </w:p>
    <w:p w:rsidR="00F728C7" w:rsidRPr="005A2345" w:rsidRDefault="005A2345" w:rsidP="00F728C7">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iCs/>
          <w:lang w:val="es-ES_tradnl"/>
        </w:rPr>
        <w:t xml:space="preserve">En cuanto al llamado del auto inadmisorio de precisar los contenidos de los tratados internacionales en derechos humanos aplicables al asunto propuesto, el </w:t>
      </w:r>
      <w:r w:rsidRPr="005A2345">
        <w:rPr>
          <w:rFonts w:ascii="Times New Roman" w:hAnsi="Times New Roman" w:cs="Times New Roman"/>
          <w:iCs/>
          <w:lang w:val="es-ES_tradnl"/>
        </w:rPr>
        <w:t xml:space="preserve">demandante citó los artículos 13 de la Convención Americana sobre Derechos Humanos, 19 del Pacto Internacional de Derechos Civiles y Políticos y XXIV de la Declaración </w:t>
      </w:r>
      <w:r w:rsidRPr="005A2345">
        <w:rPr>
          <w:rFonts w:ascii="Times New Roman" w:hAnsi="Times New Roman" w:cs="Times New Roman"/>
          <w:iCs/>
        </w:rPr>
        <w:t>Americana de los Derechos y Deberes del Hombre. El actor señaló que estos tratados hacen</w:t>
      </w:r>
      <w:r w:rsidRPr="005A2345">
        <w:rPr>
          <w:rFonts w:ascii="Times New Roman" w:hAnsi="Times New Roman" w:cs="Times New Roman"/>
          <w:iCs/>
        </w:rPr>
        <w:t xml:space="preserve"> parte del bloque de constitucionalidad y por tanto también sirven de parámetro de control. Aclaró que, aunque las disposiciones internacionales no mencionan los asuntos de procesos de paz, es claro que estas normas de derechos humanos «promueven la libert</w:t>
      </w:r>
      <w:r w:rsidRPr="005A2345">
        <w:rPr>
          <w:rFonts w:ascii="Times New Roman" w:hAnsi="Times New Roman" w:cs="Times New Roman"/>
          <w:iCs/>
        </w:rPr>
        <w:t>ad de buscar y recibir información, así como el derecho de presentar peticiones, máxime cuando nos encontramos ante una materia de amplio interés social y democrático».</w:t>
      </w:r>
      <w:r w:rsidRPr="005A2345">
        <w:rPr>
          <w:rFonts w:ascii="Times New Roman" w:hAnsi="Times New Roman" w:cs="Times New Roman"/>
          <w:vertAlign w:val="superscript"/>
        </w:rPr>
        <w:footnoteReference w:id="7"/>
      </w:r>
    </w:p>
    <w:p w:rsidR="00F728C7" w:rsidRPr="005A2345" w:rsidRDefault="005A2345" w:rsidP="00F728C7">
      <w:pPr>
        <w:pStyle w:val="Prrafodelista"/>
        <w:rPr>
          <w:rFonts w:ascii="Times New Roman" w:hAnsi="Times New Roman" w:cs="Times New Roman"/>
          <w:iCs/>
          <w:lang w:val="es-ES_tradnl"/>
        </w:rPr>
      </w:pPr>
    </w:p>
    <w:p w:rsidR="00F728C7" w:rsidRPr="005A2345" w:rsidRDefault="005A2345" w:rsidP="00F728C7">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iCs/>
          <w:lang w:val="es-ES_tradnl"/>
        </w:rPr>
        <w:t>En lo relacionado con la presunta violación del derecho de petición (art. 23 de la CP</w:t>
      </w:r>
      <w:r w:rsidRPr="005A2345">
        <w:rPr>
          <w:rFonts w:ascii="Times New Roman" w:hAnsi="Times New Roman" w:cs="Times New Roman"/>
          <w:iCs/>
          <w:lang w:val="es-ES_tradnl"/>
        </w:rPr>
        <w:t>), el demandante aseguró que la jurisprudencia constitucional ha sostenido que mediante el derecho de petición se garantizan otros derechos constitucionales, como los derechos de acceso a la información, la libertad de expresión y la participación política</w:t>
      </w:r>
      <w:r w:rsidRPr="005A2345">
        <w:rPr>
          <w:rFonts w:ascii="Times New Roman" w:hAnsi="Times New Roman" w:cs="Times New Roman"/>
          <w:iCs/>
          <w:lang w:val="es-ES_tradnl"/>
        </w:rPr>
        <w:t>. Con base en lo anterior, se han establecido unas condiciones precisas para dar respuesta de fondo a un derecho de petición. Así mismo, este derecho tiene una relación intrínseca con el derecho al acceso a la información y</w:t>
      </w:r>
      <w:r w:rsidRPr="005A2345">
        <w:rPr>
          <w:rFonts w:ascii="Times New Roman" w:hAnsi="Times New Roman" w:cs="Times New Roman"/>
          <w:iCs/>
          <w:lang w:val="es-ES_tradnl"/>
        </w:rPr>
        <w:t>,</w:t>
      </w:r>
      <w:r w:rsidRPr="005A2345">
        <w:rPr>
          <w:rFonts w:ascii="Times New Roman" w:hAnsi="Times New Roman" w:cs="Times New Roman"/>
          <w:iCs/>
          <w:lang w:val="es-ES_tradnl"/>
        </w:rPr>
        <w:t xml:space="preserve"> por tanto, los límites a estos derechos deben estar sometidos a exigentes condiciones constitucionales. Con sustento en ello, el actor adujo: «</w:t>
      </w:r>
      <w:r w:rsidRPr="005A2345">
        <w:rPr>
          <w:rFonts w:ascii="Times New Roman" w:hAnsi="Times New Roman" w:cs="Times New Roman"/>
          <w:iCs/>
        </w:rPr>
        <w:t>la imposibilidad de acceder a información y documentos públicos, como consecuencia directa de una cláusula abier</w:t>
      </w:r>
      <w:r w:rsidRPr="005A2345">
        <w:rPr>
          <w:rFonts w:ascii="Times New Roman" w:hAnsi="Times New Roman" w:cs="Times New Roman"/>
          <w:iCs/>
        </w:rPr>
        <w:t xml:space="preserve">ta de reserva de información, desconoce: </w:t>
      </w:r>
      <w:r w:rsidRPr="005A2345">
        <w:rPr>
          <w:rFonts w:ascii="Times New Roman" w:hAnsi="Times New Roman" w:cs="Times New Roman"/>
          <w:b/>
          <w:bCs/>
          <w:iCs/>
        </w:rPr>
        <w:t xml:space="preserve">a) </w:t>
      </w:r>
      <w:r w:rsidRPr="005A2345">
        <w:rPr>
          <w:rFonts w:ascii="Times New Roman" w:hAnsi="Times New Roman" w:cs="Times New Roman"/>
          <w:iCs/>
        </w:rPr>
        <w:t xml:space="preserve">la garantía de presentar peticiones y obtener pronta resolución así como, </w:t>
      </w:r>
      <w:r w:rsidRPr="005A2345">
        <w:rPr>
          <w:rFonts w:ascii="Times New Roman" w:hAnsi="Times New Roman" w:cs="Times New Roman"/>
          <w:b/>
          <w:bCs/>
          <w:iCs/>
        </w:rPr>
        <w:t xml:space="preserve">b) </w:t>
      </w:r>
      <w:r w:rsidRPr="005A2345">
        <w:rPr>
          <w:rFonts w:ascii="Times New Roman" w:hAnsi="Times New Roman" w:cs="Times New Roman"/>
          <w:iCs/>
        </w:rPr>
        <w:t>uno de los elementos del derecho fundamental de petición, esto es, la posibilidad de una respuesta de “fondo”, que implica la entrega d</w:t>
      </w:r>
      <w:r w:rsidRPr="005A2345">
        <w:rPr>
          <w:rFonts w:ascii="Times New Roman" w:hAnsi="Times New Roman" w:cs="Times New Roman"/>
          <w:iCs/>
        </w:rPr>
        <w:t>e documentos e información pública, requerida por el peticionario».</w:t>
      </w:r>
      <w:r w:rsidRPr="005A2345">
        <w:rPr>
          <w:rFonts w:ascii="Times New Roman" w:hAnsi="Times New Roman" w:cs="Times New Roman"/>
          <w:vertAlign w:val="superscript"/>
        </w:rPr>
        <w:footnoteReference w:id="8"/>
      </w:r>
    </w:p>
    <w:p w:rsidR="00F728C7" w:rsidRPr="005A2345" w:rsidRDefault="005A2345" w:rsidP="00F728C7">
      <w:pPr>
        <w:pStyle w:val="Prrafodelista"/>
        <w:tabs>
          <w:tab w:val="left" w:pos="284"/>
          <w:tab w:val="left" w:pos="426"/>
        </w:tabs>
        <w:spacing w:after="0" w:line="240" w:lineRule="auto"/>
        <w:ind w:left="0"/>
        <w:jc w:val="both"/>
        <w:rPr>
          <w:rFonts w:ascii="Times New Roman" w:hAnsi="Times New Roman" w:cs="Times New Roman"/>
          <w:lang w:val="es-ES_tradnl"/>
        </w:rPr>
      </w:pPr>
    </w:p>
    <w:p w:rsidR="00375F57" w:rsidRPr="005A2345" w:rsidRDefault="005A2345" w:rsidP="00F728C7">
      <w:pPr>
        <w:pStyle w:val="Prrafodelista"/>
        <w:numPr>
          <w:ilvl w:val="0"/>
          <w:numId w:val="3"/>
        </w:numPr>
        <w:tabs>
          <w:tab w:val="left" w:pos="284"/>
          <w:tab w:val="left" w:pos="426"/>
        </w:tabs>
        <w:spacing w:after="0" w:line="240" w:lineRule="auto"/>
        <w:ind w:left="0" w:firstLine="0"/>
        <w:jc w:val="both"/>
        <w:rPr>
          <w:rFonts w:ascii="Times New Roman" w:hAnsi="Times New Roman" w:cs="Times New Roman"/>
          <w:lang w:val="es-ES_tradnl"/>
        </w:rPr>
      </w:pPr>
      <w:r w:rsidRPr="005A2345">
        <w:rPr>
          <w:rFonts w:ascii="Times New Roman" w:hAnsi="Times New Roman" w:cs="Times New Roman"/>
          <w:iCs/>
          <w:lang w:val="es-ES_tradnl"/>
        </w:rPr>
        <w:t>De ese modo, explicó que la norma atacada</w:t>
      </w:r>
      <w:r w:rsidRPr="005A2345">
        <w:rPr>
          <w:rFonts w:ascii="Times New Roman" w:hAnsi="Times New Roman" w:cs="Times New Roman"/>
          <w:iCs/>
          <w:lang w:val="es-ES_tradnl"/>
        </w:rPr>
        <w:t>,</w:t>
      </w:r>
      <w:r w:rsidRPr="005A2345">
        <w:rPr>
          <w:rFonts w:ascii="Times New Roman" w:hAnsi="Times New Roman" w:cs="Times New Roman"/>
          <w:iCs/>
          <w:lang w:val="es-ES_tradnl"/>
        </w:rPr>
        <w:t xml:space="preserve"> al establecer una reserva de los documentos de las sesiones del gabinete de paz, limita la posibilidad de acceder a la información y a document</w:t>
      </w:r>
      <w:r w:rsidRPr="005A2345">
        <w:rPr>
          <w:rFonts w:ascii="Times New Roman" w:hAnsi="Times New Roman" w:cs="Times New Roman"/>
          <w:iCs/>
          <w:lang w:val="es-ES_tradnl"/>
        </w:rPr>
        <w:t>os públicos a través del ejercicio del derecho de petición. El ciudadano señaló que a pesar de que se pueden presentar peticiones para acceder a la información del gabinete de paz, lo cierto es que, «</w:t>
      </w:r>
      <w:r w:rsidRPr="005A2345">
        <w:rPr>
          <w:rFonts w:ascii="Times New Roman" w:hAnsi="Times New Roman" w:cs="Times New Roman"/>
          <w:iCs/>
        </w:rPr>
        <w:t>¿cuál sería el efecto útil y real de la solicitud, si ya</w:t>
      </w:r>
      <w:r w:rsidRPr="005A2345">
        <w:rPr>
          <w:rFonts w:ascii="Times New Roman" w:hAnsi="Times New Roman" w:cs="Times New Roman"/>
          <w:iCs/>
        </w:rPr>
        <w:t xml:space="preserve"> el legislador señaló la reserva respecto de todos los actos, acuerdos e información relacionada con los temas de la política de Paz Total?».</w:t>
      </w:r>
      <w:r w:rsidRPr="005A2345">
        <w:rPr>
          <w:rFonts w:ascii="Times New Roman" w:hAnsi="Times New Roman" w:cs="Times New Roman"/>
          <w:vertAlign w:val="superscript"/>
        </w:rPr>
        <w:footnoteReference w:id="9"/>
      </w:r>
      <w:r w:rsidRPr="005A2345">
        <w:rPr>
          <w:rFonts w:ascii="Times New Roman" w:hAnsi="Times New Roman" w:cs="Times New Roman"/>
          <w:iCs/>
        </w:rPr>
        <w:t xml:space="preserve"> Por lo anterior, el ciudadano consideró que  la norma demandada hace nugatorio el ejercicio del derecho de petici</w:t>
      </w:r>
      <w:r w:rsidRPr="005A2345">
        <w:rPr>
          <w:rFonts w:ascii="Times New Roman" w:hAnsi="Times New Roman" w:cs="Times New Roman"/>
          <w:iCs/>
        </w:rPr>
        <w:t>ón, respecto de las temáticas indicadas, en razón a la reserva general e indeterminada que la misma creó.</w:t>
      </w:r>
    </w:p>
    <w:p w:rsidR="00375F57" w:rsidRPr="005A2345" w:rsidRDefault="005A2345" w:rsidP="009466EC">
      <w:pPr>
        <w:pBdr>
          <w:top w:val="nil"/>
          <w:left w:val="nil"/>
          <w:bottom w:val="nil"/>
          <w:right w:val="nil"/>
          <w:between w:val="nil"/>
        </w:pBdr>
        <w:tabs>
          <w:tab w:val="left" w:pos="426"/>
        </w:tabs>
        <w:ind w:right="618"/>
        <w:jc w:val="both"/>
        <w:rPr>
          <w:rFonts w:ascii="Times New Roman" w:hAnsi="Times New Roman" w:cs="Times New Roman"/>
          <w:sz w:val="28"/>
          <w:szCs w:val="28"/>
        </w:rPr>
      </w:pPr>
    </w:p>
    <w:p w:rsidR="00804139" w:rsidRPr="005A2345" w:rsidRDefault="005A2345" w:rsidP="00076595">
      <w:pPr>
        <w:pStyle w:val="Ttulo1"/>
        <w:numPr>
          <w:ilvl w:val="0"/>
          <w:numId w:val="1"/>
        </w:numPr>
        <w:tabs>
          <w:tab w:val="left" w:pos="426"/>
          <w:tab w:val="left" w:pos="993"/>
        </w:tabs>
        <w:spacing w:before="0" w:after="0" w:line="240" w:lineRule="auto"/>
        <w:ind w:left="0" w:firstLine="0"/>
        <w:rPr>
          <w:rFonts w:ascii="Times New Roman" w:hAnsi="Times New Roman" w:cs="Times New Roman"/>
          <w:color w:val="000000" w:themeColor="text1"/>
          <w:sz w:val="28"/>
          <w:szCs w:val="28"/>
          <w:lang w:val="es-ES_tradnl"/>
        </w:rPr>
      </w:pPr>
      <w:r w:rsidRPr="005A2345">
        <w:rPr>
          <w:rFonts w:ascii="Times New Roman" w:hAnsi="Times New Roman" w:cs="Times New Roman"/>
          <w:color w:val="000000" w:themeColor="text1"/>
          <w:sz w:val="28"/>
          <w:szCs w:val="28"/>
          <w:lang w:val="es-ES_tradnl"/>
        </w:rPr>
        <w:t xml:space="preserve"> </w:t>
      </w:r>
      <w:r w:rsidRPr="005A2345">
        <w:rPr>
          <w:rFonts w:ascii="Times New Roman" w:hAnsi="Times New Roman" w:cs="Times New Roman"/>
          <w:color w:val="000000" w:themeColor="text1"/>
          <w:sz w:val="28"/>
          <w:szCs w:val="28"/>
          <w:lang w:val="es-ES_tradnl"/>
        </w:rPr>
        <w:t>INTERVENCIONES</w:t>
      </w:r>
    </w:p>
    <w:p w:rsidR="00804139" w:rsidRPr="005A2345" w:rsidRDefault="005A2345" w:rsidP="00804139">
      <w:pPr>
        <w:rPr>
          <w:rFonts w:ascii="Times New Roman" w:hAnsi="Times New Roman" w:cs="Times New Roman"/>
          <w:sz w:val="28"/>
          <w:lang w:val="es-ES_tradnl" w:eastAsia="es-ES"/>
        </w:rPr>
      </w:pPr>
    </w:p>
    <w:p w:rsidR="00804139" w:rsidRPr="005A2345" w:rsidRDefault="005A2345" w:rsidP="00804139">
      <w:pPr>
        <w:numPr>
          <w:ilvl w:val="0"/>
          <w:numId w:val="3"/>
        </w:numPr>
        <w:pBdr>
          <w:top w:val="nil"/>
          <w:left w:val="nil"/>
          <w:bottom w:val="nil"/>
          <w:right w:val="nil"/>
          <w:between w:val="nil"/>
        </w:pBdr>
        <w:ind w:left="0" w:firstLine="0"/>
        <w:jc w:val="both"/>
        <w:rPr>
          <w:rFonts w:ascii="Times New Roman" w:hAnsi="Times New Roman" w:cs="Times New Roman"/>
          <w:sz w:val="28"/>
          <w:szCs w:val="28"/>
          <w:lang w:val="es-ES"/>
        </w:rPr>
      </w:pPr>
      <w:r w:rsidRPr="005A2345">
        <w:rPr>
          <w:rFonts w:ascii="Times New Roman" w:hAnsi="Times New Roman" w:cs="Times New Roman"/>
          <w:sz w:val="28"/>
          <w:szCs w:val="28"/>
          <w:lang w:val="es-ES"/>
        </w:rPr>
        <w:t xml:space="preserve">Dentro del término otorgado por la magistrada sustanciadora para intervenir en el presente proceso de constitucionalidad, se </w:t>
      </w:r>
      <w:r w:rsidRPr="005A2345">
        <w:rPr>
          <w:rFonts w:ascii="Times New Roman" w:hAnsi="Times New Roman" w:cs="Times New Roman"/>
          <w:sz w:val="28"/>
          <w:szCs w:val="28"/>
          <w:lang w:val="es-ES"/>
        </w:rPr>
        <w:t>recibieron l</w:t>
      </w:r>
      <w:r w:rsidRPr="005A2345">
        <w:rPr>
          <w:rFonts w:ascii="Times New Roman" w:hAnsi="Times New Roman" w:cs="Times New Roman"/>
          <w:sz w:val="28"/>
          <w:szCs w:val="28"/>
          <w:lang w:val="es-ES"/>
        </w:rPr>
        <w:t>a</w:t>
      </w:r>
      <w:r w:rsidRPr="005A2345">
        <w:rPr>
          <w:rFonts w:ascii="Times New Roman" w:hAnsi="Times New Roman" w:cs="Times New Roman"/>
          <w:sz w:val="28"/>
          <w:szCs w:val="28"/>
          <w:lang w:val="es-ES"/>
        </w:rPr>
        <w:t xml:space="preserve">s siguientes </w:t>
      </w:r>
      <w:r w:rsidRPr="005A2345">
        <w:rPr>
          <w:rFonts w:ascii="Times New Roman" w:hAnsi="Times New Roman" w:cs="Times New Roman"/>
          <w:sz w:val="28"/>
          <w:szCs w:val="28"/>
          <w:lang w:val="es-ES"/>
        </w:rPr>
        <w:t xml:space="preserve">intervenciones, cuyo resumen se presenta </w:t>
      </w:r>
      <w:r w:rsidRPr="005A2345">
        <w:rPr>
          <w:rFonts w:ascii="Times New Roman" w:hAnsi="Times New Roman" w:cs="Times New Roman"/>
          <w:sz w:val="28"/>
          <w:szCs w:val="28"/>
          <w:lang w:val="es-ES"/>
        </w:rPr>
        <w:t>en el Anexo I de esta providencia</w:t>
      </w:r>
      <w:r w:rsidRPr="005A2345">
        <w:rPr>
          <w:rFonts w:ascii="Times New Roman" w:hAnsi="Times New Roman" w:cs="Times New Roman"/>
          <w:sz w:val="28"/>
          <w:szCs w:val="28"/>
          <w:lang w:val="es-ES"/>
        </w:rPr>
        <w:t>:</w:t>
      </w:r>
    </w:p>
    <w:p w:rsidR="00DE2E84" w:rsidRPr="005A2345" w:rsidRDefault="005A2345" w:rsidP="00E67A77">
      <w:pPr>
        <w:pBdr>
          <w:top w:val="nil"/>
          <w:left w:val="nil"/>
          <w:bottom w:val="nil"/>
          <w:right w:val="nil"/>
          <w:between w:val="nil"/>
        </w:pBdr>
        <w:spacing w:after="120"/>
        <w:jc w:val="both"/>
        <w:rPr>
          <w:rFonts w:ascii="Times New Roman" w:hAnsi="Times New Roman" w:cs="Times New Roman"/>
          <w:sz w:val="28"/>
          <w:szCs w:val="12"/>
          <w:lang w:val="es-ES"/>
        </w:rPr>
      </w:pPr>
    </w:p>
    <w:tbl>
      <w:tblPr>
        <w:tblStyle w:val="Tablaconcuadrcula"/>
        <w:tblW w:w="0" w:type="auto"/>
        <w:tblLook w:val="04A0" w:firstRow="1" w:lastRow="0" w:firstColumn="1" w:lastColumn="0" w:noHBand="0" w:noVBand="1"/>
      </w:tblPr>
      <w:tblGrid>
        <w:gridCol w:w="8830"/>
      </w:tblGrid>
      <w:tr w:rsidR="00DE2E84" w:rsidRPr="005A2345" w:rsidTr="00EE3479">
        <w:tc>
          <w:tcPr>
            <w:tcW w:w="8830" w:type="dxa"/>
            <w:shd w:val="clear" w:color="auto" w:fill="D9D9D9" w:themeFill="background1" w:themeFillShade="D9"/>
          </w:tcPr>
          <w:p w:rsidR="00DE2E84" w:rsidRPr="005A2345" w:rsidRDefault="005A2345" w:rsidP="008628A1">
            <w:pPr>
              <w:spacing w:after="120"/>
              <w:jc w:val="center"/>
              <w:rPr>
                <w:rFonts w:ascii="Times New Roman" w:hAnsi="Times New Roman" w:cs="Times New Roman"/>
                <w:sz w:val="28"/>
                <w:szCs w:val="23"/>
                <w:lang w:val="es-ES"/>
              </w:rPr>
            </w:pPr>
            <w:bookmarkStart w:id="17" w:name="_Hlk166858182"/>
            <w:r w:rsidRPr="005A2345">
              <w:rPr>
                <w:rFonts w:ascii="Times New Roman" w:hAnsi="Times New Roman" w:cs="Times New Roman"/>
                <w:b/>
                <w:bCs/>
                <w:sz w:val="28"/>
                <w:szCs w:val="23"/>
                <w:lang w:val="es-ES"/>
              </w:rPr>
              <w:t xml:space="preserve">Intervenciones en las que </w:t>
            </w:r>
            <w:r w:rsidRPr="005A2345">
              <w:rPr>
                <w:rFonts w:ascii="Times New Roman" w:hAnsi="Times New Roman" w:cs="Times New Roman"/>
                <w:b/>
                <w:bCs/>
                <w:sz w:val="28"/>
                <w:szCs w:val="23"/>
                <w:lang w:val="es-ES"/>
              </w:rPr>
              <w:t xml:space="preserve">se </w:t>
            </w:r>
            <w:r w:rsidRPr="005A2345">
              <w:rPr>
                <w:rFonts w:ascii="Times New Roman" w:hAnsi="Times New Roman" w:cs="Times New Roman"/>
                <w:b/>
                <w:bCs/>
                <w:sz w:val="28"/>
                <w:szCs w:val="23"/>
                <w:lang w:val="es-ES"/>
              </w:rPr>
              <w:t>solicita la exequibilidad de la disposici</w:t>
            </w:r>
            <w:r w:rsidRPr="005A2345">
              <w:rPr>
                <w:rFonts w:ascii="Times New Roman" w:hAnsi="Times New Roman" w:cs="Times New Roman"/>
                <w:b/>
                <w:bCs/>
                <w:sz w:val="28"/>
                <w:szCs w:val="23"/>
                <w:lang w:val="es-ES"/>
              </w:rPr>
              <w:t>ón</w:t>
            </w:r>
            <w:r w:rsidRPr="005A2345">
              <w:rPr>
                <w:rFonts w:ascii="Times New Roman" w:hAnsi="Times New Roman" w:cs="Times New Roman"/>
                <w:b/>
                <w:bCs/>
                <w:sz w:val="28"/>
                <w:szCs w:val="23"/>
                <w:lang w:val="es-ES"/>
              </w:rPr>
              <w:t xml:space="preserve"> demandada</w:t>
            </w:r>
          </w:p>
        </w:tc>
      </w:tr>
      <w:tr w:rsidR="009B6908" w:rsidRPr="005A2345" w:rsidTr="00466806">
        <w:tc>
          <w:tcPr>
            <w:tcW w:w="8830" w:type="dxa"/>
          </w:tcPr>
          <w:p w:rsidR="0074076D" w:rsidRPr="005A2345" w:rsidRDefault="005A2345" w:rsidP="008628A1">
            <w:pPr>
              <w:spacing w:after="120"/>
              <w:jc w:val="both"/>
              <w:rPr>
                <w:rFonts w:ascii="Times New Roman" w:hAnsi="Times New Roman" w:cs="Times New Roman"/>
                <w:sz w:val="28"/>
                <w:lang w:val="es-ES"/>
              </w:rPr>
            </w:pPr>
            <w:r w:rsidRPr="005A2345">
              <w:rPr>
                <w:rFonts w:ascii="Times New Roman" w:hAnsi="Times New Roman" w:cs="Times New Roman"/>
                <w:sz w:val="28"/>
              </w:rPr>
              <w:t xml:space="preserve">Clínica Jurídica de la Escuela de Derecho y Ciencias Políticas de la </w:t>
            </w:r>
            <w:r w:rsidRPr="005A2345">
              <w:rPr>
                <w:rFonts w:ascii="Times New Roman" w:hAnsi="Times New Roman" w:cs="Times New Roman"/>
                <w:sz w:val="28"/>
              </w:rPr>
              <w:t>Universidad Pontificia Bolivariana, Medellín</w:t>
            </w:r>
          </w:p>
        </w:tc>
      </w:tr>
      <w:tr w:rsidR="000538F9" w:rsidRPr="005A2345" w:rsidTr="00466806">
        <w:tc>
          <w:tcPr>
            <w:tcW w:w="8830" w:type="dxa"/>
          </w:tcPr>
          <w:p w:rsidR="00F3165B" w:rsidRPr="005A2345" w:rsidRDefault="005A2345" w:rsidP="009A327F">
            <w:pPr>
              <w:spacing w:after="120"/>
              <w:jc w:val="both"/>
              <w:rPr>
                <w:rFonts w:ascii="Times New Roman" w:hAnsi="Times New Roman" w:cs="Times New Roman"/>
                <w:sz w:val="28"/>
                <w:lang w:val="es-ES"/>
              </w:rPr>
            </w:pPr>
            <w:r w:rsidRPr="005A2345">
              <w:rPr>
                <w:rFonts w:ascii="Times New Roman" w:hAnsi="Times New Roman" w:cs="Times New Roman"/>
                <w:sz w:val="28"/>
                <w:lang w:val="es-ES"/>
              </w:rPr>
              <w:t xml:space="preserve">Ministerio de Justicia y del Derecho. Solicitó principalmente la ineptitud de la demanda y subsidiariamente la exequibilidad. </w:t>
            </w:r>
          </w:p>
        </w:tc>
      </w:tr>
      <w:tr w:rsidR="000538F9" w:rsidRPr="005A2345" w:rsidTr="00466806">
        <w:tc>
          <w:tcPr>
            <w:tcW w:w="8830" w:type="dxa"/>
          </w:tcPr>
          <w:p w:rsidR="0074076D" w:rsidRPr="005A2345" w:rsidRDefault="005A2345" w:rsidP="001305A1">
            <w:pPr>
              <w:spacing w:after="120"/>
              <w:jc w:val="both"/>
              <w:rPr>
                <w:rFonts w:ascii="Times New Roman" w:hAnsi="Times New Roman" w:cs="Times New Roman"/>
                <w:sz w:val="28"/>
                <w:lang w:val="es-ES"/>
              </w:rPr>
            </w:pPr>
            <w:r w:rsidRPr="005A2345">
              <w:rPr>
                <w:rFonts w:ascii="Times New Roman" w:hAnsi="Times New Roman" w:cs="Times New Roman"/>
                <w:sz w:val="28"/>
                <w:lang w:val="es-ES"/>
              </w:rPr>
              <w:t xml:space="preserve">Presidencia de la República. Solicitó principalmente la ineptitud de la demanda y </w:t>
            </w:r>
            <w:r w:rsidRPr="005A2345">
              <w:rPr>
                <w:rFonts w:ascii="Times New Roman" w:hAnsi="Times New Roman" w:cs="Times New Roman"/>
                <w:sz w:val="28"/>
                <w:lang w:val="es-ES"/>
              </w:rPr>
              <w:t>subsidiariamente la exequibilidad.</w:t>
            </w:r>
          </w:p>
        </w:tc>
      </w:tr>
      <w:tr w:rsidR="007E7504" w:rsidRPr="005A2345" w:rsidTr="00466806">
        <w:tc>
          <w:tcPr>
            <w:tcW w:w="8830" w:type="dxa"/>
          </w:tcPr>
          <w:p w:rsidR="007E7504" w:rsidRPr="005A2345" w:rsidRDefault="005A2345" w:rsidP="001305A1">
            <w:pPr>
              <w:spacing w:after="120"/>
              <w:jc w:val="both"/>
              <w:rPr>
                <w:rFonts w:ascii="Times New Roman" w:hAnsi="Times New Roman" w:cs="Times New Roman"/>
                <w:sz w:val="28"/>
                <w:lang w:val="es-ES"/>
              </w:rPr>
            </w:pPr>
            <w:r w:rsidRPr="005A2345">
              <w:rPr>
                <w:rFonts w:ascii="Times New Roman" w:hAnsi="Times New Roman" w:cs="Times New Roman"/>
                <w:sz w:val="28"/>
                <w:lang w:val="es-ES"/>
              </w:rPr>
              <w:t>Ministerio del Interior. Solicitó principalmente la ineptitud de la demanda y subsidiariamente la exequibilidad.</w:t>
            </w:r>
          </w:p>
        </w:tc>
      </w:tr>
      <w:tr w:rsidR="0032787C" w:rsidRPr="005A2345" w:rsidTr="0032787C">
        <w:tc>
          <w:tcPr>
            <w:tcW w:w="8830" w:type="dxa"/>
            <w:shd w:val="clear" w:color="auto" w:fill="D9D9D9" w:themeFill="background1" w:themeFillShade="D9"/>
          </w:tcPr>
          <w:p w:rsidR="0032787C" w:rsidRPr="005A2345" w:rsidRDefault="005A2345" w:rsidP="0032787C">
            <w:pPr>
              <w:spacing w:after="120"/>
              <w:jc w:val="center"/>
              <w:rPr>
                <w:rFonts w:ascii="Times New Roman" w:hAnsi="Times New Roman" w:cs="Times New Roman"/>
                <w:sz w:val="28"/>
                <w:szCs w:val="23"/>
                <w:lang w:val="es-ES"/>
              </w:rPr>
            </w:pPr>
            <w:r w:rsidRPr="005A2345">
              <w:rPr>
                <w:rFonts w:ascii="Times New Roman" w:hAnsi="Times New Roman" w:cs="Times New Roman"/>
                <w:b/>
                <w:bCs/>
                <w:sz w:val="28"/>
                <w:szCs w:val="23"/>
                <w:lang w:val="es-ES"/>
              </w:rPr>
              <w:t>Intervenciones en las que solicita la exequibilidad condicionada de la disposición demandada</w:t>
            </w:r>
          </w:p>
        </w:tc>
      </w:tr>
      <w:tr w:rsidR="000538F9" w:rsidRPr="005A2345" w:rsidTr="00466806">
        <w:tc>
          <w:tcPr>
            <w:tcW w:w="8830" w:type="dxa"/>
          </w:tcPr>
          <w:p w:rsidR="0074076D" w:rsidRPr="005A2345" w:rsidRDefault="005A2345" w:rsidP="000538F9">
            <w:pPr>
              <w:spacing w:after="120"/>
              <w:jc w:val="both"/>
              <w:rPr>
                <w:rFonts w:ascii="Times New Roman" w:hAnsi="Times New Roman" w:cs="Times New Roman"/>
                <w:sz w:val="28"/>
                <w:lang w:val="es-ES"/>
              </w:rPr>
            </w:pPr>
            <w:r w:rsidRPr="005A2345">
              <w:rPr>
                <w:rFonts w:ascii="Times New Roman" w:hAnsi="Times New Roman" w:cs="Times New Roman"/>
                <w:sz w:val="28"/>
              </w:rPr>
              <w:t xml:space="preserve">Facultad de </w:t>
            </w:r>
            <w:r w:rsidRPr="005A2345">
              <w:rPr>
                <w:rFonts w:ascii="Times New Roman" w:hAnsi="Times New Roman" w:cs="Times New Roman"/>
                <w:sz w:val="28"/>
              </w:rPr>
              <w:t>Derecho y Ciencias Políticas de la Universidad de Nariño. Solicitó la exequibilidad condicionada, en tanto se establezca un límite de tiempo de la reserva.</w:t>
            </w:r>
          </w:p>
        </w:tc>
      </w:tr>
      <w:tr w:rsidR="00E938E8" w:rsidRPr="005A2345" w:rsidTr="00466806">
        <w:tc>
          <w:tcPr>
            <w:tcW w:w="8830" w:type="dxa"/>
          </w:tcPr>
          <w:p w:rsidR="00E938E8" w:rsidRPr="005A2345" w:rsidRDefault="005A2345" w:rsidP="000538F9">
            <w:pPr>
              <w:spacing w:after="120"/>
              <w:jc w:val="both"/>
              <w:rPr>
                <w:rFonts w:ascii="Times New Roman" w:hAnsi="Times New Roman" w:cs="Times New Roman"/>
                <w:sz w:val="28"/>
              </w:rPr>
            </w:pPr>
            <w:r w:rsidRPr="005A2345">
              <w:rPr>
                <w:rFonts w:ascii="Times New Roman" w:hAnsi="Times New Roman" w:cs="Times New Roman"/>
                <w:sz w:val="28"/>
              </w:rPr>
              <w:t xml:space="preserve">Comisión Colombiana de Juristas. Solicitó la exequibilidad condicionada, </w:t>
            </w:r>
            <w:r w:rsidRPr="005A2345">
              <w:rPr>
                <w:rFonts w:ascii="Times New Roman" w:hAnsi="Times New Roman" w:cs="Times New Roman"/>
                <w:sz w:val="28"/>
              </w:rPr>
              <w:t xml:space="preserve">«en el sentido de que los </w:t>
            </w:r>
            <w:r w:rsidRPr="005A2345">
              <w:rPr>
                <w:rFonts w:ascii="Times New Roman" w:hAnsi="Times New Roman" w:cs="Times New Roman"/>
                <w:sz w:val="28"/>
              </w:rPr>
              <w:t>alcances y límites de la reserva legal que establece esta norma, pueden resolverse con los parámetros establecidos en la Ley 1712 de 2014</w:t>
            </w:r>
            <w:r w:rsidRPr="005A2345">
              <w:rPr>
                <w:rFonts w:ascii="Times New Roman" w:hAnsi="Times New Roman" w:cs="Times New Roman"/>
                <w:sz w:val="28"/>
              </w:rPr>
              <w:t xml:space="preserve"> […] Por tanto, se solicita a la Corte que precise el alcance de la reserva, la autoridad responsable y la temporalidad</w:t>
            </w:r>
            <w:r w:rsidRPr="005A2345">
              <w:rPr>
                <w:rFonts w:ascii="Times New Roman" w:hAnsi="Times New Roman" w:cs="Times New Roman"/>
                <w:sz w:val="28"/>
              </w:rPr>
              <w:t>, entre los temas que, legítimamente, pueden ser clasificados como confidenciales</w:t>
            </w:r>
            <w:r w:rsidRPr="005A2345">
              <w:rPr>
                <w:rFonts w:ascii="Times New Roman" w:hAnsi="Times New Roman" w:cs="Times New Roman"/>
                <w:sz w:val="28"/>
              </w:rPr>
              <w:t>».</w:t>
            </w:r>
          </w:p>
        </w:tc>
      </w:tr>
      <w:tr w:rsidR="006273F6" w:rsidRPr="005A2345" w:rsidTr="00466806">
        <w:tc>
          <w:tcPr>
            <w:tcW w:w="8830" w:type="dxa"/>
          </w:tcPr>
          <w:p w:rsidR="006273F6" w:rsidRPr="005A2345" w:rsidRDefault="005A2345" w:rsidP="000538F9">
            <w:pPr>
              <w:spacing w:after="120"/>
              <w:jc w:val="both"/>
              <w:rPr>
                <w:rFonts w:ascii="Times New Roman" w:hAnsi="Times New Roman" w:cs="Times New Roman"/>
                <w:sz w:val="28"/>
              </w:rPr>
            </w:pPr>
            <w:r w:rsidRPr="005A2345">
              <w:rPr>
                <w:rFonts w:ascii="Times New Roman" w:hAnsi="Times New Roman" w:cs="Times New Roman"/>
                <w:sz w:val="28"/>
              </w:rPr>
              <w:t>Observatorio de Intervención Ciudadana Constitucional de la Facultad de Derecho de la Universidad Libre. Solicitó la exequibilidad condicionada</w:t>
            </w:r>
            <w:r w:rsidRPr="005A2345">
              <w:rPr>
                <w:rFonts w:ascii="Times New Roman" w:hAnsi="Times New Roman" w:cs="Times New Roman"/>
                <w:sz w:val="28"/>
              </w:rPr>
              <w:t xml:space="preserve">, en el sentido de precisar que </w:t>
            </w:r>
            <w:r w:rsidRPr="005A2345">
              <w:rPr>
                <w:rFonts w:ascii="Times New Roman" w:eastAsia="Calibri" w:hAnsi="Times New Roman" w:cs="Times New Roman"/>
                <w:sz w:val="28"/>
                <w:lang w:eastAsia="en-US"/>
              </w:rPr>
              <w:t>la información y documentación pública aludida en el parágrafo 1</w:t>
            </w:r>
            <w:r w:rsidRPr="005A2345">
              <w:rPr>
                <w:rFonts w:ascii="Times New Roman" w:eastAsia="Calibri" w:hAnsi="Times New Roman" w:cs="Times New Roman"/>
                <w:sz w:val="28"/>
                <w:lang w:eastAsia="en-US"/>
              </w:rPr>
              <w:t>º</w:t>
            </w:r>
            <w:r w:rsidRPr="005A2345">
              <w:rPr>
                <w:rFonts w:ascii="Times New Roman" w:eastAsia="Calibri" w:hAnsi="Times New Roman" w:cs="Times New Roman"/>
                <w:sz w:val="28"/>
                <w:lang w:eastAsia="en-US"/>
              </w:rPr>
              <w:t xml:space="preserve"> demandado, corresponde a la información excluida por el artículo 19 de la Ley 1712 de 2014, definir el tiempo de la reserva, la custodia de la información y q</w:t>
            </w:r>
            <w:r w:rsidRPr="005A2345">
              <w:rPr>
                <w:rFonts w:ascii="Times New Roman" w:eastAsia="Calibri" w:hAnsi="Times New Roman" w:cs="Times New Roman"/>
                <w:sz w:val="28"/>
                <w:lang w:eastAsia="en-US"/>
              </w:rPr>
              <w:t>ue ésta no es aplicable a violaciones graves a los derechos humanos.</w:t>
            </w:r>
          </w:p>
        </w:tc>
      </w:tr>
      <w:tr w:rsidR="00EF11C6" w:rsidRPr="005A2345" w:rsidTr="00466806">
        <w:tc>
          <w:tcPr>
            <w:tcW w:w="8830" w:type="dxa"/>
          </w:tcPr>
          <w:p w:rsidR="00EF11C6" w:rsidRPr="005A2345" w:rsidRDefault="005A2345" w:rsidP="000538F9">
            <w:pPr>
              <w:spacing w:after="120"/>
              <w:jc w:val="both"/>
              <w:rPr>
                <w:rFonts w:ascii="Times New Roman" w:hAnsi="Times New Roman" w:cs="Times New Roman"/>
                <w:sz w:val="28"/>
              </w:rPr>
            </w:pPr>
            <w:r w:rsidRPr="005A2345">
              <w:rPr>
                <w:rFonts w:ascii="Times New Roman" w:hAnsi="Times New Roman" w:cs="Times New Roman"/>
                <w:sz w:val="28"/>
              </w:rPr>
              <w:t xml:space="preserve">Defensoría del Pueblo. Solicitó la exequibilidad condicionada, </w:t>
            </w:r>
            <w:r w:rsidRPr="005A2345">
              <w:rPr>
                <w:rFonts w:ascii="Times New Roman" w:hAnsi="Times New Roman" w:cs="Times New Roman"/>
                <w:sz w:val="28"/>
              </w:rPr>
              <w:t>«en tanto se entienda ajustada a los parámetros contenidos en el artículo 19 de la Ley 1712 de 2014, Estatutaria de Transpa</w:t>
            </w:r>
            <w:r w:rsidRPr="005A2345">
              <w:rPr>
                <w:rFonts w:ascii="Times New Roman" w:hAnsi="Times New Roman" w:cs="Times New Roman"/>
                <w:sz w:val="28"/>
              </w:rPr>
              <w:t>rencia y del Derecho de Acceso a la Información Pública Nacional, y de información reservada del artículo 24 de la Ley 1755 de 2015, Estatutaria del Derecho de Petición».</w:t>
            </w:r>
          </w:p>
        </w:tc>
      </w:tr>
      <w:bookmarkEnd w:id="17"/>
    </w:tbl>
    <w:p w:rsidR="00693CA0" w:rsidRPr="005A2345" w:rsidRDefault="005A2345" w:rsidP="00693CA0">
      <w:pPr>
        <w:rPr>
          <w:rFonts w:ascii="Times New Roman" w:hAnsi="Times New Roman" w:cs="Times New Roman"/>
          <w:sz w:val="28"/>
          <w:lang w:val="es-ES_tradnl" w:eastAsia="es-ES"/>
        </w:rPr>
      </w:pPr>
    </w:p>
    <w:tbl>
      <w:tblPr>
        <w:tblStyle w:val="Tablaconcuadrcula"/>
        <w:tblW w:w="0" w:type="auto"/>
        <w:tblLook w:val="04A0" w:firstRow="1" w:lastRow="0" w:firstColumn="1" w:lastColumn="0" w:noHBand="0" w:noVBand="1"/>
      </w:tblPr>
      <w:tblGrid>
        <w:gridCol w:w="8830"/>
      </w:tblGrid>
      <w:tr w:rsidR="00F3165B" w:rsidRPr="005A2345" w:rsidTr="003257AB">
        <w:tc>
          <w:tcPr>
            <w:tcW w:w="8830" w:type="dxa"/>
            <w:shd w:val="clear" w:color="auto" w:fill="D9D9D9" w:themeFill="background1" w:themeFillShade="D9"/>
          </w:tcPr>
          <w:p w:rsidR="00F3165B" w:rsidRPr="005A2345" w:rsidRDefault="005A2345" w:rsidP="00F3165B">
            <w:pPr>
              <w:rPr>
                <w:rFonts w:ascii="Times New Roman" w:hAnsi="Times New Roman" w:cs="Times New Roman"/>
                <w:sz w:val="28"/>
                <w:lang w:val="es-ES" w:eastAsia="es-ES"/>
              </w:rPr>
            </w:pPr>
            <w:r w:rsidRPr="005A2345">
              <w:rPr>
                <w:rFonts w:ascii="Times New Roman" w:hAnsi="Times New Roman" w:cs="Times New Roman"/>
                <w:b/>
                <w:bCs/>
                <w:sz w:val="28"/>
                <w:lang w:val="es-ES" w:eastAsia="es-ES"/>
              </w:rPr>
              <w:t>Intervenciones en las que solicita la inexequibilidad de la disposición demandada</w:t>
            </w:r>
          </w:p>
        </w:tc>
      </w:tr>
      <w:tr w:rsidR="00F3165B" w:rsidRPr="005A2345" w:rsidTr="003257AB">
        <w:tc>
          <w:tcPr>
            <w:tcW w:w="8830" w:type="dxa"/>
          </w:tcPr>
          <w:p w:rsidR="0032787C" w:rsidRPr="005A2345" w:rsidRDefault="005A2345" w:rsidP="00F3165B">
            <w:pPr>
              <w:rPr>
                <w:rFonts w:ascii="Times New Roman" w:hAnsi="Times New Roman" w:cs="Times New Roman"/>
                <w:sz w:val="28"/>
                <w:lang w:val="es-ES" w:eastAsia="es-ES"/>
              </w:rPr>
            </w:pPr>
          </w:p>
          <w:p w:rsidR="00F3165B" w:rsidRPr="005A2345" w:rsidRDefault="005A2345" w:rsidP="00F3165B">
            <w:pPr>
              <w:rPr>
                <w:rFonts w:ascii="Times New Roman" w:hAnsi="Times New Roman" w:cs="Times New Roman"/>
                <w:sz w:val="28"/>
                <w:lang w:val="es-ES" w:eastAsia="es-ES"/>
              </w:rPr>
            </w:pPr>
            <w:r w:rsidRPr="005A2345">
              <w:rPr>
                <w:rFonts w:ascii="Times New Roman" w:hAnsi="Times New Roman" w:cs="Times New Roman"/>
                <w:sz w:val="28"/>
                <w:lang w:val="es-ES" w:eastAsia="es-ES"/>
              </w:rPr>
              <w:t>El Veinte y la Fundación para la Libertad de Prensa FLIP</w:t>
            </w:r>
          </w:p>
          <w:p w:rsidR="0032787C" w:rsidRPr="005A2345" w:rsidRDefault="005A2345" w:rsidP="00F3165B">
            <w:pPr>
              <w:rPr>
                <w:rFonts w:ascii="Times New Roman" w:hAnsi="Times New Roman" w:cs="Times New Roman"/>
                <w:sz w:val="28"/>
                <w:lang w:val="es-ES" w:eastAsia="es-ES"/>
              </w:rPr>
            </w:pPr>
          </w:p>
        </w:tc>
      </w:tr>
    </w:tbl>
    <w:p w:rsidR="00DB62AE" w:rsidRPr="005A2345" w:rsidRDefault="005A2345" w:rsidP="00693CA0">
      <w:pPr>
        <w:rPr>
          <w:rFonts w:ascii="Times New Roman" w:hAnsi="Times New Roman" w:cs="Times New Roman"/>
          <w:sz w:val="28"/>
          <w:lang w:val="es-ES_tradnl" w:eastAsia="es-ES"/>
        </w:rPr>
      </w:pPr>
    </w:p>
    <w:p w:rsidR="00886F25" w:rsidRPr="005A2345" w:rsidRDefault="005A2345" w:rsidP="00886F25">
      <w:pPr>
        <w:jc w:val="both"/>
        <w:rPr>
          <w:rFonts w:ascii="Times New Roman" w:hAnsi="Times New Roman" w:cs="Times New Roman"/>
          <w:sz w:val="28"/>
          <w:szCs w:val="28"/>
          <w:lang w:val="es-ES_tradnl" w:eastAsia="es-ES"/>
        </w:rPr>
      </w:pPr>
      <w:r w:rsidRPr="005A2345">
        <w:rPr>
          <w:rFonts w:ascii="Times New Roman" w:hAnsi="Times New Roman" w:cs="Times New Roman"/>
          <w:sz w:val="28"/>
          <w:szCs w:val="28"/>
          <w:lang w:val="es-ES_tradnl" w:eastAsia="es-ES"/>
        </w:rPr>
        <w:t>Cabe precisar que Transparencia por Colombia presentó intervención</w:t>
      </w:r>
      <w:r w:rsidRPr="005A2345">
        <w:rPr>
          <w:rFonts w:ascii="Times New Roman" w:hAnsi="Times New Roman" w:cs="Times New Roman"/>
          <w:sz w:val="28"/>
          <w:szCs w:val="28"/>
          <w:lang w:val="es-ES_tradnl" w:eastAsia="es-ES"/>
        </w:rPr>
        <w:t>,</w:t>
      </w:r>
      <w:r w:rsidRPr="005A2345">
        <w:rPr>
          <w:rFonts w:ascii="Times New Roman" w:hAnsi="Times New Roman" w:cs="Times New Roman"/>
          <w:sz w:val="28"/>
          <w:szCs w:val="28"/>
          <w:lang w:val="es-ES_tradnl" w:eastAsia="es-ES"/>
        </w:rPr>
        <w:t xml:space="preserve"> pero no formuló expresamente posición alguna sobre la constitucionalidad o inconstitucionalidad de la norma demandada. </w:t>
      </w:r>
    </w:p>
    <w:p w:rsidR="00886F25" w:rsidRPr="005A2345" w:rsidRDefault="005A2345" w:rsidP="00693CA0">
      <w:pPr>
        <w:rPr>
          <w:rFonts w:ascii="Times New Roman" w:hAnsi="Times New Roman" w:cs="Times New Roman"/>
          <w:sz w:val="28"/>
          <w:lang w:val="es-ES_tradnl" w:eastAsia="es-ES"/>
        </w:rPr>
      </w:pPr>
    </w:p>
    <w:p w:rsidR="00F47E30" w:rsidRPr="005A2345" w:rsidRDefault="005A2345" w:rsidP="00076595">
      <w:pPr>
        <w:pStyle w:val="Ttulo1"/>
        <w:numPr>
          <w:ilvl w:val="0"/>
          <w:numId w:val="1"/>
        </w:numPr>
        <w:tabs>
          <w:tab w:val="left" w:pos="426"/>
        </w:tabs>
        <w:spacing w:before="0" w:after="0" w:line="240" w:lineRule="auto"/>
        <w:ind w:left="0" w:firstLine="0"/>
        <w:rPr>
          <w:rFonts w:ascii="Times New Roman" w:hAnsi="Times New Roman" w:cs="Times New Roman"/>
          <w:color w:val="000000" w:themeColor="text1"/>
          <w:sz w:val="28"/>
          <w:szCs w:val="28"/>
          <w:lang w:val="es-ES_tradnl"/>
        </w:rPr>
      </w:pPr>
      <w:r w:rsidRPr="005A2345">
        <w:rPr>
          <w:rFonts w:ascii="Times New Roman" w:hAnsi="Times New Roman" w:cs="Times New Roman"/>
          <w:color w:val="000000" w:themeColor="text1"/>
          <w:sz w:val="28"/>
          <w:szCs w:val="28"/>
          <w:lang w:val="es-ES_tradnl"/>
        </w:rPr>
        <w:t xml:space="preserve">Concepto de la Procuradora General de la Nación </w:t>
      </w:r>
    </w:p>
    <w:p w:rsidR="00E65092" w:rsidRPr="005A2345" w:rsidRDefault="005A2345" w:rsidP="00E65092">
      <w:pPr>
        <w:rPr>
          <w:rFonts w:ascii="Times New Roman" w:hAnsi="Times New Roman" w:cs="Times New Roman"/>
          <w:sz w:val="28"/>
          <w:lang w:val="es-ES_tradnl" w:eastAsia="es-ES"/>
        </w:rPr>
      </w:pPr>
    </w:p>
    <w:p w:rsidR="00CB363D" w:rsidRPr="005A2345" w:rsidRDefault="005A2345" w:rsidP="00F76B2A">
      <w:pPr>
        <w:numPr>
          <w:ilvl w:val="0"/>
          <w:numId w:val="3"/>
        </w:numPr>
        <w:pBdr>
          <w:top w:val="nil"/>
          <w:left w:val="nil"/>
          <w:bottom w:val="nil"/>
          <w:right w:val="nil"/>
          <w:between w:val="nil"/>
        </w:pBdr>
        <w:tabs>
          <w:tab w:val="left" w:pos="284"/>
          <w:tab w:val="left" w:pos="426"/>
        </w:tabs>
        <w:ind w:left="0" w:firstLine="0"/>
        <w:jc w:val="both"/>
        <w:rPr>
          <w:rFonts w:ascii="Times New Roman" w:hAnsi="Times New Roman" w:cs="Times New Roman"/>
          <w:sz w:val="28"/>
          <w:szCs w:val="28"/>
          <w:lang w:eastAsia="es-ES"/>
        </w:rPr>
      </w:pPr>
      <w:r w:rsidRPr="005A2345">
        <w:rPr>
          <w:rFonts w:ascii="Times New Roman" w:hAnsi="Times New Roman" w:cs="Times New Roman"/>
          <w:sz w:val="28"/>
          <w:szCs w:val="28"/>
          <w:lang w:val="es-ES_tradnl" w:eastAsia="es-ES"/>
        </w:rPr>
        <w:t>La representante del Ministerio Públic</w:t>
      </w:r>
      <w:r w:rsidRPr="005A2345">
        <w:rPr>
          <w:rFonts w:ascii="Times New Roman" w:hAnsi="Times New Roman" w:cs="Times New Roman"/>
          <w:sz w:val="28"/>
          <w:szCs w:val="28"/>
          <w:lang w:val="es-ES_tradnl" w:eastAsia="es-ES"/>
        </w:rPr>
        <w:t>o</w:t>
      </w:r>
      <w:r w:rsidRPr="005A2345">
        <w:rPr>
          <w:rFonts w:ascii="Times New Roman" w:hAnsi="Times New Roman" w:cs="Times New Roman"/>
          <w:sz w:val="28"/>
          <w:szCs w:val="28"/>
          <w:lang w:val="es-ES_tradnl" w:eastAsia="es-ES"/>
        </w:rPr>
        <w:t xml:space="preserve"> </w:t>
      </w:r>
      <w:r w:rsidRPr="005A2345">
        <w:rPr>
          <w:rFonts w:ascii="Times New Roman" w:hAnsi="Times New Roman" w:cs="Times New Roman"/>
          <w:sz w:val="28"/>
          <w:szCs w:val="28"/>
          <w:lang w:val="es-ES_tradnl" w:eastAsia="es-ES"/>
        </w:rPr>
        <w:t xml:space="preserve">solicitó </w:t>
      </w:r>
      <w:r w:rsidRPr="005A2345">
        <w:rPr>
          <w:rFonts w:ascii="Times New Roman" w:hAnsi="Times New Roman" w:cs="Times New Roman"/>
          <w:sz w:val="28"/>
          <w:szCs w:val="28"/>
          <w:lang w:eastAsia="es-ES"/>
        </w:rPr>
        <w:t xml:space="preserve">a la Corte Constitucional declarar la exequibilidad del parágrafo 1° del artículo 6 de la Ley 2272 de 2022, por las siguientes razones. </w:t>
      </w:r>
    </w:p>
    <w:p w:rsidR="00CB363D" w:rsidRPr="005A2345" w:rsidRDefault="005A2345" w:rsidP="00CB363D">
      <w:pPr>
        <w:pBdr>
          <w:top w:val="nil"/>
          <w:left w:val="nil"/>
          <w:bottom w:val="nil"/>
          <w:right w:val="nil"/>
          <w:between w:val="nil"/>
        </w:pBdr>
        <w:tabs>
          <w:tab w:val="left" w:pos="284"/>
          <w:tab w:val="left" w:pos="426"/>
        </w:tabs>
        <w:jc w:val="both"/>
        <w:rPr>
          <w:rFonts w:ascii="Times New Roman" w:hAnsi="Times New Roman" w:cs="Times New Roman"/>
          <w:sz w:val="28"/>
          <w:szCs w:val="28"/>
          <w:lang w:eastAsia="es-ES"/>
        </w:rPr>
      </w:pPr>
    </w:p>
    <w:p w:rsidR="00CB363D" w:rsidRPr="005A2345" w:rsidRDefault="005A2345" w:rsidP="00F76B2A">
      <w:pPr>
        <w:numPr>
          <w:ilvl w:val="0"/>
          <w:numId w:val="3"/>
        </w:numPr>
        <w:pBdr>
          <w:top w:val="nil"/>
          <w:left w:val="nil"/>
          <w:bottom w:val="nil"/>
          <w:right w:val="nil"/>
          <w:between w:val="nil"/>
        </w:pBdr>
        <w:tabs>
          <w:tab w:val="left" w:pos="284"/>
          <w:tab w:val="left" w:pos="426"/>
        </w:tabs>
        <w:ind w:left="0" w:firstLine="0"/>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Luego de referirse a la jurisprudencia relevante sobre el contenido y alcance del derecho al acceso a documentos públicos del artículo 74 de la CP, señaló que el cumplimiento de los requisitos que definió la jurisprudencia constitucional para determinar si</w:t>
      </w:r>
      <w:r w:rsidRPr="005A2345">
        <w:rPr>
          <w:rFonts w:ascii="Times New Roman" w:hAnsi="Times New Roman" w:cs="Times New Roman"/>
          <w:sz w:val="28"/>
          <w:szCs w:val="28"/>
          <w:lang w:eastAsia="es-ES"/>
        </w:rPr>
        <w:t xml:space="preserve"> una reserva de información es razonable, debe realizarse de forma sistemática con el ordenamiento jurídico vigente. De manera que no basta con mirar una norma aislada, sin tener en cuenta el cuerpo normativo que regula el acceso a la información pública. </w:t>
      </w:r>
    </w:p>
    <w:p w:rsidR="00CB363D" w:rsidRPr="005A2345" w:rsidRDefault="005A2345" w:rsidP="006953A7">
      <w:pPr>
        <w:rPr>
          <w:rFonts w:ascii="Times New Roman" w:hAnsi="Times New Roman" w:cs="Times New Roman"/>
          <w:sz w:val="28"/>
        </w:rPr>
      </w:pPr>
    </w:p>
    <w:p w:rsidR="00F76B2A" w:rsidRPr="005A2345" w:rsidRDefault="005A2345" w:rsidP="00F76B2A">
      <w:pPr>
        <w:numPr>
          <w:ilvl w:val="0"/>
          <w:numId w:val="3"/>
        </w:numPr>
        <w:pBdr>
          <w:top w:val="nil"/>
          <w:left w:val="nil"/>
          <w:bottom w:val="nil"/>
          <w:right w:val="nil"/>
          <w:between w:val="nil"/>
        </w:pBdr>
        <w:tabs>
          <w:tab w:val="left" w:pos="284"/>
          <w:tab w:val="left" w:pos="426"/>
        </w:tabs>
        <w:ind w:left="0" w:firstLine="0"/>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Conforme a lo anterior, la procuradora afirmó que la reserva establecida en la norma atacada cumple con los requisitos de validez, a saber:</w:t>
      </w:r>
    </w:p>
    <w:p w:rsidR="00F76B2A" w:rsidRPr="005A2345" w:rsidRDefault="005A2345" w:rsidP="00F76B2A">
      <w:pPr>
        <w:pBdr>
          <w:top w:val="nil"/>
          <w:left w:val="nil"/>
          <w:bottom w:val="nil"/>
          <w:right w:val="nil"/>
          <w:between w:val="nil"/>
        </w:pBdr>
        <w:jc w:val="both"/>
        <w:rPr>
          <w:rFonts w:ascii="Times New Roman" w:hAnsi="Times New Roman" w:cs="Times New Roman"/>
          <w:sz w:val="28"/>
          <w:szCs w:val="28"/>
          <w:lang w:eastAsia="es-ES"/>
        </w:rPr>
      </w:pPr>
    </w:p>
    <w:p w:rsidR="00F76B2A" w:rsidRPr="005A2345" w:rsidRDefault="005A2345" w:rsidP="00076595">
      <w:pPr>
        <w:numPr>
          <w:ilvl w:val="0"/>
          <w:numId w:val="4"/>
        </w:numPr>
        <w:pBdr>
          <w:top w:val="nil"/>
          <w:left w:val="nil"/>
          <w:bottom w:val="nil"/>
          <w:right w:val="nil"/>
          <w:between w:val="nil"/>
        </w:pBdr>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 xml:space="preserve">La limitación se encuentra contemplada en una ley. Además, aclaró la procuradora que esta norma debe leerse en </w:t>
      </w:r>
      <w:r w:rsidRPr="005A2345">
        <w:rPr>
          <w:rFonts w:ascii="Times New Roman" w:hAnsi="Times New Roman" w:cs="Times New Roman"/>
          <w:sz w:val="28"/>
          <w:szCs w:val="28"/>
          <w:lang w:eastAsia="es-ES"/>
        </w:rPr>
        <w:t>conjunto con la Ley 1712 de 2014 y en lo pertinente con la Ley 1437 de 2011. Advirtió que en el trámite legislativo se pudo evidenciar que los congresistas llamaron la atención en la necesidad de interpretar el parágrafo 1° con la ley estatutaria de acceso</w:t>
      </w:r>
      <w:r w:rsidRPr="005A2345">
        <w:rPr>
          <w:rFonts w:ascii="Times New Roman" w:hAnsi="Times New Roman" w:cs="Times New Roman"/>
          <w:sz w:val="28"/>
          <w:szCs w:val="28"/>
          <w:lang w:eastAsia="es-ES"/>
        </w:rPr>
        <w:t xml:space="preserve"> a la información pública.</w:t>
      </w:r>
    </w:p>
    <w:p w:rsidR="00F76B2A" w:rsidRPr="005A2345" w:rsidRDefault="005A2345" w:rsidP="00076595">
      <w:pPr>
        <w:numPr>
          <w:ilvl w:val="0"/>
          <w:numId w:val="4"/>
        </w:numPr>
        <w:pBdr>
          <w:top w:val="nil"/>
          <w:left w:val="nil"/>
          <w:bottom w:val="nil"/>
          <w:right w:val="nil"/>
          <w:between w:val="nil"/>
        </w:pBdr>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La norma que establece la reserva es clara y precisa. Según la procuradora, el parágrafo limita el acceso a las deliberaciones, la información y los documentos del Gabinete de Paz referentes a las “conversaciones, acuerdos y nego</w:t>
      </w:r>
      <w:r w:rsidRPr="005A2345">
        <w:rPr>
          <w:rFonts w:ascii="Times New Roman" w:hAnsi="Times New Roman" w:cs="Times New Roman"/>
          <w:sz w:val="28"/>
          <w:szCs w:val="28"/>
          <w:lang w:eastAsia="es-ES"/>
        </w:rPr>
        <w:t>ciaciones con actores armados” excepto a los datos asociados con la ejecución presupuestal y la contratación, los cuales son de libre circulación. Aclaró que a pesar de que algunos términos del artículo pueden ser vagos o indeterminados, pueden comprenders</w:t>
      </w:r>
      <w:r w:rsidRPr="005A2345">
        <w:rPr>
          <w:rFonts w:ascii="Times New Roman" w:hAnsi="Times New Roman" w:cs="Times New Roman"/>
          <w:sz w:val="28"/>
          <w:szCs w:val="28"/>
          <w:lang w:eastAsia="es-ES"/>
        </w:rPr>
        <w:t>e con los artículos 2 y 6 de la misma Ley 2272.</w:t>
      </w:r>
    </w:p>
    <w:p w:rsidR="00F76B2A" w:rsidRPr="005A2345" w:rsidRDefault="005A2345" w:rsidP="00076595">
      <w:pPr>
        <w:numPr>
          <w:ilvl w:val="0"/>
          <w:numId w:val="4"/>
        </w:numPr>
        <w:pBdr>
          <w:top w:val="nil"/>
          <w:left w:val="nil"/>
          <w:bottom w:val="nil"/>
          <w:right w:val="nil"/>
          <w:between w:val="nil"/>
        </w:pBdr>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La oposición de la reserva no puede ser arbitraria, puesto que está sometida a los términos del artículo 25 de la Ley 1437 de 2011, es decir, debe ser motivada de forma suficiente y precisa.</w:t>
      </w:r>
    </w:p>
    <w:p w:rsidR="00F76B2A" w:rsidRPr="005A2345" w:rsidRDefault="005A2345" w:rsidP="00076595">
      <w:pPr>
        <w:numPr>
          <w:ilvl w:val="0"/>
          <w:numId w:val="4"/>
        </w:numPr>
        <w:pBdr>
          <w:top w:val="nil"/>
          <w:left w:val="nil"/>
          <w:bottom w:val="nil"/>
          <w:right w:val="nil"/>
          <w:between w:val="nil"/>
        </w:pBdr>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La reserva se enc</w:t>
      </w:r>
      <w:r w:rsidRPr="005A2345">
        <w:rPr>
          <w:rFonts w:ascii="Times New Roman" w:hAnsi="Times New Roman" w:cs="Times New Roman"/>
          <w:sz w:val="28"/>
          <w:szCs w:val="28"/>
          <w:lang w:eastAsia="es-ES"/>
        </w:rPr>
        <w:t>uentra dirigida a «precaver eventuales daños a los intereses públicos, y según los artículos 19 y 22 de la Ley 1712 de 2014, su límite temporal no puede extenderse por un periodo mayor a quince años».</w:t>
      </w:r>
    </w:p>
    <w:p w:rsidR="00F76B2A" w:rsidRPr="005A2345" w:rsidRDefault="005A2345" w:rsidP="00076595">
      <w:pPr>
        <w:numPr>
          <w:ilvl w:val="0"/>
          <w:numId w:val="4"/>
        </w:numPr>
        <w:pBdr>
          <w:top w:val="nil"/>
          <w:left w:val="nil"/>
          <w:bottom w:val="nil"/>
          <w:right w:val="nil"/>
          <w:between w:val="nil"/>
        </w:pBdr>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Acorde con el artículo 20 de la Ley 1712 de 2014, el Ga</w:t>
      </w:r>
      <w:r w:rsidRPr="005A2345">
        <w:rPr>
          <w:rFonts w:ascii="Times New Roman" w:hAnsi="Times New Roman" w:cs="Times New Roman"/>
          <w:sz w:val="28"/>
          <w:szCs w:val="28"/>
          <w:lang w:eastAsia="es-ES"/>
        </w:rPr>
        <w:t>binete de Paz deberá «mantener un índice actualizado de los actos, documentos e informaciones calificados como clasificados o reservados, de conformidad a esta ley. El índice incluirá sus denominaciones, la motivación y la individualización del acto en que</w:t>
      </w:r>
      <w:r w:rsidRPr="005A2345">
        <w:rPr>
          <w:rFonts w:ascii="Times New Roman" w:hAnsi="Times New Roman" w:cs="Times New Roman"/>
          <w:sz w:val="28"/>
          <w:szCs w:val="28"/>
          <w:lang w:eastAsia="es-ES"/>
        </w:rPr>
        <w:t xml:space="preserve"> conste tal calificación».</w:t>
      </w:r>
    </w:p>
    <w:p w:rsidR="00F76B2A" w:rsidRPr="005A2345" w:rsidRDefault="005A2345" w:rsidP="00076595">
      <w:pPr>
        <w:numPr>
          <w:ilvl w:val="0"/>
          <w:numId w:val="4"/>
        </w:numPr>
        <w:pBdr>
          <w:top w:val="nil"/>
          <w:left w:val="nil"/>
          <w:bottom w:val="nil"/>
          <w:right w:val="nil"/>
          <w:between w:val="nil"/>
        </w:pBdr>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 xml:space="preserve">La reserva de los documentos y demás asuntos establecidos en la norma demandada está sujeta a control judicial de acuerdo con los mecanismos dispuestos en la Ley 1712, particularmente, el artículo 27. </w:t>
      </w:r>
    </w:p>
    <w:p w:rsidR="00F76B2A" w:rsidRPr="005A2345" w:rsidRDefault="005A2345" w:rsidP="00076595">
      <w:pPr>
        <w:numPr>
          <w:ilvl w:val="0"/>
          <w:numId w:val="4"/>
        </w:numPr>
        <w:pBdr>
          <w:top w:val="nil"/>
          <w:left w:val="nil"/>
          <w:bottom w:val="nil"/>
          <w:right w:val="nil"/>
          <w:between w:val="nil"/>
        </w:pBdr>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El parágrafo 1° del artícul</w:t>
      </w:r>
      <w:r w:rsidRPr="005A2345">
        <w:rPr>
          <w:rFonts w:ascii="Times New Roman" w:hAnsi="Times New Roman" w:cs="Times New Roman"/>
          <w:sz w:val="28"/>
          <w:szCs w:val="28"/>
          <w:lang w:eastAsia="es-ES"/>
        </w:rPr>
        <w:t>o 6 de la Ley 2272 de 2022, según la procuradora, «no faculta al Gabinete de Paz para negar la existencia de determinados documentos, pues únicamente lo autoriza para restringir su publicación». Así, la reserva puede aplicar al contenido de un documento pú</w:t>
      </w:r>
      <w:r w:rsidRPr="005A2345">
        <w:rPr>
          <w:rFonts w:ascii="Times New Roman" w:hAnsi="Times New Roman" w:cs="Times New Roman"/>
          <w:sz w:val="28"/>
          <w:szCs w:val="28"/>
          <w:lang w:eastAsia="es-ES"/>
        </w:rPr>
        <w:t>blico, pero no sobre su existencia.</w:t>
      </w:r>
    </w:p>
    <w:p w:rsidR="00F76B2A" w:rsidRPr="005A2345" w:rsidRDefault="005A2345" w:rsidP="00076595">
      <w:pPr>
        <w:numPr>
          <w:ilvl w:val="0"/>
          <w:numId w:val="4"/>
        </w:numPr>
        <w:pBdr>
          <w:top w:val="nil"/>
          <w:left w:val="nil"/>
          <w:bottom w:val="nil"/>
          <w:right w:val="nil"/>
          <w:between w:val="nil"/>
        </w:pBdr>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 xml:space="preserve">El parágrafo demandado dispone con claridad la entidad responsable y no establece consecuencias jurídicas para los medios de comunicación que publiquen la información reservada. </w:t>
      </w:r>
    </w:p>
    <w:p w:rsidR="00F76B2A" w:rsidRPr="005A2345" w:rsidRDefault="005A2345" w:rsidP="00076595">
      <w:pPr>
        <w:numPr>
          <w:ilvl w:val="0"/>
          <w:numId w:val="4"/>
        </w:numPr>
        <w:pBdr>
          <w:top w:val="nil"/>
          <w:left w:val="nil"/>
          <w:bottom w:val="nil"/>
          <w:right w:val="nil"/>
          <w:between w:val="nil"/>
        </w:pBdr>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 xml:space="preserve">La reserva establecida en la norma </w:t>
      </w:r>
      <w:r w:rsidRPr="005A2345">
        <w:rPr>
          <w:rFonts w:ascii="Times New Roman" w:hAnsi="Times New Roman" w:cs="Times New Roman"/>
          <w:sz w:val="28"/>
          <w:szCs w:val="28"/>
          <w:lang w:eastAsia="es-ES"/>
        </w:rPr>
        <w:t>demandada persigue un fin legítimo, pues según la procuradora pretende proteger «la seguridad nacional por medio de la consecución de la paz a través de negociaciones con los grupos armados». Además, señaló que el medio es proporcional para alcanzar el pro</w:t>
      </w:r>
      <w:r w:rsidRPr="005A2345">
        <w:rPr>
          <w:rFonts w:ascii="Times New Roman" w:hAnsi="Times New Roman" w:cs="Times New Roman"/>
          <w:sz w:val="28"/>
          <w:szCs w:val="28"/>
          <w:lang w:eastAsia="es-ES"/>
        </w:rPr>
        <w:t>pósito, porque a pesar de que restringe el acceso a la información pública, «lo cierto es que la limitación no recae sobre la totalidad de los asuntos que sean objeto de análisis por el Gabinete de Paz, sino solo en torno a las conversaciones con las organ</w:t>
      </w:r>
      <w:r w:rsidRPr="005A2345">
        <w:rPr>
          <w:rFonts w:ascii="Times New Roman" w:hAnsi="Times New Roman" w:cs="Times New Roman"/>
          <w:sz w:val="28"/>
          <w:szCs w:val="28"/>
          <w:lang w:eastAsia="es-ES"/>
        </w:rPr>
        <w:t>izaciones al margen de la ley cuya divulgación se estime pertinente». En todo caso, dice la procuradora, la misma disposición contempla la obligación de rendir informes periódicos sobre los avances.</w:t>
      </w:r>
    </w:p>
    <w:p w:rsidR="00A74922" w:rsidRPr="005A2345" w:rsidRDefault="005A2345" w:rsidP="00076595">
      <w:pPr>
        <w:numPr>
          <w:ilvl w:val="0"/>
          <w:numId w:val="4"/>
        </w:numPr>
        <w:pBdr>
          <w:top w:val="nil"/>
          <w:left w:val="nil"/>
          <w:bottom w:val="nil"/>
          <w:right w:val="nil"/>
          <w:between w:val="nil"/>
        </w:pBdr>
        <w:jc w:val="both"/>
        <w:rPr>
          <w:rFonts w:ascii="Times New Roman" w:hAnsi="Times New Roman" w:cs="Times New Roman"/>
          <w:sz w:val="28"/>
          <w:szCs w:val="28"/>
          <w:lang w:eastAsia="es-ES"/>
        </w:rPr>
      </w:pPr>
      <w:r w:rsidRPr="005A2345">
        <w:rPr>
          <w:rFonts w:ascii="Times New Roman" w:hAnsi="Times New Roman" w:cs="Times New Roman"/>
          <w:sz w:val="28"/>
          <w:szCs w:val="28"/>
          <w:lang w:eastAsia="es-ES"/>
        </w:rPr>
        <w:t>Finalmente, existen recursos como el de insistencia dispu</w:t>
      </w:r>
      <w:r w:rsidRPr="005A2345">
        <w:rPr>
          <w:rFonts w:ascii="Times New Roman" w:hAnsi="Times New Roman" w:cs="Times New Roman"/>
          <w:sz w:val="28"/>
          <w:szCs w:val="28"/>
          <w:lang w:eastAsia="es-ES"/>
        </w:rPr>
        <w:t xml:space="preserve">esto en el artículo 26 de la Ley 1437 de 2011 que puede interponerse ante los tribunales administrativos para impugnar la decisión de mantener en reserva información del Gabinete de Paz. Además de los demás recursos constitucionales dispuestos, como lo es </w:t>
      </w:r>
      <w:r w:rsidRPr="005A2345">
        <w:rPr>
          <w:rFonts w:ascii="Times New Roman" w:hAnsi="Times New Roman" w:cs="Times New Roman"/>
          <w:sz w:val="28"/>
          <w:szCs w:val="28"/>
          <w:lang w:eastAsia="es-ES"/>
        </w:rPr>
        <w:t>el Decreto 2591 de 1991.</w:t>
      </w:r>
    </w:p>
    <w:p w:rsidR="0099739A" w:rsidRPr="005A2345" w:rsidRDefault="005A2345" w:rsidP="0099739A">
      <w:pPr>
        <w:pBdr>
          <w:top w:val="nil"/>
          <w:left w:val="nil"/>
          <w:bottom w:val="nil"/>
          <w:right w:val="nil"/>
          <w:between w:val="nil"/>
        </w:pBdr>
        <w:jc w:val="both"/>
        <w:rPr>
          <w:rFonts w:ascii="Times New Roman" w:hAnsi="Times New Roman" w:cs="Times New Roman"/>
          <w:sz w:val="28"/>
          <w:lang w:val="es-ES_tradnl" w:eastAsia="es-ES"/>
        </w:rPr>
      </w:pPr>
    </w:p>
    <w:bookmarkEnd w:id="8"/>
    <w:p w:rsidR="00693CA0" w:rsidRPr="005A2345" w:rsidRDefault="005A2345" w:rsidP="00076595">
      <w:pPr>
        <w:pStyle w:val="Ttulo8"/>
        <w:numPr>
          <w:ilvl w:val="0"/>
          <w:numId w:val="1"/>
        </w:numPr>
        <w:tabs>
          <w:tab w:val="left" w:pos="993"/>
        </w:tabs>
        <w:spacing w:before="0"/>
        <w:rPr>
          <w:rFonts w:ascii="Times New Roman" w:hAnsi="Times New Roman" w:cs="Times New Roman"/>
          <w:b/>
          <w:bCs/>
          <w:color w:val="000000" w:themeColor="text1"/>
          <w:sz w:val="28"/>
          <w:szCs w:val="28"/>
          <w:lang w:val="es-ES_tradnl"/>
        </w:rPr>
      </w:pPr>
      <w:r w:rsidRPr="005A2345">
        <w:rPr>
          <w:rFonts w:ascii="Times New Roman" w:hAnsi="Times New Roman" w:cs="Times New Roman"/>
          <w:b/>
          <w:bCs/>
          <w:color w:val="000000" w:themeColor="text1"/>
          <w:sz w:val="28"/>
          <w:szCs w:val="28"/>
          <w:lang w:val="es-ES_tradnl"/>
        </w:rPr>
        <w:t>CONSIDERACIONES</w:t>
      </w:r>
    </w:p>
    <w:p w:rsidR="00693CA0" w:rsidRPr="005A2345" w:rsidRDefault="005A2345" w:rsidP="00693CA0">
      <w:pPr>
        <w:rPr>
          <w:rFonts w:ascii="Times New Roman" w:hAnsi="Times New Roman" w:cs="Times New Roman"/>
          <w:sz w:val="28"/>
          <w:lang w:val="es-ES_tradnl"/>
        </w:rPr>
      </w:pPr>
    </w:p>
    <w:p w:rsidR="00810226" w:rsidRPr="005A2345" w:rsidRDefault="005A2345" w:rsidP="0099739A">
      <w:pPr>
        <w:pStyle w:val="Ttulo1"/>
        <w:spacing w:before="0" w:after="0" w:line="240" w:lineRule="auto"/>
        <w:rPr>
          <w:rFonts w:ascii="Times New Roman" w:hAnsi="Times New Roman" w:cs="Times New Roman"/>
          <w:color w:val="000000" w:themeColor="text1"/>
          <w:sz w:val="28"/>
          <w:szCs w:val="28"/>
          <w:lang w:val="es-ES_tradnl"/>
        </w:rPr>
      </w:pPr>
      <w:r w:rsidRPr="005A2345">
        <w:rPr>
          <w:rFonts w:ascii="Times New Roman" w:hAnsi="Times New Roman" w:cs="Times New Roman"/>
          <w:color w:val="000000" w:themeColor="text1"/>
          <w:sz w:val="28"/>
          <w:szCs w:val="28"/>
          <w:lang w:val="es-ES_tradnl"/>
        </w:rPr>
        <w:t>Competencia</w:t>
      </w:r>
    </w:p>
    <w:p w:rsidR="00810226" w:rsidRPr="005A2345" w:rsidRDefault="005A2345" w:rsidP="008C70B4">
      <w:pPr>
        <w:pStyle w:val="Lista"/>
        <w:tabs>
          <w:tab w:val="left" w:pos="0"/>
        </w:tabs>
        <w:spacing w:after="0" w:line="240" w:lineRule="auto"/>
        <w:ind w:left="0" w:firstLine="0"/>
        <w:jc w:val="both"/>
        <w:rPr>
          <w:rFonts w:ascii="Times New Roman" w:hAnsi="Times New Roman" w:cs="Times New Roman"/>
          <w:szCs w:val="28"/>
          <w:lang w:val="es-ES"/>
        </w:rPr>
      </w:pPr>
    </w:p>
    <w:p w:rsidR="00810226" w:rsidRPr="005A2345" w:rsidRDefault="005A2345" w:rsidP="00076595">
      <w:pPr>
        <w:pStyle w:val="Lista"/>
        <w:numPr>
          <w:ilvl w:val="0"/>
          <w:numId w:val="5"/>
        </w:numPr>
        <w:tabs>
          <w:tab w:val="left" w:pos="0"/>
          <w:tab w:val="left" w:pos="284"/>
        </w:tabs>
        <w:spacing w:after="0" w:line="240" w:lineRule="auto"/>
        <w:ind w:left="0" w:firstLine="0"/>
        <w:jc w:val="both"/>
        <w:rPr>
          <w:rFonts w:ascii="Times New Roman" w:hAnsi="Times New Roman" w:cs="Times New Roman"/>
          <w:szCs w:val="28"/>
          <w:lang w:val="es-ES"/>
        </w:rPr>
      </w:pPr>
      <w:r w:rsidRPr="005A2345">
        <w:rPr>
          <w:rFonts w:ascii="Times New Roman" w:hAnsi="Times New Roman" w:cs="Times New Roman"/>
          <w:szCs w:val="28"/>
          <w:lang w:val="es-ES_tradnl"/>
        </w:rPr>
        <w:t>La Corte Constitucional es competente para conocer de la demanda de la referencia, en virtud de lo dispuesto por el numeral 4º del artículo 241 de la Constitución Política.</w:t>
      </w:r>
    </w:p>
    <w:p w:rsidR="000A71EC" w:rsidRPr="005A2345" w:rsidRDefault="005A2345" w:rsidP="000A71EC">
      <w:pPr>
        <w:pStyle w:val="Lista"/>
        <w:tabs>
          <w:tab w:val="left" w:pos="0"/>
        </w:tabs>
        <w:spacing w:after="0" w:line="240" w:lineRule="auto"/>
        <w:ind w:left="0" w:firstLine="0"/>
        <w:jc w:val="both"/>
        <w:rPr>
          <w:rFonts w:ascii="Times New Roman" w:hAnsi="Times New Roman" w:cs="Times New Roman"/>
          <w:szCs w:val="28"/>
          <w:lang w:val="es-ES"/>
        </w:rPr>
      </w:pPr>
    </w:p>
    <w:p w:rsidR="00810226" w:rsidRPr="005A2345" w:rsidRDefault="005A2345" w:rsidP="007A4179">
      <w:pPr>
        <w:pStyle w:val="Ttulo1"/>
        <w:spacing w:before="0" w:after="0" w:line="240" w:lineRule="auto"/>
        <w:jc w:val="both"/>
        <w:rPr>
          <w:rFonts w:ascii="Times New Roman" w:hAnsi="Times New Roman" w:cs="Times New Roman"/>
          <w:color w:val="000000" w:themeColor="text1"/>
          <w:sz w:val="28"/>
          <w:szCs w:val="28"/>
          <w:lang w:val="es-ES_tradnl"/>
        </w:rPr>
      </w:pPr>
      <w:r w:rsidRPr="005A2345">
        <w:rPr>
          <w:rFonts w:ascii="Times New Roman" w:eastAsiaTheme="minorHAnsi" w:hAnsi="Times New Roman" w:cs="Times New Roman"/>
          <w:sz w:val="28"/>
          <w:szCs w:val="28"/>
          <w:lang w:eastAsia="en-US"/>
        </w:rPr>
        <w:t xml:space="preserve">Cuestión previa. Aptitud de la demanda. Reiteración jurisprudencial. </w:t>
      </w:r>
    </w:p>
    <w:p w:rsidR="00810226" w:rsidRPr="005A2345" w:rsidRDefault="005A2345" w:rsidP="00EB4208">
      <w:pPr>
        <w:rPr>
          <w:rFonts w:ascii="Times New Roman" w:hAnsi="Times New Roman" w:cs="Times New Roman"/>
          <w:sz w:val="28"/>
          <w:lang w:val="es-ES_tradnl" w:eastAsia="es-ES"/>
        </w:rPr>
      </w:pPr>
    </w:p>
    <w:p w:rsidR="00EB4208" w:rsidRPr="005A2345" w:rsidRDefault="005A2345" w:rsidP="00076595">
      <w:pPr>
        <w:pStyle w:val="Prrafodelista"/>
        <w:numPr>
          <w:ilvl w:val="0"/>
          <w:numId w:val="5"/>
        </w:numPr>
        <w:tabs>
          <w:tab w:val="left" w:pos="284"/>
          <w:tab w:val="left" w:pos="567"/>
        </w:tabs>
        <w:overflowPunct w:val="0"/>
        <w:autoSpaceDE w:val="0"/>
        <w:autoSpaceDN w:val="0"/>
        <w:adjustRightInd w:val="0"/>
        <w:spacing w:after="0" w:line="240" w:lineRule="auto"/>
        <w:ind w:left="0" w:firstLine="0"/>
        <w:jc w:val="both"/>
        <w:textAlignment w:val="baseline"/>
        <w:rPr>
          <w:rFonts w:ascii="Times New Roman" w:hAnsi="Times New Roman" w:cs="Times New Roman"/>
          <w:b/>
          <w:lang w:val="es-ES_tradnl"/>
        </w:rPr>
      </w:pPr>
      <w:r w:rsidRPr="005A2345">
        <w:rPr>
          <w:rFonts w:ascii="Times New Roman" w:hAnsi="Times New Roman" w:cs="Times New Roman"/>
          <w:color w:val="000000"/>
          <w:lang w:val="es-ES_tradnl" w:eastAsia="es-CO"/>
        </w:rPr>
        <w:t>La Corte Constitucional ha establecido en su jurisprudencia los requisitos necesarios para la admisión de la acción de inconstitucionalidad presentada por los ciudadanos, personas legit</w:t>
      </w:r>
      <w:r w:rsidRPr="005A2345">
        <w:rPr>
          <w:rFonts w:ascii="Times New Roman" w:hAnsi="Times New Roman" w:cs="Times New Roman"/>
          <w:color w:val="000000"/>
          <w:lang w:val="es-ES_tradnl" w:eastAsia="es-CO"/>
        </w:rPr>
        <w:t>imadas para ello.</w:t>
      </w:r>
      <w:r w:rsidRPr="005A2345">
        <w:rPr>
          <w:rFonts w:ascii="Times New Roman" w:hAnsi="Times New Roman" w:cs="Times New Roman"/>
          <w:szCs w:val="22"/>
          <w:vertAlign w:val="superscript"/>
          <w:lang w:val="es-ES_tradnl"/>
        </w:rPr>
        <w:footnoteReference w:id="10"/>
      </w:r>
      <w:r w:rsidRPr="005A2345">
        <w:rPr>
          <w:rFonts w:ascii="Times New Roman" w:hAnsi="Times New Roman" w:cs="Times New Roman"/>
          <w:color w:val="000000"/>
          <w:vertAlign w:val="superscript"/>
          <w:lang w:val="es-ES_tradnl" w:eastAsia="es-CO"/>
        </w:rPr>
        <w:t xml:space="preserve"> </w:t>
      </w:r>
      <w:r w:rsidRPr="005A2345">
        <w:rPr>
          <w:rFonts w:ascii="Times New Roman" w:hAnsi="Times New Roman" w:cs="Times New Roman"/>
          <w:color w:val="000000"/>
          <w:lang w:val="es-ES_tradnl" w:eastAsia="es-CO"/>
        </w:rPr>
        <w:t xml:space="preserve">Al respecto, las acciones de constitucionalidad requieren tres elementos fundamentales: “(1) </w:t>
      </w:r>
      <w:r w:rsidRPr="005A2345">
        <w:rPr>
          <w:rFonts w:ascii="Times New Roman" w:hAnsi="Times New Roman" w:cs="Times New Roman"/>
          <w:i/>
          <w:color w:val="000000"/>
          <w:lang w:val="es-ES_tradnl" w:eastAsia="es-CO"/>
        </w:rPr>
        <w:t>debe referir con precisión el objeto demandado</w:t>
      </w:r>
      <w:r w:rsidRPr="005A2345">
        <w:rPr>
          <w:rFonts w:ascii="Times New Roman" w:hAnsi="Times New Roman" w:cs="Times New Roman"/>
          <w:color w:val="000000"/>
          <w:lang w:val="es-ES_tradnl" w:eastAsia="es-CO"/>
        </w:rPr>
        <w:t xml:space="preserve">, (2) el concepto de la violación y (3) </w:t>
      </w:r>
      <w:r w:rsidRPr="005A2345">
        <w:rPr>
          <w:rFonts w:ascii="Times New Roman" w:hAnsi="Times New Roman" w:cs="Times New Roman"/>
          <w:i/>
          <w:color w:val="000000"/>
          <w:lang w:val="es-ES_tradnl" w:eastAsia="es-CO"/>
        </w:rPr>
        <w:t xml:space="preserve">la razón por la cual la Corte es competente para conocer </w:t>
      </w:r>
      <w:r w:rsidRPr="005A2345">
        <w:rPr>
          <w:rFonts w:ascii="Times New Roman" w:hAnsi="Times New Roman" w:cs="Times New Roman"/>
          <w:i/>
          <w:color w:val="000000"/>
          <w:lang w:val="es-ES_tradnl" w:eastAsia="es-CO"/>
        </w:rPr>
        <w:t>del asunto</w:t>
      </w:r>
      <w:r w:rsidRPr="005A2345">
        <w:rPr>
          <w:rFonts w:ascii="Times New Roman" w:hAnsi="Times New Roman" w:cs="Times New Roman"/>
          <w:color w:val="000000"/>
          <w:lang w:val="es-ES_tradnl" w:eastAsia="es-CO"/>
        </w:rPr>
        <w:t>” (art. 2, Decreto 2067 de 1991).</w:t>
      </w:r>
      <w:r w:rsidRPr="005A2345">
        <w:rPr>
          <w:rFonts w:ascii="Times New Roman" w:hAnsi="Times New Roman" w:cs="Times New Roman"/>
          <w:szCs w:val="22"/>
          <w:vertAlign w:val="superscript"/>
          <w:lang w:val="es-ES_tradnl"/>
        </w:rPr>
        <w:footnoteReference w:id="11"/>
      </w:r>
      <w:r w:rsidRPr="005A2345">
        <w:rPr>
          <w:rFonts w:ascii="Times New Roman" w:hAnsi="Times New Roman" w:cs="Times New Roman"/>
          <w:color w:val="000000"/>
          <w:vertAlign w:val="superscript"/>
          <w:lang w:val="es-ES_tradnl" w:eastAsia="es-CO"/>
        </w:rPr>
        <w:t xml:space="preserve"> </w:t>
      </w:r>
      <w:r w:rsidRPr="005A2345">
        <w:rPr>
          <w:rFonts w:ascii="Times New Roman" w:hAnsi="Times New Roman" w:cs="Times New Roman"/>
          <w:color w:val="000000"/>
          <w:lang w:val="es-ES_tradnl" w:eastAsia="es-CO"/>
        </w:rPr>
        <w:t>El segundo de estos elementos (el concepto de la violación), debe observar, a su vez, tres condiciones mínimas: (i) “</w:t>
      </w:r>
      <w:r w:rsidRPr="005A2345">
        <w:rPr>
          <w:rFonts w:ascii="Times New Roman" w:hAnsi="Times New Roman" w:cs="Times New Roman"/>
          <w:i/>
          <w:color w:val="000000"/>
          <w:lang w:val="es-ES_tradnl" w:eastAsia="es-CO"/>
        </w:rPr>
        <w:t>el señalamiento de las normas constitucionales que consideren infringidas “(art. 2, num.2, Dec</w:t>
      </w:r>
      <w:r w:rsidRPr="005A2345">
        <w:rPr>
          <w:rFonts w:ascii="Times New Roman" w:hAnsi="Times New Roman" w:cs="Times New Roman"/>
          <w:i/>
          <w:color w:val="000000"/>
          <w:lang w:val="es-ES_tradnl" w:eastAsia="es-CO"/>
        </w:rPr>
        <w:t xml:space="preserve">reto 2067 de 1991); </w:t>
      </w:r>
      <w:r w:rsidRPr="005A2345">
        <w:rPr>
          <w:rFonts w:ascii="Times New Roman" w:hAnsi="Times New Roman" w:cs="Times New Roman"/>
          <w:color w:val="000000"/>
          <w:lang w:val="es-ES_tradnl" w:eastAsia="es-CO"/>
        </w:rPr>
        <w:t>(ii)</w:t>
      </w:r>
      <w:r w:rsidRPr="005A2345">
        <w:rPr>
          <w:rFonts w:ascii="Times New Roman" w:hAnsi="Times New Roman" w:cs="Times New Roman"/>
          <w:i/>
          <w:color w:val="000000"/>
          <w:lang w:val="es-ES_tradnl" w:eastAsia="es-CO"/>
        </w:rPr>
        <w:t xml:space="preserve"> “la exposición del contenido normativo de las disposiciones constitucionales que riñe con las normas demandadas”</w:t>
      </w:r>
      <w:r w:rsidRPr="005A2345">
        <w:rPr>
          <w:rFonts w:ascii="Times New Roman" w:hAnsi="Times New Roman" w:cs="Times New Roman"/>
          <w:i/>
          <w:szCs w:val="22"/>
          <w:vertAlign w:val="superscript"/>
          <w:lang w:val="es-ES_tradnl"/>
        </w:rPr>
        <w:footnoteReference w:id="12"/>
      </w:r>
      <w:r w:rsidRPr="005A2345">
        <w:rPr>
          <w:rFonts w:ascii="Times New Roman" w:hAnsi="Times New Roman" w:cs="Times New Roman"/>
          <w:i/>
          <w:color w:val="000000"/>
          <w:lang w:val="es-ES_tradnl" w:eastAsia="es-CO"/>
        </w:rPr>
        <w:t xml:space="preserve"> </w:t>
      </w:r>
      <w:r w:rsidRPr="005A2345">
        <w:rPr>
          <w:rFonts w:ascii="Times New Roman" w:hAnsi="Times New Roman" w:cs="Times New Roman"/>
          <w:color w:val="000000"/>
          <w:lang w:val="es-ES_tradnl" w:eastAsia="es-CO"/>
        </w:rPr>
        <w:t>y (iii) exponer las razones por las cuales las disposiciones normativas demandadas violan la Constitución, las cuales</w:t>
      </w:r>
      <w:r w:rsidRPr="005A2345">
        <w:rPr>
          <w:rFonts w:ascii="Times New Roman" w:hAnsi="Times New Roman" w:cs="Times New Roman"/>
          <w:color w:val="000000"/>
          <w:lang w:val="es-ES_tradnl" w:eastAsia="es-CO"/>
        </w:rPr>
        <w:t xml:space="preserve"> deberán ser, al menos, “</w:t>
      </w:r>
      <w:r w:rsidRPr="005A2345">
        <w:rPr>
          <w:rFonts w:ascii="Times New Roman" w:hAnsi="Times New Roman" w:cs="Times New Roman"/>
          <w:i/>
          <w:color w:val="000000"/>
          <w:lang w:val="es-ES_tradnl" w:eastAsia="es-CO"/>
        </w:rPr>
        <w:t>claras, ciertas, específicas, pertinentes y suficientes</w:t>
      </w:r>
      <w:r w:rsidRPr="005A2345">
        <w:rPr>
          <w:rFonts w:ascii="Times New Roman" w:hAnsi="Times New Roman" w:cs="Times New Roman"/>
          <w:color w:val="000000"/>
          <w:lang w:val="es-ES_tradnl" w:eastAsia="es-CO"/>
        </w:rPr>
        <w:t>”.</w:t>
      </w:r>
      <w:r w:rsidRPr="005A2345">
        <w:rPr>
          <w:rFonts w:ascii="Times New Roman" w:hAnsi="Times New Roman" w:cs="Times New Roman"/>
          <w:szCs w:val="22"/>
          <w:vertAlign w:val="superscript"/>
          <w:lang w:val="es-ES_tradnl"/>
        </w:rPr>
        <w:footnoteReference w:id="13"/>
      </w:r>
      <w:r w:rsidRPr="005A2345">
        <w:rPr>
          <w:rFonts w:ascii="Times New Roman" w:hAnsi="Times New Roman" w:cs="Times New Roman"/>
          <w:color w:val="000000"/>
          <w:vertAlign w:val="superscript"/>
          <w:lang w:val="es-ES_tradnl" w:eastAsia="es-CO"/>
        </w:rPr>
        <w:t xml:space="preserve"> </w:t>
      </w:r>
    </w:p>
    <w:p w:rsidR="00EB4208" w:rsidRPr="005A2345" w:rsidRDefault="005A2345" w:rsidP="00EB4208">
      <w:pPr>
        <w:pStyle w:val="Prrafodelista"/>
        <w:tabs>
          <w:tab w:val="left" w:pos="284"/>
          <w:tab w:val="left" w:pos="567"/>
        </w:tabs>
        <w:overflowPunct w:val="0"/>
        <w:autoSpaceDE w:val="0"/>
        <w:autoSpaceDN w:val="0"/>
        <w:adjustRightInd w:val="0"/>
        <w:spacing w:after="0" w:line="240" w:lineRule="auto"/>
        <w:ind w:left="0"/>
        <w:jc w:val="both"/>
        <w:textAlignment w:val="baseline"/>
        <w:rPr>
          <w:rFonts w:ascii="Times New Roman" w:hAnsi="Times New Roman" w:cs="Times New Roman"/>
          <w:b/>
          <w:lang w:val="es-ES_tradnl"/>
        </w:rPr>
      </w:pPr>
    </w:p>
    <w:p w:rsidR="00EB4208" w:rsidRPr="005A2345" w:rsidRDefault="005A2345" w:rsidP="00076595">
      <w:pPr>
        <w:pStyle w:val="Prrafodelista"/>
        <w:numPr>
          <w:ilvl w:val="0"/>
          <w:numId w:val="5"/>
        </w:numPr>
        <w:tabs>
          <w:tab w:val="left" w:pos="284"/>
          <w:tab w:val="left" w:pos="567"/>
        </w:tabs>
        <w:overflowPunct w:val="0"/>
        <w:autoSpaceDE w:val="0"/>
        <w:autoSpaceDN w:val="0"/>
        <w:adjustRightInd w:val="0"/>
        <w:spacing w:after="0" w:line="240" w:lineRule="auto"/>
        <w:ind w:left="0" w:firstLine="0"/>
        <w:jc w:val="both"/>
        <w:textAlignment w:val="baseline"/>
        <w:rPr>
          <w:rFonts w:ascii="Times New Roman" w:hAnsi="Times New Roman" w:cs="Times New Roman"/>
          <w:b/>
          <w:lang w:val="es-ES_tradnl"/>
        </w:rPr>
      </w:pPr>
      <w:r w:rsidRPr="005A2345">
        <w:rPr>
          <w:rFonts w:ascii="Times New Roman" w:hAnsi="Times New Roman" w:cs="Times New Roman"/>
          <w:color w:val="000000"/>
          <w:lang w:val="es-ES_tradnl" w:eastAsia="es-CO"/>
        </w:rPr>
        <w:t xml:space="preserve">Dichas características que debe reunir el concepto de violación, formulado por quien demanda la norma, fueron definidas por la Corte. En cuanto al requisito de la </w:t>
      </w:r>
      <w:r w:rsidRPr="005A2345">
        <w:rPr>
          <w:rFonts w:ascii="Times New Roman" w:hAnsi="Times New Roman" w:cs="Times New Roman"/>
          <w:i/>
          <w:color w:val="000000"/>
          <w:lang w:val="es-ES_tradnl" w:eastAsia="es-CO"/>
        </w:rPr>
        <w:t>clarida</w:t>
      </w:r>
      <w:r w:rsidRPr="005A2345">
        <w:rPr>
          <w:rFonts w:ascii="Times New Roman" w:hAnsi="Times New Roman" w:cs="Times New Roman"/>
          <w:i/>
          <w:color w:val="000000"/>
          <w:lang w:val="es-ES_tradnl" w:eastAsia="es-CO"/>
        </w:rPr>
        <w:t>d</w:t>
      </w:r>
      <w:r w:rsidRPr="005A2345">
        <w:rPr>
          <w:rFonts w:ascii="Times New Roman" w:hAnsi="Times New Roman" w:cs="Times New Roman"/>
          <w:color w:val="000000"/>
          <w:lang w:val="es-ES_tradnl" w:eastAsia="es-CO"/>
        </w:rPr>
        <w:t>, indicó esta Corporación que el mismo se refiere a la existencia de un hilo conductor en la argumentación, que permita al lector la comprensión del contenido en su demanda.</w:t>
      </w:r>
      <w:r w:rsidRPr="005A2345">
        <w:rPr>
          <w:rFonts w:ascii="Times New Roman" w:hAnsi="Times New Roman" w:cs="Times New Roman"/>
          <w:szCs w:val="22"/>
          <w:vertAlign w:val="superscript"/>
          <w:lang w:val="es-ES_tradnl"/>
        </w:rPr>
        <w:footnoteReference w:id="14"/>
      </w:r>
      <w:r w:rsidRPr="005A2345">
        <w:rPr>
          <w:rFonts w:ascii="Times New Roman" w:hAnsi="Times New Roman" w:cs="Times New Roman"/>
          <w:color w:val="000000"/>
          <w:lang w:val="es-ES_tradnl" w:eastAsia="es-CO"/>
        </w:rPr>
        <w:t xml:space="preserve"> La condición de </w:t>
      </w:r>
      <w:r w:rsidRPr="005A2345">
        <w:rPr>
          <w:rFonts w:ascii="Times New Roman" w:hAnsi="Times New Roman" w:cs="Times New Roman"/>
          <w:i/>
          <w:color w:val="000000"/>
          <w:lang w:val="es-ES_tradnl" w:eastAsia="es-CO"/>
        </w:rPr>
        <w:t xml:space="preserve">certeza, </w:t>
      </w:r>
      <w:r w:rsidRPr="005A2345">
        <w:rPr>
          <w:rFonts w:ascii="Times New Roman" w:hAnsi="Times New Roman" w:cs="Times New Roman"/>
          <w:color w:val="000000"/>
          <w:lang w:val="es-ES_tradnl" w:eastAsia="es-CO"/>
        </w:rPr>
        <w:t>por su lado,</w:t>
      </w:r>
      <w:r w:rsidRPr="005A2345">
        <w:rPr>
          <w:rFonts w:ascii="Times New Roman" w:hAnsi="Times New Roman" w:cs="Times New Roman"/>
          <w:i/>
          <w:color w:val="000000"/>
          <w:lang w:val="es-ES_tradnl" w:eastAsia="es-CO"/>
        </w:rPr>
        <w:t xml:space="preserve"> </w:t>
      </w:r>
      <w:r w:rsidRPr="005A2345">
        <w:rPr>
          <w:rFonts w:ascii="Times New Roman" w:hAnsi="Times New Roman" w:cs="Times New Roman"/>
          <w:color w:val="000000"/>
          <w:lang w:val="es-ES_tradnl" w:eastAsia="es-CO"/>
        </w:rPr>
        <w:t>exige al actor presentar cargos contra una</w:t>
      </w:r>
      <w:r w:rsidRPr="005A2345">
        <w:rPr>
          <w:rFonts w:ascii="Times New Roman" w:hAnsi="Times New Roman" w:cs="Times New Roman"/>
          <w:color w:val="000000"/>
          <w:lang w:val="es-ES_tradnl" w:eastAsia="es-CO"/>
        </w:rPr>
        <w:t xml:space="preserve"> proposición jurídica real, existente y que tenga conexión con el texto de la norma acusada, y no una simple deducción del demandante.</w:t>
      </w:r>
      <w:r w:rsidRPr="005A2345">
        <w:rPr>
          <w:rFonts w:ascii="Times New Roman" w:hAnsi="Times New Roman" w:cs="Times New Roman"/>
          <w:szCs w:val="22"/>
          <w:vertAlign w:val="superscript"/>
          <w:lang w:val="es-ES_tradnl"/>
        </w:rPr>
        <w:footnoteReference w:id="15"/>
      </w:r>
      <w:r w:rsidRPr="005A2345">
        <w:rPr>
          <w:rFonts w:ascii="Times New Roman" w:hAnsi="Times New Roman" w:cs="Times New Roman"/>
          <w:color w:val="000000"/>
          <w:lang w:val="es-ES_tradnl" w:eastAsia="es-CO"/>
        </w:rPr>
        <w:t xml:space="preserve"> La exigencia de </w:t>
      </w:r>
      <w:r w:rsidRPr="005A2345">
        <w:rPr>
          <w:rFonts w:ascii="Times New Roman" w:hAnsi="Times New Roman" w:cs="Times New Roman"/>
          <w:i/>
          <w:color w:val="000000"/>
          <w:lang w:val="es-ES_tradnl" w:eastAsia="es-CO"/>
        </w:rPr>
        <w:t>especificidad</w:t>
      </w:r>
      <w:r w:rsidRPr="005A2345">
        <w:rPr>
          <w:rFonts w:ascii="Times New Roman" w:hAnsi="Times New Roman" w:cs="Times New Roman"/>
          <w:color w:val="000000"/>
          <w:lang w:val="es-ES_tradnl" w:eastAsia="es-CO"/>
        </w:rPr>
        <w:t xml:space="preserve"> hace alusión a que el demandante </w:t>
      </w:r>
      <w:bookmarkStart w:id="18" w:name="_Hlk167784628"/>
      <w:r w:rsidRPr="005A2345">
        <w:rPr>
          <w:rFonts w:ascii="Times New Roman" w:hAnsi="Times New Roman" w:cs="Times New Roman"/>
          <w:color w:val="000000"/>
          <w:lang w:val="es-ES_tradnl" w:eastAsia="es-CO"/>
        </w:rPr>
        <w:t>debe formular, al menos, un cargo constitucional concreto</w:t>
      </w:r>
      <w:r w:rsidRPr="005A2345">
        <w:rPr>
          <w:rFonts w:ascii="Times New Roman" w:hAnsi="Times New Roman" w:cs="Times New Roman"/>
          <w:color w:val="000000"/>
          <w:lang w:val="es-ES_tradnl" w:eastAsia="es-CO"/>
        </w:rPr>
        <w:t xml:space="preserve"> y directamente relacionado con las disposiciones que se acusan, pues exponer motivos vagos o indeterminados impediría un juicio de constitucionalidad</w:t>
      </w:r>
      <w:bookmarkEnd w:id="18"/>
      <w:r w:rsidRPr="005A2345">
        <w:rPr>
          <w:rFonts w:ascii="Times New Roman" w:hAnsi="Times New Roman" w:cs="Times New Roman"/>
          <w:color w:val="000000"/>
          <w:lang w:val="es-ES_tradnl" w:eastAsia="es-CO"/>
        </w:rPr>
        <w:t>.</w:t>
      </w:r>
      <w:r w:rsidRPr="005A2345">
        <w:rPr>
          <w:rFonts w:ascii="Times New Roman" w:hAnsi="Times New Roman" w:cs="Times New Roman"/>
          <w:szCs w:val="22"/>
          <w:vertAlign w:val="superscript"/>
          <w:lang w:val="es-ES_tradnl"/>
        </w:rPr>
        <w:footnoteReference w:id="16"/>
      </w:r>
      <w:r w:rsidRPr="005A2345">
        <w:rPr>
          <w:rFonts w:ascii="Times New Roman" w:hAnsi="Times New Roman" w:cs="Times New Roman"/>
          <w:color w:val="000000"/>
          <w:vertAlign w:val="superscript"/>
          <w:lang w:val="es-ES_tradnl" w:eastAsia="es-CO"/>
        </w:rPr>
        <w:t xml:space="preserve"> </w:t>
      </w:r>
      <w:r w:rsidRPr="005A2345">
        <w:rPr>
          <w:rFonts w:ascii="Times New Roman" w:hAnsi="Times New Roman" w:cs="Times New Roman"/>
          <w:color w:val="000000"/>
          <w:lang w:val="es-ES_tradnl" w:eastAsia="es-CO"/>
        </w:rPr>
        <w:t xml:space="preserve">En cuanto a la </w:t>
      </w:r>
      <w:r w:rsidRPr="005A2345">
        <w:rPr>
          <w:rFonts w:ascii="Times New Roman" w:hAnsi="Times New Roman" w:cs="Times New Roman"/>
          <w:i/>
          <w:color w:val="000000"/>
          <w:lang w:val="es-ES_tradnl" w:eastAsia="es-CO"/>
        </w:rPr>
        <w:t xml:space="preserve">pertinencia, </w:t>
      </w:r>
      <w:r w:rsidRPr="005A2345">
        <w:rPr>
          <w:rFonts w:ascii="Times New Roman" w:hAnsi="Times New Roman" w:cs="Times New Roman"/>
          <w:color w:val="000000"/>
          <w:lang w:val="es-ES_tradnl" w:eastAsia="es-CO"/>
        </w:rPr>
        <w:t xml:space="preserve">la Corte ha establecido que la misma se relaciona con </w:t>
      </w:r>
      <w:bookmarkStart w:id="19" w:name="_Hlk167784017"/>
      <w:r w:rsidRPr="005A2345">
        <w:rPr>
          <w:rFonts w:ascii="Times New Roman" w:hAnsi="Times New Roman" w:cs="Times New Roman"/>
          <w:color w:val="000000"/>
          <w:lang w:val="es-ES_tradnl" w:eastAsia="es-CO"/>
        </w:rPr>
        <w:t>la existencia de repr</w:t>
      </w:r>
      <w:r w:rsidRPr="005A2345">
        <w:rPr>
          <w:rFonts w:ascii="Times New Roman" w:hAnsi="Times New Roman" w:cs="Times New Roman"/>
          <w:color w:val="000000"/>
          <w:lang w:val="es-ES_tradnl" w:eastAsia="es-CO"/>
        </w:rPr>
        <w:t>oches basados en la confrontación del contenido de una norma superior con aquel de la disposición demandada, por lo cual no puede tratarse de argumentos de orden legal o doctrinario, o de puntos de vista subjetivos del accionante.</w:t>
      </w:r>
      <w:bookmarkEnd w:id="19"/>
      <w:r w:rsidRPr="005A2345">
        <w:rPr>
          <w:rFonts w:ascii="Times New Roman" w:hAnsi="Times New Roman" w:cs="Times New Roman"/>
          <w:szCs w:val="22"/>
          <w:vertAlign w:val="superscript"/>
          <w:lang w:val="es-ES_tradnl"/>
        </w:rPr>
        <w:footnoteReference w:id="17"/>
      </w:r>
      <w:r w:rsidRPr="005A2345">
        <w:rPr>
          <w:rFonts w:ascii="Times New Roman" w:hAnsi="Times New Roman" w:cs="Times New Roman"/>
          <w:color w:val="000000"/>
          <w:vertAlign w:val="superscript"/>
          <w:lang w:val="es-ES_tradnl" w:eastAsia="es-CO"/>
        </w:rPr>
        <w:t xml:space="preserve"> </w:t>
      </w:r>
      <w:r w:rsidRPr="005A2345">
        <w:rPr>
          <w:rFonts w:ascii="Times New Roman" w:hAnsi="Times New Roman" w:cs="Times New Roman"/>
          <w:color w:val="000000"/>
          <w:lang w:val="es-ES_tradnl" w:eastAsia="es-CO"/>
        </w:rPr>
        <w:t xml:space="preserve">Con respecto a la </w:t>
      </w:r>
      <w:r w:rsidRPr="005A2345">
        <w:rPr>
          <w:rFonts w:ascii="Times New Roman" w:hAnsi="Times New Roman" w:cs="Times New Roman"/>
          <w:i/>
          <w:color w:val="000000"/>
          <w:lang w:val="es-ES_tradnl" w:eastAsia="es-CO"/>
        </w:rPr>
        <w:t>sufici</w:t>
      </w:r>
      <w:r w:rsidRPr="005A2345">
        <w:rPr>
          <w:rFonts w:ascii="Times New Roman" w:hAnsi="Times New Roman" w:cs="Times New Roman"/>
          <w:i/>
          <w:color w:val="000000"/>
          <w:lang w:val="es-ES_tradnl" w:eastAsia="es-CO"/>
        </w:rPr>
        <w:t xml:space="preserve">encia, </w:t>
      </w:r>
      <w:r w:rsidRPr="005A2345">
        <w:rPr>
          <w:rFonts w:ascii="Times New Roman" w:hAnsi="Times New Roman" w:cs="Times New Roman"/>
          <w:color w:val="000000"/>
          <w:lang w:val="es-ES_tradnl" w:eastAsia="es-CO"/>
        </w:rPr>
        <w:t xml:space="preserve">ésta guarda relación con la exposición de los </w:t>
      </w:r>
      <w:bookmarkStart w:id="20" w:name="_Hlk167784647"/>
      <w:r w:rsidRPr="005A2345">
        <w:rPr>
          <w:rFonts w:ascii="Times New Roman" w:hAnsi="Times New Roman" w:cs="Times New Roman"/>
          <w:color w:val="000000"/>
          <w:lang w:val="es-ES_tradnl" w:eastAsia="es-CO"/>
        </w:rPr>
        <w:t xml:space="preserve">elementos de juicio necesarios para llevar a cabo un juicio de constitucionalidad y con el empleo de argumentos que despierten una </w:t>
      </w:r>
      <w:r w:rsidRPr="005A2345">
        <w:rPr>
          <w:rFonts w:ascii="Times New Roman" w:hAnsi="Times New Roman" w:cs="Times New Roman"/>
          <w:i/>
          <w:color w:val="000000"/>
          <w:lang w:val="es-ES_tradnl" w:eastAsia="es-CO"/>
        </w:rPr>
        <w:t xml:space="preserve">duda mínima </w:t>
      </w:r>
      <w:r w:rsidRPr="005A2345">
        <w:rPr>
          <w:rFonts w:ascii="Times New Roman" w:hAnsi="Times New Roman" w:cs="Times New Roman"/>
          <w:color w:val="000000"/>
          <w:lang w:val="es-ES_tradnl" w:eastAsia="es-CO"/>
        </w:rPr>
        <w:t>sobre la constitucionalidad de la disposición atacada, logra</w:t>
      </w:r>
      <w:r w:rsidRPr="005A2345">
        <w:rPr>
          <w:rFonts w:ascii="Times New Roman" w:hAnsi="Times New Roman" w:cs="Times New Roman"/>
          <w:color w:val="000000"/>
          <w:lang w:val="es-ES_tradnl" w:eastAsia="es-CO"/>
        </w:rPr>
        <w:t>ndo así que la demanda tenga un alcance persuasivo</w:t>
      </w:r>
      <w:bookmarkEnd w:id="20"/>
      <w:r w:rsidRPr="005A2345">
        <w:rPr>
          <w:rFonts w:ascii="Times New Roman" w:hAnsi="Times New Roman" w:cs="Times New Roman"/>
          <w:color w:val="000000"/>
          <w:lang w:val="es-ES_tradnl" w:eastAsia="es-CO"/>
        </w:rPr>
        <w:t>.</w:t>
      </w:r>
      <w:r w:rsidRPr="005A2345">
        <w:rPr>
          <w:rFonts w:ascii="Times New Roman" w:hAnsi="Times New Roman" w:cs="Times New Roman"/>
          <w:szCs w:val="22"/>
          <w:vertAlign w:val="superscript"/>
          <w:lang w:val="es-ES_tradnl"/>
        </w:rPr>
        <w:footnoteReference w:id="18"/>
      </w:r>
      <w:r w:rsidRPr="005A2345">
        <w:rPr>
          <w:rFonts w:ascii="Times New Roman" w:hAnsi="Times New Roman" w:cs="Times New Roman"/>
          <w:color w:val="000000"/>
          <w:vertAlign w:val="superscript"/>
          <w:lang w:val="es-ES_tradnl" w:eastAsia="es-CO"/>
        </w:rPr>
        <w:t xml:space="preserve"> </w:t>
      </w:r>
    </w:p>
    <w:p w:rsidR="00EB4208" w:rsidRPr="005A2345" w:rsidRDefault="005A2345" w:rsidP="00EB4208">
      <w:pPr>
        <w:pStyle w:val="Prrafodelista"/>
        <w:tabs>
          <w:tab w:val="left" w:pos="284"/>
          <w:tab w:val="left" w:pos="567"/>
        </w:tabs>
        <w:overflowPunct w:val="0"/>
        <w:autoSpaceDE w:val="0"/>
        <w:autoSpaceDN w:val="0"/>
        <w:adjustRightInd w:val="0"/>
        <w:spacing w:after="0" w:line="240" w:lineRule="auto"/>
        <w:ind w:left="0"/>
        <w:jc w:val="both"/>
        <w:textAlignment w:val="baseline"/>
        <w:rPr>
          <w:rFonts w:ascii="Times New Roman" w:hAnsi="Times New Roman" w:cs="Times New Roman"/>
          <w:b/>
          <w:lang w:val="es-ES_tradnl"/>
        </w:rPr>
      </w:pPr>
    </w:p>
    <w:p w:rsidR="00CA73EC" w:rsidRPr="005A2345" w:rsidRDefault="005A2345" w:rsidP="00076595">
      <w:pPr>
        <w:pStyle w:val="Prrafodelista"/>
        <w:numPr>
          <w:ilvl w:val="0"/>
          <w:numId w:val="5"/>
        </w:numPr>
        <w:tabs>
          <w:tab w:val="left" w:pos="284"/>
          <w:tab w:val="left" w:pos="567"/>
        </w:tabs>
        <w:overflowPunct w:val="0"/>
        <w:autoSpaceDE w:val="0"/>
        <w:autoSpaceDN w:val="0"/>
        <w:adjustRightInd w:val="0"/>
        <w:spacing w:after="0" w:line="240" w:lineRule="auto"/>
        <w:ind w:left="0" w:firstLine="0"/>
        <w:jc w:val="both"/>
        <w:textAlignment w:val="baseline"/>
        <w:rPr>
          <w:rFonts w:ascii="Times New Roman" w:hAnsi="Times New Roman" w:cs="Times New Roman"/>
          <w:b/>
          <w:lang w:val="es-ES_tradnl"/>
        </w:rPr>
      </w:pPr>
      <w:r w:rsidRPr="005A2345">
        <w:rPr>
          <w:rFonts w:ascii="Times New Roman" w:hAnsi="Times New Roman" w:cs="Times New Roman"/>
          <w:color w:val="000000"/>
          <w:lang w:val="es-ES" w:eastAsia="es-CO"/>
        </w:rPr>
        <w:t>Varios intervinientes advirtieron a la Sala Plena de la Corte Constitucional que la demanda no cumple con los requisitos de aptitud para ser analizada de fondo.</w:t>
      </w:r>
      <w:r w:rsidRPr="005A2345">
        <w:rPr>
          <w:rStyle w:val="Refdenotaalpie"/>
          <w:rFonts w:ascii="Times New Roman" w:hAnsi="Times New Roman" w:cs="Times New Roman"/>
          <w:color w:val="000000"/>
          <w:lang w:val="es-ES" w:eastAsia="es-CO"/>
        </w:rPr>
        <w:footnoteReference w:id="19"/>
      </w:r>
      <w:r w:rsidRPr="005A2345">
        <w:rPr>
          <w:rFonts w:ascii="Times New Roman" w:hAnsi="Times New Roman" w:cs="Times New Roman"/>
          <w:color w:val="000000"/>
          <w:lang w:val="es-ES" w:eastAsia="es-CO"/>
        </w:rPr>
        <w:t xml:space="preserve"> Específicamente, afirmaron que </w:t>
      </w:r>
      <w:r w:rsidRPr="005A2345">
        <w:rPr>
          <w:rFonts w:ascii="Times New Roman" w:hAnsi="Times New Roman" w:cs="Times New Roman"/>
          <w:color w:val="000000"/>
          <w:lang w:val="es-ES" w:eastAsia="es-CO"/>
        </w:rPr>
        <w:t xml:space="preserve">el cargo carecía de razones </w:t>
      </w:r>
      <w:r w:rsidRPr="005A2345">
        <w:rPr>
          <w:rFonts w:ascii="Times New Roman" w:hAnsi="Times New Roman" w:cs="Times New Roman"/>
          <w:color w:val="000000"/>
          <w:lang w:val="es-ES" w:eastAsia="es-CO"/>
        </w:rPr>
        <w:t xml:space="preserve">claras, </w:t>
      </w:r>
      <w:r w:rsidRPr="005A2345">
        <w:rPr>
          <w:rFonts w:ascii="Times New Roman" w:hAnsi="Times New Roman" w:cs="Times New Roman"/>
          <w:color w:val="000000"/>
          <w:lang w:val="es-ES" w:eastAsia="es-CO"/>
        </w:rPr>
        <w:t>ciertas</w:t>
      </w:r>
      <w:r w:rsidRPr="005A2345">
        <w:rPr>
          <w:rFonts w:ascii="Times New Roman" w:hAnsi="Times New Roman" w:cs="Times New Roman"/>
          <w:color w:val="000000"/>
          <w:lang w:val="es-ES" w:eastAsia="es-CO"/>
        </w:rPr>
        <w:t>,</w:t>
      </w:r>
      <w:r w:rsidRPr="005A2345">
        <w:rPr>
          <w:rFonts w:ascii="Times New Roman" w:hAnsi="Times New Roman" w:cs="Times New Roman"/>
          <w:color w:val="000000"/>
          <w:lang w:val="es-ES" w:eastAsia="es-CO"/>
        </w:rPr>
        <w:t xml:space="preserve"> </w:t>
      </w:r>
      <w:r w:rsidRPr="005A2345">
        <w:rPr>
          <w:rFonts w:ascii="Times New Roman" w:hAnsi="Times New Roman" w:cs="Times New Roman"/>
          <w:color w:val="000000"/>
          <w:lang w:val="es-ES" w:eastAsia="es-CO"/>
        </w:rPr>
        <w:t xml:space="preserve">pertinentes, </w:t>
      </w:r>
      <w:r w:rsidRPr="005A2345">
        <w:rPr>
          <w:rFonts w:ascii="Times New Roman" w:hAnsi="Times New Roman" w:cs="Times New Roman"/>
          <w:color w:val="000000"/>
          <w:lang w:val="es-ES" w:eastAsia="es-CO"/>
        </w:rPr>
        <w:t xml:space="preserve">específicas y suficientes, toda vez que </w:t>
      </w:r>
      <w:r w:rsidRPr="005A2345">
        <w:rPr>
          <w:rFonts w:ascii="Times New Roman" w:hAnsi="Times New Roman" w:cs="Times New Roman"/>
          <w:color w:val="000000"/>
          <w:lang w:eastAsia="es-CO"/>
        </w:rPr>
        <w:t>la norma censurada no contiene una cláusula abierta e ilimitada de reserva de la información. Contrario a lo expuesto por el ciudadano, dicen las entidades es</w:t>
      </w:r>
      <w:r w:rsidRPr="005A2345">
        <w:rPr>
          <w:rFonts w:ascii="Times New Roman" w:hAnsi="Times New Roman" w:cs="Times New Roman"/>
          <w:color w:val="000000"/>
          <w:lang w:eastAsia="es-CO"/>
        </w:rPr>
        <w:t xml:space="preserve">tatales que la norma </w:t>
      </w:r>
      <w:r w:rsidRPr="005A2345">
        <w:rPr>
          <w:rFonts w:ascii="Times New Roman" w:hAnsi="Times New Roman" w:cs="Times New Roman"/>
          <w:color w:val="000000"/>
          <w:lang w:eastAsia="es-CO"/>
        </w:rPr>
        <w:t>establece</w:t>
      </w:r>
      <w:r w:rsidRPr="005A2345">
        <w:rPr>
          <w:rFonts w:ascii="Times New Roman" w:hAnsi="Times New Roman" w:cs="Times New Roman"/>
          <w:color w:val="000000"/>
          <w:lang w:eastAsia="es-CO"/>
        </w:rPr>
        <w:t xml:space="preserve"> con claridad (i) el objeto de la reserva, (i</w:t>
      </w:r>
      <w:r w:rsidRPr="005A2345">
        <w:rPr>
          <w:rFonts w:ascii="Times New Roman" w:hAnsi="Times New Roman" w:cs="Times New Roman"/>
          <w:color w:val="000000"/>
          <w:lang w:eastAsia="es-CO"/>
        </w:rPr>
        <w:t>i</w:t>
      </w:r>
      <w:r w:rsidRPr="005A2345">
        <w:rPr>
          <w:rFonts w:ascii="Times New Roman" w:hAnsi="Times New Roman" w:cs="Times New Roman"/>
          <w:color w:val="000000"/>
          <w:lang w:eastAsia="es-CO"/>
        </w:rPr>
        <w:t xml:space="preserve">) la autoridad que la define y (iii) el límite temporal, el cual se extrae de la lectura armónica con el artículo </w:t>
      </w:r>
      <w:r w:rsidRPr="005A2345">
        <w:rPr>
          <w:rFonts w:ascii="Times New Roman" w:hAnsi="Times New Roman" w:cs="Times New Roman"/>
          <w:bCs/>
        </w:rPr>
        <w:t>19 de la misma Ley 2272 de 2022 y</w:t>
      </w:r>
      <w:r w:rsidRPr="005A2345">
        <w:rPr>
          <w:rFonts w:ascii="Times New Roman" w:hAnsi="Times New Roman" w:cs="Times New Roman"/>
          <w:bCs/>
        </w:rPr>
        <w:t>,</w:t>
      </w:r>
      <w:r w:rsidRPr="005A2345">
        <w:rPr>
          <w:rFonts w:ascii="Times New Roman" w:hAnsi="Times New Roman" w:cs="Times New Roman"/>
          <w:bCs/>
        </w:rPr>
        <w:t xml:space="preserve"> en gracia de discusión, del art</w:t>
      </w:r>
      <w:r w:rsidRPr="005A2345">
        <w:rPr>
          <w:rFonts w:ascii="Times New Roman" w:hAnsi="Times New Roman" w:cs="Times New Roman"/>
          <w:bCs/>
        </w:rPr>
        <w:t xml:space="preserve">ículo 22 de la Ley 1712 de 2014, el cual contempla un límite temporal </w:t>
      </w:r>
      <w:r w:rsidRPr="005A2345">
        <w:rPr>
          <w:rFonts w:ascii="Times New Roman" w:hAnsi="Times New Roman" w:cs="Times New Roman"/>
          <w:bCs/>
        </w:rPr>
        <w:t xml:space="preserve">de 15 años </w:t>
      </w:r>
      <w:r w:rsidRPr="005A2345">
        <w:rPr>
          <w:rFonts w:ascii="Times New Roman" w:hAnsi="Times New Roman" w:cs="Times New Roman"/>
          <w:bCs/>
        </w:rPr>
        <w:t>para la reserva en asuntos relacionados con defensa y seguridad nacional.</w:t>
      </w:r>
      <w:r w:rsidRPr="005A2345">
        <w:rPr>
          <w:rFonts w:ascii="Times New Roman" w:hAnsi="Times New Roman" w:cs="Times New Roman"/>
          <w:bCs/>
        </w:rPr>
        <w:t xml:space="preserve"> De acuerdo con esta posición, la demanda realizó una lectura descontextualizada del parágrafo 1 del a</w:t>
      </w:r>
      <w:r w:rsidRPr="005A2345">
        <w:rPr>
          <w:rFonts w:ascii="Times New Roman" w:hAnsi="Times New Roman" w:cs="Times New Roman"/>
          <w:bCs/>
        </w:rPr>
        <w:t xml:space="preserve">rtículo 6 de la Ley 2272 de 2022, porque la reserva de información no es absoluta y atiende a la protección de la política de paz. </w:t>
      </w:r>
      <w:r w:rsidRPr="005A2345">
        <w:rPr>
          <w:rFonts w:ascii="Times New Roman" w:hAnsi="Times New Roman" w:cs="Times New Roman"/>
          <w:bCs/>
        </w:rPr>
        <w:t>Además, argumentaron que la misma disposición contempla un mecanismo de divulgación de información a través de la rendición d</w:t>
      </w:r>
      <w:r w:rsidRPr="005A2345">
        <w:rPr>
          <w:rFonts w:ascii="Times New Roman" w:hAnsi="Times New Roman" w:cs="Times New Roman"/>
          <w:bCs/>
        </w:rPr>
        <w:t>e un informe periódico por parte del Gabinete de Paz. Por lo demás, las sesiones de los ministerios y</w:t>
      </w:r>
      <w:r w:rsidRPr="005A2345">
        <w:rPr>
          <w:rFonts w:ascii="Times New Roman" w:hAnsi="Times New Roman" w:cs="Times New Roman"/>
          <w:bCs/>
        </w:rPr>
        <w:t>,</w:t>
      </w:r>
      <w:r w:rsidRPr="005A2345">
        <w:rPr>
          <w:rFonts w:ascii="Times New Roman" w:hAnsi="Times New Roman" w:cs="Times New Roman"/>
          <w:bCs/>
        </w:rPr>
        <w:t xml:space="preserve"> por tanto, del Gabinete de Paz, por mandato legal, tienen reserva de acuerdo con los artículos 19 de la Ley 1712 de 2014 y 9 de la Ley 63 de 1923. </w:t>
      </w:r>
    </w:p>
    <w:p w:rsidR="006A29AF" w:rsidRPr="005A2345" w:rsidRDefault="005A2345" w:rsidP="006A29AF">
      <w:pPr>
        <w:pStyle w:val="Prrafodelista"/>
        <w:tabs>
          <w:tab w:val="left" w:pos="284"/>
          <w:tab w:val="left" w:pos="567"/>
        </w:tabs>
        <w:overflowPunct w:val="0"/>
        <w:autoSpaceDE w:val="0"/>
        <w:autoSpaceDN w:val="0"/>
        <w:adjustRightInd w:val="0"/>
        <w:spacing w:after="0" w:line="240" w:lineRule="auto"/>
        <w:ind w:left="0"/>
        <w:jc w:val="both"/>
        <w:textAlignment w:val="baseline"/>
        <w:rPr>
          <w:rFonts w:ascii="Times New Roman" w:hAnsi="Times New Roman" w:cs="Times New Roman"/>
          <w:b/>
          <w:lang w:val="es-ES_tradnl"/>
        </w:rPr>
      </w:pPr>
    </w:p>
    <w:p w:rsidR="006A29AF" w:rsidRPr="005A2345" w:rsidRDefault="005A2345" w:rsidP="00076595">
      <w:pPr>
        <w:pStyle w:val="Prrafodelista"/>
        <w:numPr>
          <w:ilvl w:val="0"/>
          <w:numId w:val="5"/>
        </w:numPr>
        <w:tabs>
          <w:tab w:val="left" w:pos="284"/>
          <w:tab w:val="left" w:pos="567"/>
        </w:tabs>
        <w:overflowPunct w:val="0"/>
        <w:autoSpaceDE w:val="0"/>
        <w:autoSpaceDN w:val="0"/>
        <w:adjustRightInd w:val="0"/>
        <w:spacing w:after="0" w:line="240" w:lineRule="auto"/>
        <w:ind w:left="0" w:firstLine="0"/>
        <w:jc w:val="both"/>
        <w:textAlignment w:val="baseline"/>
        <w:rPr>
          <w:rFonts w:ascii="Times New Roman" w:hAnsi="Times New Roman" w:cs="Times New Roman"/>
          <w:bCs/>
          <w:lang w:val="es-ES_tradnl"/>
        </w:rPr>
      </w:pPr>
      <w:r w:rsidRPr="005A2345">
        <w:rPr>
          <w:rFonts w:ascii="Times New Roman" w:hAnsi="Times New Roman" w:cs="Times New Roman"/>
          <w:bCs/>
          <w:lang w:val="es-ES_tradnl"/>
        </w:rPr>
        <w:t xml:space="preserve">Ahora bien, la Sala considera que no le asiste razón a los intervinientes que sugirieron la ineptitud de la demanda, por las siguientes razones. </w:t>
      </w:r>
    </w:p>
    <w:p w:rsidR="006A29AF" w:rsidRPr="005A2345" w:rsidRDefault="005A2345" w:rsidP="006A29AF">
      <w:pPr>
        <w:rPr>
          <w:rFonts w:ascii="Times New Roman" w:hAnsi="Times New Roman" w:cs="Times New Roman"/>
          <w:bCs/>
          <w:sz w:val="28"/>
          <w:lang w:val="es-ES_tradnl"/>
        </w:rPr>
      </w:pPr>
    </w:p>
    <w:p w:rsidR="00B70FDD" w:rsidRPr="005A2345" w:rsidRDefault="005A2345" w:rsidP="00076595">
      <w:pPr>
        <w:pStyle w:val="Prrafodelista"/>
        <w:numPr>
          <w:ilvl w:val="0"/>
          <w:numId w:val="5"/>
        </w:numPr>
        <w:tabs>
          <w:tab w:val="left" w:pos="284"/>
          <w:tab w:val="left" w:pos="567"/>
        </w:tabs>
        <w:overflowPunct w:val="0"/>
        <w:autoSpaceDE w:val="0"/>
        <w:autoSpaceDN w:val="0"/>
        <w:adjustRightInd w:val="0"/>
        <w:spacing w:after="0" w:line="240" w:lineRule="auto"/>
        <w:ind w:left="0" w:firstLine="0"/>
        <w:jc w:val="both"/>
        <w:textAlignment w:val="baseline"/>
        <w:rPr>
          <w:rFonts w:ascii="Times New Roman" w:hAnsi="Times New Roman" w:cs="Times New Roman"/>
          <w:bCs/>
          <w:lang w:val="es-ES_tradnl"/>
        </w:rPr>
      </w:pPr>
      <w:r w:rsidRPr="005A2345">
        <w:rPr>
          <w:rFonts w:ascii="Times New Roman" w:hAnsi="Times New Roman" w:cs="Times New Roman"/>
          <w:bCs/>
          <w:lang w:val="es-ES_tradnl"/>
        </w:rPr>
        <w:t xml:space="preserve">El cargo </w:t>
      </w:r>
      <w:r w:rsidRPr="005A2345">
        <w:rPr>
          <w:rFonts w:ascii="Times New Roman" w:hAnsi="Times New Roman" w:cs="Times New Roman"/>
          <w:bCs/>
          <w:lang w:val="es-ES_tradnl"/>
        </w:rPr>
        <w:t>cuenta con razones claras y ciertas.</w:t>
      </w:r>
      <w:r w:rsidRPr="005A2345">
        <w:rPr>
          <w:rFonts w:ascii="Times New Roman" w:hAnsi="Times New Roman" w:cs="Times New Roman"/>
          <w:bCs/>
          <w:lang w:val="es-ES_tradnl"/>
        </w:rPr>
        <w:t xml:space="preserve"> </w:t>
      </w:r>
      <w:r w:rsidRPr="005A2345">
        <w:rPr>
          <w:rFonts w:ascii="Times New Roman" w:hAnsi="Times New Roman" w:cs="Times New Roman"/>
          <w:bCs/>
          <w:lang w:val="es-ES_tradnl"/>
        </w:rPr>
        <w:t xml:space="preserve">El escrito de la demanda identifica con claridad la norma que </w:t>
      </w:r>
      <w:r w:rsidRPr="005A2345">
        <w:rPr>
          <w:rFonts w:ascii="Times New Roman" w:hAnsi="Times New Roman" w:cs="Times New Roman"/>
          <w:bCs/>
          <w:lang w:val="es-ES_tradnl"/>
        </w:rPr>
        <w:t>considera inconstitucional y la contrasta con los contenidos constitucionales, particularmente, los artículos 23 y 74 de la CP. Para el efecto, hizo referencia a la jurisprudencia constitucional que ha</w:t>
      </w:r>
      <w:r w:rsidRPr="005A2345">
        <w:rPr>
          <w:rFonts w:ascii="Times New Roman" w:hAnsi="Times New Roman" w:cs="Times New Roman"/>
          <w:bCs/>
          <w:lang w:val="es-ES_tradnl"/>
        </w:rPr>
        <w:t xml:space="preserve"> establecido las condiciones para definir si una reserv</w:t>
      </w:r>
      <w:r w:rsidRPr="005A2345">
        <w:rPr>
          <w:rFonts w:ascii="Times New Roman" w:hAnsi="Times New Roman" w:cs="Times New Roman"/>
          <w:bCs/>
          <w:lang w:val="es-ES_tradnl"/>
        </w:rPr>
        <w:t>a al acceso a la información pública es acorde con la Constitución. Por lo anterior, la Sala encuentra que la demanda cuenta con un hilo conductor que permite determinar el contenido de la demanda</w:t>
      </w:r>
      <w:r w:rsidRPr="005A2345">
        <w:rPr>
          <w:rFonts w:ascii="Times New Roman" w:hAnsi="Times New Roman" w:cs="Times New Roman"/>
          <w:bCs/>
          <w:lang w:val="es-ES_tradnl"/>
        </w:rPr>
        <w:t xml:space="preserve"> y la pretensión concreta.</w:t>
      </w:r>
      <w:r w:rsidRPr="005A2345">
        <w:rPr>
          <w:rFonts w:ascii="Times New Roman" w:hAnsi="Times New Roman" w:cs="Times New Roman"/>
          <w:bCs/>
          <w:lang w:val="es-ES_tradnl"/>
        </w:rPr>
        <w:t xml:space="preserve"> </w:t>
      </w:r>
    </w:p>
    <w:p w:rsidR="00B70FDD" w:rsidRPr="005A2345" w:rsidRDefault="005A2345" w:rsidP="00B70FDD">
      <w:pPr>
        <w:rPr>
          <w:rFonts w:ascii="Times New Roman" w:hAnsi="Times New Roman" w:cs="Times New Roman"/>
          <w:bCs/>
          <w:sz w:val="28"/>
          <w:lang w:val="es-ES_tradnl"/>
        </w:rPr>
      </w:pPr>
    </w:p>
    <w:p w:rsidR="00B60A1C" w:rsidRPr="005A2345" w:rsidRDefault="005A2345" w:rsidP="00076595">
      <w:pPr>
        <w:pStyle w:val="Prrafodelista"/>
        <w:numPr>
          <w:ilvl w:val="0"/>
          <w:numId w:val="5"/>
        </w:numPr>
        <w:tabs>
          <w:tab w:val="left" w:pos="284"/>
          <w:tab w:val="left" w:pos="567"/>
        </w:tabs>
        <w:overflowPunct w:val="0"/>
        <w:autoSpaceDE w:val="0"/>
        <w:autoSpaceDN w:val="0"/>
        <w:adjustRightInd w:val="0"/>
        <w:spacing w:after="0" w:line="240" w:lineRule="auto"/>
        <w:ind w:left="0" w:firstLine="0"/>
        <w:jc w:val="both"/>
        <w:textAlignment w:val="baseline"/>
        <w:rPr>
          <w:rFonts w:ascii="Times New Roman" w:hAnsi="Times New Roman" w:cs="Times New Roman"/>
          <w:bCs/>
          <w:lang w:val="es-ES_tradnl"/>
        </w:rPr>
      </w:pPr>
      <w:r w:rsidRPr="005A2345">
        <w:rPr>
          <w:rFonts w:ascii="Times New Roman" w:hAnsi="Times New Roman" w:cs="Times New Roman"/>
          <w:bCs/>
          <w:lang w:val="es-ES_tradnl"/>
        </w:rPr>
        <w:t>Además, la demanda desarrolló r</w:t>
      </w:r>
      <w:r w:rsidRPr="005A2345">
        <w:rPr>
          <w:rFonts w:ascii="Times New Roman" w:hAnsi="Times New Roman" w:cs="Times New Roman"/>
          <w:bCs/>
          <w:lang w:val="es-ES_tradnl"/>
        </w:rPr>
        <w:t xml:space="preserve">azones ciertas, toda vez que </w:t>
      </w:r>
      <w:r w:rsidRPr="005A2345">
        <w:rPr>
          <w:rFonts w:ascii="Times New Roman" w:hAnsi="Times New Roman" w:cs="Times New Roman"/>
          <w:lang w:eastAsia="es-MX"/>
        </w:rPr>
        <w:t xml:space="preserve">recaen sobre una proposición jurídica real y existente. Al respecto, a diferencia de los intervinientes antes reseñados, la Sala estima que la lectura que hace el demandante de la norma demandada no es descontextualizada, pues </w:t>
      </w:r>
      <w:r w:rsidRPr="005A2345">
        <w:rPr>
          <w:rFonts w:ascii="Times New Roman" w:hAnsi="Times New Roman" w:cs="Times New Roman"/>
          <w:lang w:eastAsia="es-MX"/>
        </w:rPr>
        <w:t xml:space="preserve">la misma norma establece varias materias sobre las que podría recaer la reserva. Se consagra que </w:t>
      </w:r>
      <w:bookmarkStart w:id="21" w:name="_Hlk167785605"/>
      <w:r w:rsidRPr="005A2345">
        <w:rPr>
          <w:rFonts w:ascii="Times New Roman" w:hAnsi="Times New Roman" w:cs="Times New Roman"/>
          <w:lang w:eastAsia="es-MX"/>
        </w:rPr>
        <w:t>«</w:t>
      </w:r>
      <w:r w:rsidRPr="005A2345">
        <w:rPr>
          <w:rFonts w:ascii="Times New Roman" w:hAnsi="Times New Roman" w:cs="Times New Roman"/>
          <w:lang w:eastAsia="es-CO"/>
        </w:rPr>
        <w:t>los asuntos referidos a conversaciones, acuerdos y negociaciones con actores armados que se traten en sus sesiones, así como la información y documentos que s</w:t>
      </w:r>
      <w:r w:rsidRPr="005A2345">
        <w:rPr>
          <w:rFonts w:ascii="Times New Roman" w:hAnsi="Times New Roman" w:cs="Times New Roman"/>
          <w:lang w:eastAsia="es-CO"/>
        </w:rPr>
        <w:t>e expidan en esta materia, podrán tener el carácter de reservados».</w:t>
      </w:r>
      <w:bookmarkEnd w:id="21"/>
      <w:r w:rsidRPr="005A2345">
        <w:rPr>
          <w:rFonts w:ascii="Times New Roman" w:hAnsi="Times New Roman" w:cs="Times New Roman"/>
          <w:lang w:eastAsia="es-CO"/>
        </w:rPr>
        <w:t xml:space="preserve"> Partiendo de este texto, el ciudadano afirmó que se trata de una reserva abierta e ilimitada que no permite definir su alcance y permite una amplia discrecionalidad del Gabinete de Paz par</w:t>
      </w:r>
      <w:r w:rsidRPr="005A2345">
        <w:rPr>
          <w:rFonts w:ascii="Times New Roman" w:hAnsi="Times New Roman" w:cs="Times New Roman"/>
          <w:lang w:eastAsia="es-CO"/>
        </w:rPr>
        <w:t xml:space="preserve">a clasificar la información. Todo esto, según el actor, es contrario a lo que exige la jurisprudencia constitucional sobre el requisito de legalidad en cuanto a las restricciones del derecho al acceso a la información pública. </w:t>
      </w:r>
      <w:r w:rsidRPr="005A2345">
        <w:rPr>
          <w:rFonts w:ascii="Times New Roman" w:hAnsi="Times New Roman" w:cs="Times New Roman"/>
          <w:lang w:eastAsia="es-CO"/>
        </w:rPr>
        <w:t xml:space="preserve">Así, se puede evidenciar, </w:t>
      </w:r>
      <w:r w:rsidRPr="005A2345">
        <w:rPr>
          <w:rFonts w:ascii="Times New Roman" w:hAnsi="Times New Roman" w:cs="Times New Roman"/>
          <w:i/>
          <w:iCs/>
          <w:lang w:eastAsia="es-CO"/>
        </w:rPr>
        <w:t>pri</w:t>
      </w:r>
      <w:r w:rsidRPr="005A2345">
        <w:rPr>
          <w:rFonts w:ascii="Times New Roman" w:hAnsi="Times New Roman" w:cs="Times New Roman"/>
          <w:i/>
          <w:iCs/>
          <w:lang w:eastAsia="es-CO"/>
        </w:rPr>
        <w:t>ma facie</w:t>
      </w:r>
      <w:r w:rsidRPr="005A2345">
        <w:rPr>
          <w:rFonts w:ascii="Times New Roman" w:hAnsi="Times New Roman" w:cs="Times New Roman"/>
          <w:lang w:eastAsia="es-CO"/>
        </w:rPr>
        <w:t xml:space="preserve">, que el contenido antes reseñado no precisa con claridad los temas y las razones por las cuales pueden estar sujetos a reserva algunos documentos, el tiempo que deben reservarse y la autoridad que debe determinarlo. Por tanto, </w:t>
      </w:r>
      <w:r w:rsidRPr="005A2345">
        <w:rPr>
          <w:rFonts w:ascii="Times New Roman" w:hAnsi="Times New Roman" w:cs="Times New Roman"/>
          <w:bCs/>
          <w:lang w:val="es-ES_tradnl"/>
        </w:rPr>
        <w:t xml:space="preserve">pareciera que </w:t>
      </w:r>
      <w:r w:rsidRPr="005A2345">
        <w:rPr>
          <w:rFonts w:ascii="Times New Roman" w:hAnsi="Times New Roman" w:cs="Times New Roman"/>
          <w:bCs/>
          <w:iCs/>
        </w:rPr>
        <w:t>hay as</w:t>
      </w:r>
      <w:r w:rsidRPr="005A2345">
        <w:rPr>
          <w:rFonts w:ascii="Times New Roman" w:hAnsi="Times New Roman" w:cs="Times New Roman"/>
          <w:bCs/>
          <w:iCs/>
        </w:rPr>
        <w:t>untos que no están plenamente identificados por la disposición y que son indispensables para que una reserva sea constitucionalmente admisible.</w:t>
      </w:r>
    </w:p>
    <w:p w:rsidR="005F4F8F" w:rsidRPr="005A2345" w:rsidRDefault="005A2345" w:rsidP="005F4F8F">
      <w:pPr>
        <w:pStyle w:val="Prrafodelista"/>
        <w:tabs>
          <w:tab w:val="left" w:pos="284"/>
          <w:tab w:val="left" w:pos="567"/>
        </w:tabs>
        <w:overflowPunct w:val="0"/>
        <w:autoSpaceDE w:val="0"/>
        <w:autoSpaceDN w:val="0"/>
        <w:adjustRightInd w:val="0"/>
        <w:spacing w:after="0" w:line="240" w:lineRule="auto"/>
        <w:ind w:left="0"/>
        <w:jc w:val="both"/>
        <w:textAlignment w:val="baseline"/>
        <w:rPr>
          <w:rFonts w:ascii="Times New Roman" w:hAnsi="Times New Roman" w:cs="Times New Roman"/>
          <w:bCs/>
          <w:lang w:val="es-ES_tradnl"/>
        </w:rPr>
      </w:pPr>
    </w:p>
    <w:p w:rsidR="006A29AF" w:rsidRPr="005A2345" w:rsidRDefault="005A2345" w:rsidP="00076595">
      <w:pPr>
        <w:pStyle w:val="Prrafodelista"/>
        <w:numPr>
          <w:ilvl w:val="0"/>
          <w:numId w:val="5"/>
        </w:numPr>
        <w:tabs>
          <w:tab w:val="left" w:pos="284"/>
          <w:tab w:val="left" w:pos="567"/>
        </w:tabs>
        <w:overflowPunct w:val="0"/>
        <w:autoSpaceDE w:val="0"/>
        <w:autoSpaceDN w:val="0"/>
        <w:adjustRightInd w:val="0"/>
        <w:spacing w:after="0" w:line="240" w:lineRule="auto"/>
        <w:ind w:left="0" w:firstLine="0"/>
        <w:jc w:val="both"/>
        <w:textAlignment w:val="baseline"/>
        <w:rPr>
          <w:rFonts w:ascii="Times New Roman" w:hAnsi="Times New Roman" w:cs="Times New Roman"/>
          <w:bCs/>
          <w:lang w:val="es-ES_tradnl"/>
        </w:rPr>
      </w:pPr>
      <w:r w:rsidRPr="005A2345">
        <w:rPr>
          <w:rFonts w:ascii="Times New Roman" w:hAnsi="Times New Roman" w:cs="Times New Roman"/>
          <w:lang w:eastAsia="es-CO"/>
        </w:rPr>
        <w:t xml:space="preserve">De igual forma, </w:t>
      </w:r>
      <w:r w:rsidRPr="005A2345">
        <w:rPr>
          <w:rFonts w:ascii="Times New Roman" w:hAnsi="Times New Roman" w:cs="Times New Roman"/>
          <w:lang w:eastAsia="es-CO"/>
        </w:rPr>
        <w:t>según la interpretación que hace el ciudadano</w:t>
      </w:r>
      <w:r w:rsidRPr="005A2345">
        <w:rPr>
          <w:rFonts w:ascii="Times New Roman" w:hAnsi="Times New Roman" w:cs="Times New Roman"/>
          <w:lang w:val="es-ES" w:eastAsia="es-MX"/>
        </w:rPr>
        <w:t xml:space="preserve">, precisamente, la Ley Estatutaria 1712 de 2014 y </w:t>
      </w:r>
      <w:r w:rsidRPr="005A2345">
        <w:rPr>
          <w:rFonts w:ascii="Times New Roman" w:hAnsi="Times New Roman" w:cs="Times New Roman"/>
          <w:lang w:val="es-ES" w:eastAsia="es-MX"/>
        </w:rPr>
        <w:t>la sentencia que la estudió (C-274 de 2013) exig</w:t>
      </w:r>
      <w:r w:rsidRPr="005A2345">
        <w:rPr>
          <w:rFonts w:ascii="Times New Roman" w:hAnsi="Times New Roman" w:cs="Times New Roman"/>
          <w:lang w:val="es-ES" w:eastAsia="es-MX"/>
        </w:rPr>
        <w:t>en</w:t>
      </w:r>
      <w:r w:rsidRPr="005A2345">
        <w:rPr>
          <w:rFonts w:ascii="Times New Roman" w:hAnsi="Times New Roman" w:cs="Times New Roman"/>
          <w:lang w:val="es-ES" w:eastAsia="es-MX"/>
        </w:rPr>
        <w:t xml:space="preserve"> que para que la restricción sea legítima la ley debe establecer con precisión y claridad el tipo de información que está sujeta a reserva, las causales </w:t>
      </w:r>
      <w:r w:rsidRPr="005A2345">
        <w:rPr>
          <w:rFonts w:ascii="Times New Roman" w:hAnsi="Times New Roman" w:cs="Times New Roman"/>
          <w:lang w:val="es-ES" w:eastAsia="es-MX"/>
        </w:rPr>
        <w:t xml:space="preserve">en las que se inscribe la limitación y el tiempo al que debe estar sujeta. Conforme a lo anterior, el </w:t>
      </w:r>
      <w:r w:rsidRPr="005A2345">
        <w:rPr>
          <w:rFonts w:ascii="Times New Roman" w:hAnsi="Times New Roman" w:cs="Times New Roman"/>
          <w:lang w:val="es-ES" w:eastAsia="es-MX"/>
        </w:rPr>
        <w:t>actor</w:t>
      </w:r>
      <w:r w:rsidRPr="005A2345">
        <w:rPr>
          <w:rFonts w:ascii="Times New Roman" w:hAnsi="Times New Roman" w:cs="Times New Roman"/>
          <w:lang w:val="es-ES" w:eastAsia="es-MX"/>
        </w:rPr>
        <w:t xml:space="preserve"> insistió que la norma que ataca es una «</w:t>
      </w:r>
      <w:r w:rsidRPr="005A2345">
        <w:rPr>
          <w:rFonts w:ascii="Times New Roman" w:hAnsi="Times New Roman" w:cs="Times New Roman"/>
          <w:lang w:eastAsia="es-MX"/>
        </w:rPr>
        <w:t>cláusula abierta e ilimitada de reserva de la información en temas de paz». Igualmente, precisó que la norma</w:t>
      </w:r>
      <w:r w:rsidRPr="005A2345">
        <w:rPr>
          <w:rFonts w:ascii="Times New Roman" w:hAnsi="Times New Roman" w:cs="Times New Roman"/>
          <w:lang w:eastAsia="es-MX"/>
        </w:rPr>
        <w:t xml:space="preserve"> permite una amplia discrecionalidad, «puesto que la misma deja al arbitrio y discrecionalidad de las autoridades la definición de si los “asuntos”, “conversaciones”, “acuerdos”, “negociaciones con actores armado”, “información y documentos” están o no som</w:t>
      </w:r>
      <w:r w:rsidRPr="005A2345">
        <w:rPr>
          <w:rFonts w:ascii="Times New Roman" w:hAnsi="Times New Roman" w:cs="Times New Roman"/>
          <w:lang w:eastAsia="es-MX"/>
        </w:rPr>
        <w:t>etidos a reserva».</w:t>
      </w:r>
    </w:p>
    <w:p w:rsidR="005F4F8F" w:rsidRPr="005A2345" w:rsidRDefault="005A2345" w:rsidP="005F4F8F">
      <w:pPr>
        <w:pStyle w:val="Prrafodelista"/>
        <w:rPr>
          <w:rFonts w:ascii="Times New Roman" w:hAnsi="Times New Roman" w:cs="Times New Roman"/>
          <w:bCs/>
          <w:lang w:val="es-ES_tradnl"/>
        </w:rPr>
      </w:pPr>
    </w:p>
    <w:p w:rsidR="005F4F8F" w:rsidRPr="005A2345" w:rsidRDefault="005A2345" w:rsidP="00076595">
      <w:pPr>
        <w:pStyle w:val="Prrafodelista"/>
        <w:numPr>
          <w:ilvl w:val="0"/>
          <w:numId w:val="5"/>
        </w:numPr>
        <w:tabs>
          <w:tab w:val="left" w:pos="284"/>
          <w:tab w:val="left" w:pos="567"/>
        </w:tabs>
        <w:overflowPunct w:val="0"/>
        <w:autoSpaceDE w:val="0"/>
        <w:autoSpaceDN w:val="0"/>
        <w:adjustRightInd w:val="0"/>
        <w:spacing w:after="0" w:line="240" w:lineRule="auto"/>
        <w:ind w:left="0" w:firstLine="0"/>
        <w:jc w:val="both"/>
        <w:textAlignment w:val="baseline"/>
        <w:rPr>
          <w:rFonts w:ascii="Times New Roman" w:hAnsi="Times New Roman" w:cs="Times New Roman"/>
          <w:bCs/>
          <w:lang w:val="es-ES_tradnl"/>
        </w:rPr>
      </w:pPr>
      <w:r w:rsidRPr="005A2345">
        <w:rPr>
          <w:rFonts w:ascii="Times New Roman" w:hAnsi="Times New Roman" w:cs="Times New Roman"/>
          <w:bCs/>
          <w:lang w:val="es-ES_tradnl"/>
        </w:rPr>
        <w:t xml:space="preserve">De acuerdo con lo anterior, la Sala considera que el cargo cumple con razones claras y ciertas. </w:t>
      </w:r>
    </w:p>
    <w:p w:rsidR="0001591F" w:rsidRPr="005A2345" w:rsidRDefault="005A2345" w:rsidP="0001591F">
      <w:pPr>
        <w:pStyle w:val="Prrafodelista"/>
        <w:rPr>
          <w:rFonts w:ascii="Times New Roman" w:hAnsi="Times New Roman" w:cs="Times New Roman"/>
          <w:bCs/>
          <w:lang w:val="es-ES_tradnl"/>
        </w:rPr>
      </w:pPr>
    </w:p>
    <w:p w:rsidR="0001591F" w:rsidRPr="005A2345" w:rsidRDefault="005A2345" w:rsidP="00076595">
      <w:pPr>
        <w:pStyle w:val="Prrafodelista"/>
        <w:numPr>
          <w:ilvl w:val="0"/>
          <w:numId w:val="5"/>
        </w:numPr>
        <w:tabs>
          <w:tab w:val="left" w:pos="284"/>
          <w:tab w:val="left" w:pos="567"/>
        </w:tabs>
        <w:overflowPunct w:val="0"/>
        <w:autoSpaceDE w:val="0"/>
        <w:autoSpaceDN w:val="0"/>
        <w:adjustRightInd w:val="0"/>
        <w:spacing w:after="0" w:line="240" w:lineRule="auto"/>
        <w:ind w:left="0" w:firstLine="0"/>
        <w:jc w:val="both"/>
        <w:textAlignment w:val="baseline"/>
        <w:rPr>
          <w:rFonts w:ascii="Times New Roman" w:hAnsi="Times New Roman" w:cs="Times New Roman"/>
          <w:bCs/>
          <w:lang w:val="es-ES_tradnl"/>
        </w:rPr>
      </w:pPr>
      <w:r w:rsidRPr="005A2345">
        <w:rPr>
          <w:rFonts w:ascii="Times New Roman" w:hAnsi="Times New Roman" w:cs="Times New Roman"/>
          <w:bCs/>
          <w:lang w:val="es-ES_tradnl"/>
        </w:rPr>
        <w:t>El cargo cuenta con razones pertinentes.</w:t>
      </w:r>
      <w:r w:rsidRPr="005A2345">
        <w:rPr>
          <w:rFonts w:ascii="Times New Roman" w:hAnsi="Times New Roman" w:cs="Times New Roman"/>
          <w:bCs/>
          <w:lang w:val="es-ES_tradnl"/>
        </w:rPr>
        <w:t xml:space="preserve"> La demanda planteó argumentos </w:t>
      </w:r>
      <w:r w:rsidRPr="005A2345">
        <w:rPr>
          <w:rFonts w:ascii="Times New Roman" w:hAnsi="Times New Roman" w:cs="Times New Roman"/>
          <w:bCs/>
          <w:lang w:val="es-ES_tradnl"/>
        </w:rPr>
        <w:t xml:space="preserve">basados en la confrontación del contenido de los artículos 23 y 74 </w:t>
      </w:r>
      <w:r w:rsidRPr="005A2345">
        <w:rPr>
          <w:rFonts w:ascii="Times New Roman" w:hAnsi="Times New Roman" w:cs="Times New Roman"/>
          <w:bCs/>
          <w:lang w:val="es-ES_tradnl"/>
        </w:rPr>
        <w:t>de la Constitución y su desarrollo constitucional, con el parágrafo 1 del artículo 6 de la Ley 2272 de 2022. La Sala no encuentra que las razones del actor sean meras opiniones o interpretaciones subjetivas de la norma que reprocha. Contrario a ello, el de</w:t>
      </w:r>
      <w:r w:rsidRPr="005A2345">
        <w:rPr>
          <w:rFonts w:ascii="Times New Roman" w:hAnsi="Times New Roman" w:cs="Times New Roman"/>
          <w:bCs/>
          <w:lang w:val="es-ES_tradnl"/>
        </w:rPr>
        <w:t>mandante hizo un juicioso esfuerzo por exponer cuáles son las condiciones que ha exigido la jurisprudencia constitucional para establecer si una reserva de información es o no razonable y proporcional, y con base en ello, expuso sus argumentos. El ciudadan</w:t>
      </w:r>
      <w:r w:rsidRPr="005A2345">
        <w:rPr>
          <w:rFonts w:ascii="Times New Roman" w:hAnsi="Times New Roman" w:cs="Times New Roman"/>
          <w:bCs/>
          <w:lang w:val="es-ES_tradnl"/>
        </w:rPr>
        <w:t>o e</w:t>
      </w:r>
      <w:r w:rsidRPr="005A2345">
        <w:rPr>
          <w:rFonts w:ascii="Times New Roman" w:hAnsi="Times New Roman" w:cs="Times New Roman"/>
          <w:bCs/>
          <w:lang w:val="es-ES"/>
        </w:rPr>
        <w:t>xplicó cómo</w:t>
      </w:r>
      <w:r w:rsidRPr="005A2345">
        <w:rPr>
          <w:rFonts w:ascii="Times New Roman" w:hAnsi="Times New Roman" w:cs="Times New Roman"/>
          <w:bCs/>
          <w:lang w:val="es-ES"/>
        </w:rPr>
        <w:t>, en su sentir,</w:t>
      </w:r>
      <w:r w:rsidRPr="005A2345">
        <w:rPr>
          <w:rFonts w:ascii="Times New Roman" w:hAnsi="Times New Roman" w:cs="Times New Roman"/>
          <w:bCs/>
          <w:lang w:val="es-ES"/>
        </w:rPr>
        <w:t xml:space="preserve"> tampoco se cumple con los criterios exigidos por la Ley Estatutaria 1712 de 2014 sobre t</w:t>
      </w:r>
      <w:r w:rsidRPr="005A2345">
        <w:rPr>
          <w:rFonts w:ascii="Times New Roman" w:hAnsi="Times New Roman" w:cs="Times New Roman"/>
          <w:bCs/>
        </w:rPr>
        <w:t>ransparencia y el derecho de acceso a la información pública, particularmente, lo relacionado con el objeto de la reserva, el tiempo de su</w:t>
      </w:r>
      <w:r w:rsidRPr="005A2345">
        <w:rPr>
          <w:rFonts w:ascii="Times New Roman" w:hAnsi="Times New Roman" w:cs="Times New Roman"/>
          <w:bCs/>
        </w:rPr>
        <w:t xml:space="preserve"> duración y la autoridad competente de determinarla. Por tanto, el cargo cumple con el requisito de pertinencia. </w:t>
      </w:r>
    </w:p>
    <w:p w:rsidR="004976AB" w:rsidRPr="005A2345" w:rsidRDefault="005A2345" w:rsidP="004976AB">
      <w:pPr>
        <w:jc w:val="both"/>
        <w:rPr>
          <w:rFonts w:ascii="Times New Roman" w:hAnsi="Times New Roman" w:cs="Times New Roman"/>
          <w:bCs/>
          <w:sz w:val="28"/>
          <w:szCs w:val="28"/>
          <w:lang w:val="es-ES_tradnl"/>
        </w:rPr>
      </w:pPr>
    </w:p>
    <w:p w:rsidR="0079174B" w:rsidRPr="005A2345" w:rsidRDefault="005A2345" w:rsidP="00076595">
      <w:pPr>
        <w:pStyle w:val="Prrafodelista"/>
        <w:numPr>
          <w:ilvl w:val="0"/>
          <w:numId w:val="5"/>
        </w:numPr>
        <w:tabs>
          <w:tab w:val="left" w:pos="284"/>
          <w:tab w:val="left" w:pos="567"/>
        </w:tabs>
        <w:overflowPunct w:val="0"/>
        <w:autoSpaceDE w:val="0"/>
        <w:autoSpaceDN w:val="0"/>
        <w:adjustRightInd w:val="0"/>
        <w:spacing w:after="0" w:line="240" w:lineRule="auto"/>
        <w:ind w:left="0" w:firstLine="0"/>
        <w:jc w:val="both"/>
        <w:textAlignment w:val="baseline"/>
        <w:rPr>
          <w:rFonts w:ascii="Times New Roman" w:hAnsi="Times New Roman" w:cs="Times New Roman"/>
          <w:bCs/>
          <w:lang w:val="es-ES_tradnl"/>
        </w:rPr>
      </w:pPr>
      <w:r w:rsidRPr="005A2345">
        <w:rPr>
          <w:rFonts w:ascii="Times New Roman" w:hAnsi="Times New Roman" w:cs="Times New Roman"/>
          <w:bCs/>
          <w:lang w:val="es-ES_tradnl"/>
        </w:rPr>
        <w:t>El cargo cuenta con razones específicas y suficientes.</w:t>
      </w:r>
      <w:r w:rsidRPr="005A2345">
        <w:rPr>
          <w:rFonts w:ascii="Times New Roman" w:hAnsi="Times New Roman" w:cs="Times New Roman"/>
          <w:bCs/>
          <w:lang w:val="es-ES_tradnl"/>
        </w:rPr>
        <w:t xml:space="preserve"> Del mismo modo, la Sala considera que </w:t>
      </w:r>
      <w:r w:rsidRPr="005A2345">
        <w:rPr>
          <w:rFonts w:ascii="Times New Roman" w:hAnsi="Times New Roman" w:cs="Times New Roman"/>
        </w:rPr>
        <w:t>el demandante desarrolló con precisión las oblig</w:t>
      </w:r>
      <w:r w:rsidRPr="005A2345">
        <w:rPr>
          <w:rFonts w:ascii="Times New Roman" w:hAnsi="Times New Roman" w:cs="Times New Roman"/>
        </w:rPr>
        <w:t>aciones que tiene el legislador para establecer una limitación del derecho al acceso a la información pública</w:t>
      </w:r>
      <w:r w:rsidRPr="005A2345">
        <w:rPr>
          <w:rFonts w:ascii="Times New Roman" w:hAnsi="Times New Roman" w:cs="Times New Roman"/>
        </w:rPr>
        <w:t xml:space="preserve"> y </w:t>
      </w:r>
      <w:r w:rsidRPr="005A2345">
        <w:rPr>
          <w:rFonts w:ascii="Times New Roman" w:hAnsi="Times New Roman" w:cs="Times New Roman"/>
        </w:rPr>
        <w:t>explicó que el marco estatutario establece unas obligaciones que no fueron cumplidas en esta restricción y</w:t>
      </w:r>
      <w:r w:rsidRPr="005A2345">
        <w:rPr>
          <w:rFonts w:ascii="Times New Roman" w:hAnsi="Times New Roman" w:cs="Times New Roman"/>
        </w:rPr>
        <w:t>,</w:t>
      </w:r>
      <w:r w:rsidRPr="005A2345">
        <w:rPr>
          <w:rFonts w:ascii="Times New Roman" w:hAnsi="Times New Roman" w:cs="Times New Roman"/>
        </w:rPr>
        <w:t xml:space="preserve"> por tanto, la reserva es presuntamen</w:t>
      </w:r>
      <w:r w:rsidRPr="005A2345">
        <w:rPr>
          <w:rFonts w:ascii="Times New Roman" w:hAnsi="Times New Roman" w:cs="Times New Roman"/>
        </w:rPr>
        <w:t xml:space="preserve">te inconstitucional. </w:t>
      </w:r>
      <w:r w:rsidRPr="005A2345">
        <w:rPr>
          <w:rFonts w:ascii="Times New Roman" w:hAnsi="Times New Roman" w:cs="Times New Roman"/>
        </w:rPr>
        <w:t xml:space="preserve">En otras palabras, las razones que expuso el actor en el escrito de la demanda, así como en su corrección, </w:t>
      </w:r>
      <w:r w:rsidRPr="005A2345">
        <w:rPr>
          <w:rFonts w:ascii="Times New Roman" w:hAnsi="Times New Roman" w:cs="Times New Roman"/>
        </w:rPr>
        <w:t>presentan un cargo de naturaleza constitucional concreto y directamente relacionado con la disposición que se ataca. Por lo ante</w:t>
      </w:r>
      <w:r w:rsidRPr="005A2345">
        <w:rPr>
          <w:rFonts w:ascii="Times New Roman" w:hAnsi="Times New Roman" w:cs="Times New Roman"/>
        </w:rPr>
        <w:t xml:space="preserve">rior, las razones son suficientes para despertar una duda mínima sobre la constitucionalidad del parágrafo </w:t>
      </w:r>
      <w:r w:rsidRPr="005A2345">
        <w:rPr>
          <w:rFonts w:ascii="Times New Roman" w:hAnsi="Times New Roman" w:cs="Times New Roman"/>
        </w:rPr>
        <w:t xml:space="preserve">1º </w:t>
      </w:r>
      <w:r w:rsidRPr="005A2345">
        <w:rPr>
          <w:rFonts w:ascii="Times New Roman" w:hAnsi="Times New Roman" w:cs="Times New Roman"/>
        </w:rPr>
        <w:t>del artículo 6 de la Ley 2272 de 2022</w:t>
      </w:r>
      <w:r w:rsidRPr="005A2345">
        <w:rPr>
          <w:rFonts w:ascii="Times New Roman" w:hAnsi="Times New Roman" w:cs="Times New Roman"/>
        </w:rPr>
        <w:t xml:space="preserve">, pues la facultad que dispone de calificar como información reservada </w:t>
      </w:r>
      <w:r w:rsidRPr="005A2345">
        <w:rPr>
          <w:rFonts w:ascii="Times New Roman" w:hAnsi="Times New Roman" w:cs="Times New Roman"/>
        </w:rPr>
        <w:t>«</w:t>
      </w:r>
      <w:r w:rsidRPr="005A2345">
        <w:rPr>
          <w:rFonts w:ascii="Times New Roman" w:hAnsi="Times New Roman" w:cs="Times New Roman"/>
        </w:rPr>
        <w:t xml:space="preserve">los asuntos </w:t>
      </w:r>
      <w:r w:rsidRPr="005A2345">
        <w:rPr>
          <w:rFonts w:ascii="Times New Roman" w:hAnsi="Times New Roman" w:cs="Times New Roman"/>
          <w:lang w:eastAsia="es-CO"/>
        </w:rPr>
        <w:t xml:space="preserve">referidos a </w:t>
      </w:r>
      <w:r w:rsidRPr="005A2345">
        <w:rPr>
          <w:rFonts w:ascii="Times New Roman" w:hAnsi="Times New Roman" w:cs="Times New Roman"/>
          <w:lang w:eastAsia="es-CO"/>
        </w:rPr>
        <w:t>conversaciones, acuerdos y negociaciones con actores armados que se traten en sus sesiones, así como la información y documentos que se expidan en esta materia</w:t>
      </w:r>
      <w:r w:rsidRPr="005A2345">
        <w:rPr>
          <w:rFonts w:ascii="Times New Roman" w:hAnsi="Times New Roman" w:cs="Times New Roman"/>
          <w:lang w:eastAsia="es-CO"/>
        </w:rPr>
        <w:t xml:space="preserve">», abarca un amplio espectro de temas que, </w:t>
      </w:r>
      <w:r w:rsidRPr="005A2345">
        <w:rPr>
          <w:rFonts w:ascii="Times New Roman" w:hAnsi="Times New Roman" w:cs="Times New Roman"/>
          <w:i/>
          <w:iCs/>
          <w:lang w:eastAsia="es-CO"/>
        </w:rPr>
        <w:t>en principio</w:t>
      </w:r>
      <w:r w:rsidRPr="005A2345">
        <w:rPr>
          <w:rFonts w:ascii="Times New Roman" w:hAnsi="Times New Roman" w:cs="Times New Roman"/>
          <w:lang w:eastAsia="es-CO"/>
        </w:rPr>
        <w:t>, no se encuentra</w:t>
      </w:r>
      <w:r w:rsidRPr="005A2345">
        <w:rPr>
          <w:rFonts w:ascii="Times New Roman" w:hAnsi="Times New Roman" w:cs="Times New Roman"/>
          <w:lang w:eastAsia="es-CO"/>
        </w:rPr>
        <w:t>n</w:t>
      </w:r>
      <w:r w:rsidRPr="005A2345">
        <w:rPr>
          <w:rFonts w:ascii="Times New Roman" w:hAnsi="Times New Roman" w:cs="Times New Roman"/>
          <w:lang w:eastAsia="es-CO"/>
        </w:rPr>
        <w:t xml:space="preserve"> asociados a ningún fin </w:t>
      </w:r>
      <w:r w:rsidRPr="005A2345">
        <w:rPr>
          <w:rFonts w:ascii="Times New Roman" w:hAnsi="Times New Roman" w:cs="Times New Roman"/>
          <w:lang w:eastAsia="es-CO"/>
        </w:rPr>
        <w:t>legítimo, no se conoce cuál</w:t>
      </w:r>
      <w:r w:rsidRPr="005A2345">
        <w:rPr>
          <w:rFonts w:ascii="Times New Roman" w:hAnsi="Times New Roman" w:cs="Times New Roman"/>
          <w:lang w:eastAsia="es-CO"/>
        </w:rPr>
        <w:t xml:space="preserve"> </w:t>
      </w:r>
      <w:r w:rsidRPr="005A2345">
        <w:rPr>
          <w:rFonts w:ascii="Times New Roman" w:hAnsi="Times New Roman" w:cs="Times New Roman"/>
          <w:lang w:eastAsia="es-CO"/>
        </w:rPr>
        <w:t xml:space="preserve">es la autoridad para calificarlos como reservados y tampoco se define el tiempo de la restricción dispuesta. Conforme a lo anterior, </w:t>
      </w:r>
      <w:r w:rsidRPr="005A2345">
        <w:rPr>
          <w:rFonts w:ascii="Times New Roman" w:hAnsi="Times New Roman" w:cs="Times New Roman"/>
          <w:i/>
          <w:iCs/>
          <w:lang w:eastAsia="es-CO"/>
        </w:rPr>
        <w:t>prima facie</w:t>
      </w:r>
      <w:r w:rsidRPr="005A2345">
        <w:rPr>
          <w:rFonts w:ascii="Times New Roman" w:hAnsi="Times New Roman" w:cs="Times New Roman"/>
          <w:lang w:eastAsia="es-CO"/>
        </w:rPr>
        <w:t>, el derecho de petición se puede ver afectado porque la ley no establece con precis</w:t>
      </w:r>
      <w:r w:rsidRPr="005A2345">
        <w:rPr>
          <w:rFonts w:ascii="Times New Roman" w:hAnsi="Times New Roman" w:cs="Times New Roman"/>
          <w:lang w:eastAsia="es-CO"/>
        </w:rPr>
        <w:t>ión los motivos de la reserva que se impondrá y la restricción al acceso a la información puede ser irrazonable</w:t>
      </w:r>
      <w:r w:rsidRPr="005A2345">
        <w:rPr>
          <w:rFonts w:ascii="Times New Roman" w:hAnsi="Times New Roman" w:cs="Times New Roman"/>
          <w:lang w:eastAsia="es-CO"/>
        </w:rPr>
        <w:t xml:space="preserve"> o desproporcionada. </w:t>
      </w:r>
    </w:p>
    <w:p w:rsidR="00A92DED" w:rsidRPr="005A2345" w:rsidRDefault="005A2345" w:rsidP="00A92DED">
      <w:pPr>
        <w:pStyle w:val="Prrafodelista"/>
        <w:tabs>
          <w:tab w:val="left" w:pos="284"/>
          <w:tab w:val="left" w:pos="567"/>
        </w:tabs>
        <w:overflowPunct w:val="0"/>
        <w:autoSpaceDE w:val="0"/>
        <w:autoSpaceDN w:val="0"/>
        <w:adjustRightInd w:val="0"/>
        <w:spacing w:after="0" w:line="240" w:lineRule="auto"/>
        <w:ind w:left="0"/>
        <w:jc w:val="both"/>
        <w:textAlignment w:val="baseline"/>
        <w:rPr>
          <w:rFonts w:ascii="Times New Roman" w:hAnsi="Times New Roman" w:cs="Times New Roman"/>
          <w:bCs/>
          <w:lang w:val="es-ES_tradnl"/>
        </w:rPr>
      </w:pPr>
    </w:p>
    <w:p w:rsidR="00BD14A4" w:rsidRPr="005A2345" w:rsidRDefault="005A2345" w:rsidP="00076595">
      <w:pPr>
        <w:pStyle w:val="Prrafodelista"/>
        <w:numPr>
          <w:ilvl w:val="0"/>
          <w:numId w:val="5"/>
        </w:numPr>
        <w:tabs>
          <w:tab w:val="left" w:pos="284"/>
          <w:tab w:val="left" w:pos="567"/>
        </w:tabs>
        <w:overflowPunct w:val="0"/>
        <w:autoSpaceDE w:val="0"/>
        <w:autoSpaceDN w:val="0"/>
        <w:adjustRightInd w:val="0"/>
        <w:spacing w:after="0" w:line="240" w:lineRule="auto"/>
        <w:ind w:left="0" w:firstLine="0"/>
        <w:jc w:val="both"/>
        <w:textAlignment w:val="baseline"/>
        <w:rPr>
          <w:rFonts w:ascii="Times New Roman" w:hAnsi="Times New Roman" w:cs="Times New Roman"/>
          <w:bCs/>
          <w:lang w:val="es-ES_tradnl"/>
        </w:rPr>
      </w:pPr>
      <w:r w:rsidRPr="005A2345">
        <w:rPr>
          <w:rFonts w:ascii="Times New Roman" w:hAnsi="Times New Roman" w:cs="Times New Roman"/>
          <w:bCs/>
          <w:lang w:val="es-ES_tradnl"/>
        </w:rPr>
        <w:t xml:space="preserve">Por las consideraciones expuestas, la Sala Plena resolverá de fondo el cargo de inconstitucionalidad del parágrafo 1 del artículo 6 de la Ley 2272 de 2022 por la presunta vulneración de los artículos 23 y </w:t>
      </w:r>
      <w:r w:rsidRPr="005A2345">
        <w:rPr>
          <w:rFonts w:ascii="Times New Roman" w:hAnsi="Times New Roman" w:cs="Times New Roman"/>
          <w:bCs/>
          <w:lang w:val="es-ES_tradnl"/>
        </w:rPr>
        <w:t>74 de la Constitución.</w:t>
      </w:r>
    </w:p>
    <w:p w:rsidR="00782CC9" w:rsidRPr="005A2345" w:rsidRDefault="005A2345" w:rsidP="00810226">
      <w:pPr>
        <w:rPr>
          <w:rFonts w:ascii="Times New Roman" w:hAnsi="Times New Roman" w:cs="Times New Roman"/>
          <w:sz w:val="28"/>
          <w:lang w:val="es-ES_tradnl" w:eastAsia="es-ES"/>
        </w:rPr>
      </w:pPr>
    </w:p>
    <w:p w:rsidR="00782CC9" w:rsidRPr="005A2345" w:rsidRDefault="005A2345" w:rsidP="00782CC9">
      <w:pPr>
        <w:jc w:val="both"/>
        <w:rPr>
          <w:rFonts w:ascii="Times New Roman" w:hAnsi="Times New Roman" w:cs="Times New Roman"/>
          <w:b/>
          <w:sz w:val="28"/>
          <w:szCs w:val="28"/>
          <w:lang w:val="es-ES_tradnl" w:eastAsia="es-ES"/>
        </w:rPr>
      </w:pPr>
      <w:r w:rsidRPr="005A2345">
        <w:rPr>
          <w:rFonts w:ascii="Times New Roman" w:hAnsi="Times New Roman" w:cs="Times New Roman"/>
          <w:b/>
          <w:sz w:val="28"/>
          <w:szCs w:val="28"/>
          <w:lang w:val="es-ES_tradnl" w:eastAsia="es-ES"/>
        </w:rPr>
        <w:t>Problemas jurídicos y metod</w:t>
      </w:r>
      <w:r w:rsidRPr="005A2345">
        <w:rPr>
          <w:rFonts w:ascii="Times New Roman" w:hAnsi="Times New Roman" w:cs="Times New Roman"/>
          <w:b/>
          <w:sz w:val="28"/>
          <w:szCs w:val="28"/>
          <w:lang w:val="es-ES_tradnl" w:eastAsia="es-ES"/>
        </w:rPr>
        <w:t>ología de la decisión</w:t>
      </w:r>
    </w:p>
    <w:p w:rsidR="00782CC9" w:rsidRPr="005A2345" w:rsidRDefault="005A2345" w:rsidP="00782CC9">
      <w:pPr>
        <w:jc w:val="both"/>
        <w:rPr>
          <w:rFonts w:ascii="Times New Roman" w:hAnsi="Times New Roman" w:cs="Times New Roman"/>
          <w:b/>
          <w:sz w:val="28"/>
          <w:szCs w:val="28"/>
          <w:lang w:val="es-ES_tradnl" w:eastAsia="es-ES"/>
        </w:rPr>
      </w:pPr>
    </w:p>
    <w:p w:rsidR="00596459"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i/>
          <w:iCs/>
          <w:lang w:val="es-ES"/>
        </w:rPr>
      </w:pPr>
      <w:r w:rsidRPr="005A2345">
        <w:rPr>
          <w:rFonts w:ascii="Times New Roman" w:hAnsi="Times New Roman" w:cs="Times New Roman"/>
          <w:lang w:val="es-ES"/>
        </w:rPr>
        <w:t xml:space="preserve">El demandante </w:t>
      </w:r>
      <w:r w:rsidRPr="005A2345">
        <w:rPr>
          <w:rFonts w:ascii="Times New Roman" w:hAnsi="Times New Roman" w:cs="Times New Roman"/>
          <w:lang w:val="es-ES"/>
        </w:rPr>
        <w:t xml:space="preserve">presentó demanda de inconstitucionalidad contra el parágrafo 1º del artículo 6 de la Ley 2272 de 2022 por considerar que la reserva de la información que dispone a favor del Gabinete de Paz sobre </w:t>
      </w:r>
      <w:r w:rsidRPr="005A2345">
        <w:rPr>
          <w:rFonts w:ascii="Times New Roman" w:hAnsi="Times New Roman" w:cs="Times New Roman"/>
        </w:rPr>
        <w:t xml:space="preserve">«los asuntos referidos a conversaciones, acuerdos y negociaciones con actores armados que se traten en sus sesiones, así como la información y documentos que se expidan en esta materia», </w:t>
      </w:r>
      <w:bookmarkStart w:id="22" w:name="_Hlk169618248"/>
      <w:r w:rsidRPr="005A2345">
        <w:rPr>
          <w:rFonts w:ascii="Times New Roman" w:hAnsi="Times New Roman" w:cs="Times New Roman"/>
        </w:rPr>
        <w:t>es</w:t>
      </w:r>
      <w:r w:rsidRPr="005A2345">
        <w:rPr>
          <w:rFonts w:ascii="Times New Roman" w:hAnsi="Times New Roman" w:cs="Times New Roman"/>
          <w:i/>
          <w:iCs/>
          <w:lang w:val="es-ES"/>
        </w:rPr>
        <w:t xml:space="preserve"> </w:t>
      </w:r>
      <w:r w:rsidRPr="005A2345">
        <w:rPr>
          <w:rFonts w:ascii="Times New Roman" w:hAnsi="Times New Roman" w:cs="Times New Roman"/>
        </w:rPr>
        <w:t>una cláusula abierta e indeterminada que</w:t>
      </w:r>
      <w:r w:rsidRPr="005A2345">
        <w:rPr>
          <w:rFonts w:ascii="Times New Roman" w:hAnsi="Times New Roman" w:cs="Times New Roman"/>
        </w:rPr>
        <w:t xml:space="preserve"> incumple las condiciones </w:t>
      </w:r>
      <w:r w:rsidRPr="005A2345">
        <w:rPr>
          <w:rFonts w:ascii="Times New Roman" w:hAnsi="Times New Roman" w:cs="Times New Roman"/>
        </w:rPr>
        <w:t>establecidas en la jurisprudencia sobre la materia y</w:t>
      </w:r>
      <w:r w:rsidRPr="005A2345">
        <w:rPr>
          <w:rFonts w:ascii="Times New Roman" w:hAnsi="Times New Roman" w:cs="Times New Roman"/>
        </w:rPr>
        <w:t xml:space="preserve"> vulnera lo consagrado en los artículos 23 y 74 de la Constitución Política. </w:t>
      </w:r>
      <w:r w:rsidRPr="005A2345">
        <w:rPr>
          <w:rFonts w:ascii="Times New Roman" w:hAnsi="Times New Roman" w:cs="Times New Roman"/>
        </w:rPr>
        <w:t xml:space="preserve">Específicamente, el actor argumentó que </w:t>
      </w:r>
      <w:r w:rsidRPr="005A2345">
        <w:rPr>
          <w:rFonts w:ascii="Times New Roman" w:hAnsi="Times New Roman" w:cs="Times New Roman"/>
        </w:rPr>
        <w:t xml:space="preserve">(i) </w:t>
      </w:r>
      <w:r w:rsidRPr="005A2345">
        <w:rPr>
          <w:rFonts w:ascii="Times New Roman" w:hAnsi="Times New Roman" w:cs="Times New Roman"/>
        </w:rPr>
        <w:t>la indeterminación de la reserva afecta el acceso a la información pública de los d</w:t>
      </w:r>
      <w:r w:rsidRPr="005A2345">
        <w:rPr>
          <w:rFonts w:ascii="Times New Roman" w:hAnsi="Times New Roman" w:cs="Times New Roman"/>
        </w:rPr>
        <w:t>ocumentos de la política de paz y</w:t>
      </w:r>
      <w:r w:rsidRPr="005A2345">
        <w:rPr>
          <w:rFonts w:ascii="Times New Roman" w:hAnsi="Times New Roman" w:cs="Times New Roman"/>
        </w:rPr>
        <w:t>,</w:t>
      </w:r>
      <w:r w:rsidRPr="005A2345">
        <w:rPr>
          <w:rFonts w:ascii="Times New Roman" w:hAnsi="Times New Roman" w:cs="Times New Roman"/>
        </w:rPr>
        <w:t xml:space="preserve"> en esa medi</w:t>
      </w:r>
      <w:r w:rsidRPr="005A2345">
        <w:rPr>
          <w:rFonts w:ascii="Times New Roman" w:hAnsi="Times New Roman" w:cs="Times New Roman"/>
        </w:rPr>
        <w:t>d</w:t>
      </w:r>
      <w:r w:rsidRPr="005A2345">
        <w:rPr>
          <w:rFonts w:ascii="Times New Roman" w:hAnsi="Times New Roman" w:cs="Times New Roman"/>
        </w:rPr>
        <w:t>a, hace ilusorio el derecho de petición, pues la ley no determina las motivaciones sobre las cuales se puede denegar el acceso a asuntos de los procesos de paz que regula la Ley 2272 de 2022</w:t>
      </w:r>
      <w:r w:rsidRPr="005A2345">
        <w:rPr>
          <w:rFonts w:ascii="Times New Roman" w:hAnsi="Times New Roman" w:cs="Times New Roman"/>
        </w:rPr>
        <w:t xml:space="preserve"> y permite una ampl</w:t>
      </w:r>
      <w:r w:rsidRPr="005A2345">
        <w:rPr>
          <w:rFonts w:ascii="Times New Roman" w:hAnsi="Times New Roman" w:cs="Times New Roman"/>
        </w:rPr>
        <w:t xml:space="preserve">ia discrecionalidad; y (ii) </w:t>
      </w:r>
      <w:r w:rsidRPr="005A2345">
        <w:rPr>
          <w:rFonts w:ascii="Times New Roman" w:hAnsi="Times New Roman" w:cs="Times New Roman"/>
        </w:rPr>
        <w:t>la reserva dispuesta en el parágrafo 1º</w:t>
      </w:r>
      <w:r w:rsidRPr="005A2345">
        <w:rPr>
          <w:rFonts w:ascii="Times New Roman" w:hAnsi="Times New Roman" w:cs="Times New Roman"/>
        </w:rPr>
        <w:t xml:space="preserve"> del artículo 6</w:t>
      </w:r>
      <w:r w:rsidRPr="005A2345">
        <w:rPr>
          <w:rFonts w:ascii="Times New Roman" w:hAnsi="Times New Roman" w:cs="Times New Roman"/>
        </w:rPr>
        <w:t xml:space="preserve"> no cumple con los requisitos jurisprudenciales sobre las restricciones que se pueden imponer al derecho al acceso a la información, en esencia, no delimita el objeto y fin d</w:t>
      </w:r>
      <w:r w:rsidRPr="005A2345">
        <w:rPr>
          <w:rFonts w:ascii="Times New Roman" w:hAnsi="Times New Roman" w:cs="Times New Roman"/>
        </w:rPr>
        <w:t xml:space="preserve">e la reserva, la autoridad competente para clasificarla y tampoco señala un límite temporal. </w:t>
      </w:r>
      <w:r w:rsidRPr="005A2345">
        <w:rPr>
          <w:rFonts w:ascii="Times New Roman" w:hAnsi="Times New Roman" w:cs="Times New Roman"/>
        </w:rPr>
        <w:t xml:space="preserve">Con sustento en ello, el ciudadano también afirmó que se desconocen las obligaciones internacionales en materia de derecho al acceso a la información, </w:t>
      </w:r>
      <w:r w:rsidRPr="005A2345">
        <w:rPr>
          <w:rFonts w:ascii="Times New Roman" w:hAnsi="Times New Roman" w:cs="Times New Roman"/>
        </w:rPr>
        <w:t>particularme</w:t>
      </w:r>
      <w:r w:rsidRPr="005A2345">
        <w:rPr>
          <w:rFonts w:ascii="Times New Roman" w:hAnsi="Times New Roman" w:cs="Times New Roman"/>
        </w:rPr>
        <w:t>nte lo exigido en el sistema interamericano.</w:t>
      </w:r>
    </w:p>
    <w:bookmarkEnd w:id="22"/>
    <w:p w:rsidR="00307CC4" w:rsidRPr="005A2345" w:rsidRDefault="005A2345" w:rsidP="00307CC4">
      <w:pPr>
        <w:pStyle w:val="Prrafodelista"/>
        <w:tabs>
          <w:tab w:val="left" w:pos="284"/>
          <w:tab w:val="left" w:pos="426"/>
        </w:tabs>
        <w:spacing w:after="0" w:line="240" w:lineRule="auto"/>
        <w:ind w:left="0"/>
        <w:jc w:val="both"/>
        <w:rPr>
          <w:rFonts w:ascii="Times New Roman" w:hAnsi="Times New Roman" w:cs="Times New Roman"/>
          <w:i/>
          <w:iCs/>
          <w:lang w:val="es-ES"/>
        </w:rPr>
      </w:pPr>
    </w:p>
    <w:p w:rsidR="00307CC4"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i/>
          <w:iCs/>
          <w:lang w:val="es-ES"/>
        </w:rPr>
      </w:pPr>
      <w:r w:rsidRPr="005A2345">
        <w:rPr>
          <w:rFonts w:ascii="Times New Roman" w:hAnsi="Times New Roman" w:cs="Times New Roman"/>
          <w:lang w:val="es-ES"/>
        </w:rPr>
        <w:t>Las intervenciones de la Presidencia de la República y los ministerios de Justicia y del Derecho y del Interior solicitaron a la Corte declarar la exequibilidad del parágrafo 1º del artículo 6 de la Ley 2272 de</w:t>
      </w:r>
      <w:r w:rsidRPr="005A2345">
        <w:rPr>
          <w:rFonts w:ascii="Times New Roman" w:hAnsi="Times New Roman" w:cs="Times New Roman"/>
          <w:lang w:val="es-ES"/>
        </w:rPr>
        <w:t xml:space="preserve"> 2022. En suma, sostuvieron que la norma determina con claridad y precisión el objeto de la reserva, al establecer las materias sobre las cuales aplica. Además, señalaron que la medida es razonable y proporcional toda vez que persigue </w:t>
      </w:r>
      <w:r w:rsidRPr="005A2345">
        <w:rPr>
          <w:rFonts w:ascii="Times New Roman" w:hAnsi="Times New Roman" w:cs="Times New Roman"/>
          <w:lang w:val="es-ES"/>
        </w:rPr>
        <w:t xml:space="preserve">la protección de </w:t>
      </w:r>
      <w:r w:rsidRPr="005A2345">
        <w:rPr>
          <w:rFonts w:ascii="Times New Roman" w:hAnsi="Times New Roman" w:cs="Times New Roman"/>
          <w:lang w:val="es-ES"/>
        </w:rPr>
        <w:t>unos</w:t>
      </w:r>
      <w:r w:rsidRPr="005A2345">
        <w:rPr>
          <w:rFonts w:ascii="Times New Roman" w:hAnsi="Times New Roman" w:cs="Times New Roman"/>
          <w:lang w:val="es-ES"/>
        </w:rPr>
        <w:t xml:space="preserve"> fines legítimos como </w:t>
      </w:r>
      <w:r w:rsidRPr="005A2345">
        <w:rPr>
          <w:rFonts w:ascii="Times New Roman" w:hAnsi="Times New Roman" w:cs="Times New Roman"/>
          <w:lang w:val="es-ES"/>
        </w:rPr>
        <w:t>lo son el</w:t>
      </w:r>
      <w:r w:rsidRPr="005A2345">
        <w:rPr>
          <w:rFonts w:ascii="Times New Roman" w:hAnsi="Times New Roman" w:cs="Times New Roman"/>
          <w:lang w:val="es-ES"/>
        </w:rPr>
        <w:t xml:space="preserve"> derecho a la paz</w:t>
      </w:r>
      <w:r w:rsidRPr="005A2345">
        <w:rPr>
          <w:rFonts w:ascii="Times New Roman" w:hAnsi="Times New Roman" w:cs="Times New Roman"/>
          <w:lang w:val="es-ES"/>
        </w:rPr>
        <w:t xml:space="preserve"> y la defensa y seguridad nacional</w:t>
      </w:r>
      <w:r w:rsidRPr="005A2345">
        <w:rPr>
          <w:rFonts w:ascii="Times New Roman" w:hAnsi="Times New Roman" w:cs="Times New Roman"/>
          <w:lang w:val="es-ES"/>
        </w:rPr>
        <w:t xml:space="preserve">, así como </w:t>
      </w:r>
      <w:r w:rsidRPr="005A2345">
        <w:rPr>
          <w:rFonts w:ascii="Times New Roman" w:hAnsi="Times New Roman" w:cs="Times New Roman"/>
        </w:rPr>
        <w:t>la protección de la vida e integridad personal de los actores (entre ellos, los l</w:t>
      </w:r>
      <w:r w:rsidRPr="005A2345">
        <w:rPr>
          <w:rFonts w:ascii="Times New Roman" w:hAnsi="Times New Roman" w:cs="Times New Roman"/>
        </w:rPr>
        <w:t>í</w:t>
      </w:r>
      <w:r w:rsidRPr="005A2345">
        <w:rPr>
          <w:rFonts w:ascii="Times New Roman" w:hAnsi="Times New Roman" w:cs="Times New Roman"/>
        </w:rPr>
        <w:t>deres y lideresas) que participan en los procesos de negociación y acuerdos con a</w:t>
      </w:r>
      <w:r w:rsidRPr="005A2345">
        <w:rPr>
          <w:rFonts w:ascii="Times New Roman" w:hAnsi="Times New Roman" w:cs="Times New Roman"/>
        </w:rPr>
        <w:t xml:space="preserve">ctores armados. </w:t>
      </w:r>
      <w:r w:rsidRPr="005A2345">
        <w:rPr>
          <w:rFonts w:ascii="Times New Roman" w:hAnsi="Times New Roman" w:cs="Times New Roman"/>
        </w:rPr>
        <w:t>En el mismo sentido, alegaron que el límite temporal de la reserva puede comprenderse con la interpretación armónica del artículo 22 de la Ley 1712 de 2014, que dispone 15 años. En todo caso, advirtieron que el artículo 19 de la Ley 2272 de</w:t>
      </w:r>
      <w:r w:rsidRPr="005A2345">
        <w:rPr>
          <w:rFonts w:ascii="Times New Roman" w:hAnsi="Times New Roman" w:cs="Times New Roman"/>
        </w:rPr>
        <w:t xml:space="preserve"> 2022 dispone que la vigencia del artículo demandado es de 4 años, por tanto, se extrae que este es el límite temporal de la reserva. </w:t>
      </w:r>
    </w:p>
    <w:p w:rsidR="00C21B6A" w:rsidRPr="005A2345" w:rsidRDefault="005A2345" w:rsidP="00C21B6A">
      <w:pPr>
        <w:pStyle w:val="Prrafodelista"/>
        <w:rPr>
          <w:rFonts w:ascii="Times New Roman" w:hAnsi="Times New Roman" w:cs="Times New Roman"/>
          <w:i/>
          <w:iCs/>
          <w:lang w:val="es-ES"/>
        </w:rPr>
      </w:pPr>
    </w:p>
    <w:p w:rsidR="00C21B6A"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i/>
          <w:iCs/>
          <w:lang w:val="es-ES"/>
        </w:rPr>
      </w:pPr>
      <w:r w:rsidRPr="005A2345">
        <w:rPr>
          <w:rFonts w:ascii="Times New Roman" w:hAnsi="Times New Roman" w:cs="Times New Roman"/>
          <w:lang w:val="es-ES"/>
        </w:rPr>
        <w:t>Por su parte, otro grupo de intervenciones sostuvieron que la norma atacada debe ser declarada constitucional con algunos condicionamientos relativos a la precisión del fin legítimo de la reserva, la autoridad competente y el límite temporal. Esta posición</w:t>
      </w:r>
      <w:r w:rsidRPr="005A2345">
        <w:rPr>
          <w:rFonts w:ascii="Times New Roman" w:hAnsi="Times New Roman" w:cs="Times New Roman"/>
          <w:lang w:val="es-ES"/>
        </w:rPr>
        <w:t xml:space="preserve"> advirtió a la Corte que la norma debe atender a lo consagrado en la</w:t>
      </w:r>
      <w:r w:rsidRPr="005A2345">
        <w:rPr>
          <w:rFonts w:ascii="Times New Roman" w:hAnsi="Times New Roman" w:cs="Times New Roman"/>
          <w:lang w:val="es-ES"/>
        </w:rPr>
        <w:t xml:space="preserve">s leyes </w:t>
      </w:r>
      <w:r w:rsidRPr="005A2345">
        <w:rPr>
          <w:rFonts w:ascii="Times New Roman" w:hAnsi="Times New Roman" w:cs="Times New Roman"/>
          <w:lang w:val="es-ES"/>
        </w:rPr>
        <w:t xml:space="preserve">1712 de 2014 y l 1755 de 2015. </w:t>
      </w:r>
    </w:p>
    <w:p w:rsidR="00C21B6A" w:rsidRPr="005A2345" w:rsidRDefault="005A2345" w:rsidP="00C21B6A">
      <w:pPr>
        <w:pStyle w:val="Prrafodelista"/>
        <w:rPr>
          <w:rFonts w:ascii="Times New Roman" w:hAnsi="Times New Roman" w:cs="Times New Roman"/>
          <w:i/>
          <w:iCs/>
          <w:lang w:val="es-ES"/>
        </w:rPr>
      </w:pPr>
    </w:p>
    <w:p w:rsidR="00C21B6A"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i/>
          <w:iCs/>
          <w:lang w:val="es-ES"/>
        </w:rPr>
      </w:pPr>
      <w:r w:rsidRPr="005A2345">
        <w:rPr>
          <w:rFonts w:ascii="Times New Roman" w:hAnsi="Times New Roman" w:cs="Times New Roman"/>
          <w:lang w:val="es-ES"/>
        </w:rPr>
        <w:t>Las organizaciones civiles El Veinte y la Fundación para la Libertad de Prensa</w:t>
      </w:r>
      <w:r w:rsidRPr="005A2345">
        <w:rPr>
          <w:rFonts w:ascii="Times New Roman" w:hAnsi="Times New Roman" w:cs="Times New Roman"/>
          <w:lang w:val="es-ES"/>
        </w:rPr>
        <w:t xml:space="preserve"> - FLIP</w:t>
      </w:r>
      <w:r w:rsidRPr="005A2345">
        <w:rPr>
          <w:rFonts w:ascii="Times New Roman" w:hAnsi="Times New Roman" w:cs="Times New Roman"/>
          <w:lang w:val="es-ES"/>
        </w:rPr>
        <w:t xml:space="preserve"> solicitaron declarar la inexequibilidad de la norma. Argument</w:t>
      </w:r>
      <w:r w:rsidRPr="005A2345">
        <w:rPr>
          <w:rFonts w:ascii="Times New Roman" w:hAnsi="Times New Roman" w:cs="Times New Roman"/>
          <w:lang w:val="es-ES"/>
        </w:rPr>
        <w:t>aron, en síntesis, que a pesar de que, en principio, se encuentra justificado contar con un grado de confidencialidad y secretismo en el inicio de acercamientos con actores armados con miras a llegar a acuerdos de paz o de sometimiento a la justicia,</w:t>
      </w:r>
      <w:r w:rsidRPr="005A2345">
        <w:rPr>
          <w:rFonts w:ascii="Times New Roman" w:hAnsi="Times New Roman" w:cs="Times New Roman"/>
          <w:lang w:val="es-ES"/>
        </w:rPr>
        <w:t xml:space="preserve"> la no</w:t>
      </w:r>
      <w:r w:rsidRPr="005A2345">
        <w:rPr>
          <w:rFonts w:ascii="Times New Roman" w:hAnsi="Times New Roman" w:cs="Times New Roman"/>
          <w:lang w:val="es-ES"/>
        </w:rPr>
        <w:t xml:space="preserve">rma demandada </w:t>
      </w:r>
      <w:r w:rsidRPr="005A2345">
        <w:rPr>
          <w:rFonts w:ascii="Times New Roman" w:hAnsi="Times New Roman" w:cs="Times New Roman"/>
        </w:rPr>
        <w:t>no cumple con el test tripartito para el establecimiento de limitaciones al derecho de acceso a la información pública. Argumentaron que (i) no cumple con el requisito de legalidad, (ii) no contiene un fin legítimo claro y (iii) es una medida</w:t>
      </w:r>
      <w:r w:rsidRPr="005A2345">
        <w:rPr>
          <w:rFonts w:ascii="Times New Roman" w:hAnsi="Times New Roman" w:cs="Times New Roman"/>
        </w:rPr>
        <w:t xml:space="preserve"> irrazonable y desproporcional.</w:t>
      </w:r>
    </w:p>
    <w:p w:rsidR="00C21B6A" w:rsidRPr="005A2345" w:rsidRDefault="005A2345" w:rsidP="00C21B6A">
      <w:pPr>
        <w:pStyle w:val="Prrafodelista"/>
        <w:rPr>
          <w:rFonts w:ascii="Times New Roman" w:hAnsi="Times New Roman" w:cs="Times New Roman"/>
          <w:i/>
          <w:iCs/>
          <w:lang w:val="es-ES"/>
        </w:rPr>
      </w:pPr>
    </w:p>
    <w:p w:rsidR="00C21B6A"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i/>
          <w:iCs/>
          <w:lang w:val="es-ES"/>
        </w:rPr>
      </w:pPr>
      <w:r w:rsidRPr="005A2345">
        <w:rPr>
          <w:rFonts w:ascii="Times New Roman" w:hAnsi="Times New Roman" w:cs="Times New Roman"/>
          <w:lang w:val="es-ES"/>
        </w:rPr>
        <w:t xml:space="preserve">El Ministerio Público solicitó </w:t>
      </w:r>
      <w:r w:rsidRPr="005A2345">
        <w:rPr>
          <w:rFonts w:ascii="Times New Roman" w:hAnsi="Times New Roman" w:cs="Times New Roman"/>
          <w:lang w:val="es-ES"/>
        </w:rPr>
        <w:t xml:space="preserve">la exequibilidad del parágrafo demandado, pues advirtió que las omisiones que reprocha el actor se pueden solventar con una interpretación sistemática y armónica de otros cuerpos normativos que regulan la materia sobre acceso a la información pública. </w:t>
      </w:r>
    </w:p>
    <w:p w:rsidR="00C21B6A" w:rsidRPr="005A2345" w:rsidRDefault="005A2345" w:rsidP="00C21B6A">
      <w:pPr>
        <w:pStyle w:val="Prrafodelista"/>
        <w:rPr>
          <w:rFonts w:ascii="Times New Roman" w:hAnsi="Times New Roman" w:cs="Times New Roman"/>
          <w:i/>
          <w:iCs/>
          <w:lang w:val="es-ES"/>
        </w:rPr>
      </w:pPr>
    </w:p>
    <w:p w:rsidR="007A3EF6" w:rsidRPr="005A2345" w:rsidRDefault="005A2345" w:rsidP="007A3EF6">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i/>
          <w:iCs/>
          <w:lang w:val="es-ES"/>
        </w:rPr>
      </w:pPr>
      <w:r w:rsidRPr="005A2345">
        <w:rPr>
          <w:rFonts w:ascii="Times New Roman" w:hAnsi="Times New Roman" w:cs="Times New Roman"/>
          <w:lang w:val="es-ES"/>
        </w:rPr>
        <w:t xml:space="preserve">A </w:t>
      </w:r>
      <w:r w:rsidRPr="005A2345">
        <w:rPr>
          <w:rFonts w:ascii="Times New Roman" w:hAnsi="Times New Roman" w:cs="Times New Roman"/>
          <w:lang w:val="es-ES"/>
        </w:rPr>
        <w:t xml:space="preserve">pesar de que el demandante atacó todo el parágrafo 1º del artículo 6, lo cierto es que sus reproches se dirigen contra el </w:t>
      </w:r>
      <w:r w:rsidRPr="005A2345">
        <w:rPr>
          <w:rFonts w:ascii="Times New Roman" w:hAnsi="Times New Roman" w:cs="Times New Roman"/>
          <w:lang w:val="es-ES"/>
        </w:rPr>
        <w:t xml:space="preserve">siguiente </w:t>
      </w:r>
      <w:r w:rsidRPr="005A2345">
        <w:rPr>
          <w:rFonts w:ascii="Times New Roman" w:hAnsi="Times New Roman" w:cs="Times New Roman"/>
          <w:lang w:val="es-ES"/>
        </w:rPr>
        <w:t>aparte</w:t>
      </w:r>
      <w:r w:rsidRPr="005A2345">
        <w:rPr>
          <w:rFonts w:ascii="Times New Roman" w:hAnsi="Times New Roman" w:cs="Times New Roman"/>
          <w:lang w:val="es-ES"/>
        </w:rPr>
        <w:t xml:space="preserve"> de la norma:</w:t>
      </w:r>
      <w:r w:rsidRPr="005A2345">
        <w:rPr>
          <w:rFonts w:ascii="Times New Roman" w:hAnsi="Times New Roman" w:cs="Times New Roman"/>
          <w:lang w:val="es-ES"/>
        </w:rPr>
        <w:t xml:space="preserve"> «</w:t>
      </w:r>
      <w:r w:rsidRPr="005A2345">
        <w:rPr>
          <w:rFonts w:ascii="Times New Roman" w:hAnsi="Times New Roman" w:cs="Times New Roman"/>
          <w:lang w:eastAsia="es-CO"/>
        </w:rPr>
        <w:t xml:space="preserve">[…] </w:t>
      </w:r>
      <w:r w:rsidRPr="005A2345">
        <w:rPr>
          <w:rFonts w:ascii="Times New Roman" w:hAnsi="Times New Roman" w:cs="Times New Roman"/>
        </w:rPr>
        <w:t xml:space="preserve">los asuntos referidos a conversaciones, acuerdos y negociaciones con actores armados que se traten </w:t>
      </w:r>
      <w:r w:rsidRPr="005A2345">
        <w:rPr>
          <w:rFonts w:ascii="Times New Roman" w:hAnsi="Times New Roman" w:cs="Times New Roman"/>
        </w:rPr>
        <w:t xml:space="preserve">en sus sesiones, así como la información y documentos que se expidan en esta materia, podrán tener el carácter de reservados, excepto la información relacionada con la ejecución presupuestal de los Ministerios». </w:t>
      </w:r>
      <w:r w:rsidRPr="005A2345">
        <w:rPr>
          <w:rFonts w:ascii="Times New Roman" w:hAnsi="Times New Roman" w:cs="Times New Roman"/>
          <w:lang w:val="es-ES"/>
        </w:rPr>
        <w:t xml:space="preserve">Con base en lo descrito hasta el momento, </w:t>
      </w:r>
      <w:r w:rsidRPr="005A2345">
        <w:rPr>
          <w:rFonts w:ascii="Times New Roman" w:hAnsi="Times New Roman" w:cs="Times New Roman"/>
          <w:lang w:val="es-ES"/>
        </w:rPr>
        <w:t xml:space="preserve">a </w:t>
      </w:r>
      <w:r w:rsidRPr="005A2345">
        <w:rPr>
          <w:rFonts w:ascii="Times New Roman" w:hAnsi="Times New Roman" w:cs="Times New Roman"/>
          <w:lang w:val="es-ES"/>
        </w:rPr>
        <w:t>la Sala Plena de la Corte Constitucional le corresponde estudiar si</w:t>
      </w:r>
      <w:r w:rsidRPr="005A2345">
        <w:rPr>
          <w:rFonts w:ascii="Times New Roman" w:hAnsi="Times New Roman" w:cs="Times New Roman"/>
          <w:lang w:val="es-ES"/>
        </w:rPr>
        <w:t xml:space="preserve"> </w:t>
      </w:r>
      <w:r w:rsidRPr="005A2345">
        <w:rPr>
          <w:rFonts w:ascii="Times New Roman" w:hAnsi="Times New Roman" w:cs="Times New Roman"/>
          <w:lang w:val="es-ES"/>
        </w:rPr>
        <w:t>la reserva que contempla el parágrafo 1</w:t>
      </w:r>
      <w:r w:rsidRPr="005A2345">
        <w:rPr>
          <w:rFonts w:ascii="Times New Roman" w:hAnsi="Times New Roman" w:cs="Times New Roman"/>
          <w:lang w:val="es-ES"/>
        </w:rPr>
        <w:t>º</w:t>
      </w:r>
      <w:r w:rsidRPr="005A2345">
        <w:rPr>
          <w:rFonts w:ascii="Times New Roman" w:hAnsi="Times New Roman" w:cs="Times New Roman"/>
          <w:lang w:val="es-ES"/>
        </w:rPr>
        <w:t xml:space="preserve"> del artículo 6 de la Ley 2272 de 2022 sobre los </w:t>
      </w:r>
      <w:r w:rsidRPr="005A2345">
        <w:rPr>
          <w:rFonts w:ascii="Times New Roman" w:hAnsi="Times New Roman" w:cs="Times New Roman"/>
        </w:rPr>
        <w:t>asuntos referidos a conversaciones, acuerdos y negociaciones con actores armados que se traten en l</w:t>
      </w:r>
      <w:r w:rsidRPr="005A2345">
        <w:rPr>
          <w:rFonts w:ascii="Times New Roman" w:hAnsi="Times New Roman" w:cs="Times New Roman"/>
        </w:rPr>
        <w:t xml:space="preserve">as sesiones del Gabinete de Paz, así como la información y documentos que se expidan en esta materia, desconoce los derechos de petición y </w:t>
      </w:r>
      <w:r w:rsidRPr="005A2345">
        <w:rPr>
          <w:rFonts w:ascii="Times New Roman" w:hAnsi="Times New Roman" w:cs="Times New Roman"/>
        </w:rPr>
        <w:t>de</w:t>
      </w:r>
      <w:r w:rsidRPr="005A2345">
        <w:rPr>
          <w:rFonts w:ascii="Times New Roman" w:hAnsi="Times New Roman" w:cs="Times New Roman"/>
        </w:rPr>
        <w:t xml:space="preserve"> acceso a la información pública</w:t>
      </w:r>
      <w:r w:rsidRPr="005A2345">
        <w:rPr>
          <w:rFonts w:ascii="Times New Roman" w:hAnsi="Times New Roman" w:cs="Times New Roman"/>
        </w:rPr>
        <w:t>, acorde con la Constitución y las leyes estatutarias Ley 1712 de 2014 y 1755 de 20</w:t>
      </w:r>
      <w:r w:rsidRPr="005A2345">
        <w:rPr>
          <w:rFonts w:ascii="Times New Roman" w:hAnsi="Times New Roman" w:cs="Times New Roman"/>
        </w:rPr>
        <w:t>15.</w:t>
      </w:r>
    </w:p>
    <w:p w:rsidR="007A3EF6" w:rsidRPr="005A2345" w:rsidRDefault="005A2345" w:rsidP="00782CC9">
      <w:pPr>
        <w:rPr>
          <w:rFonts w:ascii="Times New Roman" w:hAnsi="Times New Roman" w:cs="Times New Roman"/>
          <w:sz w:val="28"/>
          <w:lang w:val="es-ES"/>
        </w:rPr>
      </w:pPr>
    </w:p>
    <w:p w:rsidR="007A4179" w:rsidRPr="005A2345" w:rsidRDefault="005A2345" w:rsidP="00076595">
      <w:pPr>
        <w:pStyle w:val="Prrafodelista"/>
        <w:numPr>
          <w:ilvl w:val="0"/>
          <w:numId w:val="5"/>
        </w:numPr>
        <w:spacing w:after="0" w:line="240" w:lineRule="auto"/>
        <w:ind w:left="0" w:firstLine="0"/>
        <w:jc w:val="both"/>
        <w:rPr>
          <w:rFonts w:ascii="Times New Roman" w:hAnsi="Times New Roman" w:cs="Times New Roman"/>
          <w:iCs/>
          <w:lang w:val="es-ES"/>
        </w:rPr>
      </w:pPr>
      <w:r w:rsidRPr="005A2345">
        <w:rPr>
          <w:rFonts w:ascii="Times New Roman" w:hAnsi="Times New Roman" w:cs="Times New Roman"/>
          <w:lang w:val="es-ES"/>
        </w:rPr>
        <w:t xml:space="preserve">Para dar </w:t>
      </w:r>
      <w:r w:rsidRPr="005A2345">
        <w:rPr>
          <w:rFonts w:ascii="Times New Roman" w:hAnsi="Times New Roman" w:cs="Times New Roman"/>
          <w:lang w:val="es-ES"/>
        </w:rPr>
        <w:t xml:space="preserve">respuesta al anterior problema jurídico, la Sala seguirá el siguiente orden metodológico: (i) </w:t>
      </w:r>
      <w:r w:rsidRPr="005A2345">
        <w:rPr>
          <w:rFonts w:ascii="Times New Roman" w:hAnsi="Times New Roman" w:cs="Times New Roman"/>
          <w:lang w:val="es-ES"/>
        </w:rPr>
        <w:t xml:space="preserve">reiterará la jurisprudencia constitucional sobre el contenido y alcance </w:t>
      </w:r>
      <w:r w:rsidRPr="005A2345">
        <w:rPr>
          <w:rFonts w:ascii="Times New Roman" w:hAnsi="Times New Roman" w:cs="Times New Roman"/>
          <w:lang w:val="es-ES"/>
        </w:rPr>
        <w:t>del derecho al</w:t>
      </w:r>
      <w:r w:rsidRPr="005A2345">
        <w:rPr>
          <w:rFonts w:ascii="Times New Roman" w:hAnsi="Times New Roman" w:cs="Times New Roman"/>
          <w:lang w:val="es-ES"/>
        </w:rPr>
        <w:t xml:space="preserve"> acceso a la información pública</w:t>
      </w:r>
      <w:r w:rsidRPr="005A2345">
        <w:rPr>
          <w:rFonts w:ascii="Times New Roman" w:hAnsi="Times New Roman" w:cs="Times New Roman"/>
          <w:lang w:val="es-ES"/>
        </w:rPr>
        <w:t xml:space="preserve"> y su relación con el derecho de petición. En este acápite, se </w:t>
      </w:r>
      <w:r w:rsidRPr="005A2345">
        <w:rPr>
          <w:rFonts w:ascii="Times New Roman" w:hAnsi="Times New Roman" w:cs="Times New Roman"/>
          <w:lang w:val="es-ES"/>
        </w:rPr>
        <w:t>precisará</w:t>
      </w:r>
      <w:r w:rsidRPr="005A2345">
        <w:rPr>
          <w:rFonts w:ascii="Times New Roman" w:hAnsi="Times New Roman" w:cs="Times New Roman"/>
          <w:lang w:val="es-ES"/>
        </w:rPr>
        <w:t>n</w:t>
      </w:r>
      <w:r w:rsidRPr="005A2345">
        <w:rPr>
          <w:rFonts w:ascii="Times New Roman" w:hAnsi="Times New Roman" w:cs="Times New Roman"/>
          <w:lang w:val="es-ES"/>
        </w:rPr>
        <w:t xml:space="preserve"> cuáles son las condiciones exigidas por la jurisprudencia para establecer limitaciones al derecho al acceso a la información pública, en otras palabras, si el legislador puede impone</w:t>
      </w:r>
      <w:r w:rsidRPr="005A2345">
        <w:rPr>
          <w:rFonts w:ascii="Times New Roman" w:hAnsi="Times New Roman" w:cs="Times New Roman"/>
          <w:lang w:val="es-ES"/>
        </w:rPr>
        <w:t xml:space="preserve">r reservas de información y cuáles son sus condiciones para ejercer esta potestad de configuración; </w:t>
      </w:r>
      <w:r w:rsidRPr="005A2345">
        <w:rPr>
          <w:rFonts w:ascii="Times New Roman" w:hAnsi="Times New Roman" w:cs="Times New Roman"/>
          <w:lang w:val="es-ES"/>
        </w:rPr>
        <w:t xml:space="preserve">y </w:t>
      </w:r>
      <w:r w:rsidRPr="005A2345">
        <w:rPr>
          <w:rFonts w:ascii="Times New Roman" w:hAnsi="Times New Roman" w:cs="Times New Roman"/>
          <w:lang w:val="es-ES"/>
        </w:rPr>
        <w:t xml:space="preserve">(ii) </w:t>
      </w:r>
      <w:r w:rsidRPr="005A2345">
        <w:rPr>
          <w:rFonts w:ascii="Times New Roman" w:hAnsi="Times New Roman" w:cs="Times New Roman"/>
          <w:lang w:val="es-ES"/>
        </w:rPr>
        <w:t>se hará una breve referencia al derecho al acceso a la información pública en materia de procesos de paz y de sometimiento a la justicia.</w:t>
      </w:r>
      <w:r w:rsidRPr="005A2345">
        <w:rPr>
          <w:rFonts w:ascii="Times New Roman" w:hAnsi="Times New Roman" w:cs="Times New Roman"/>
          <w:iCs/>
          <w:lang w:val="es-ES"/>
        </w:rPr>
        <w:t xml:space="preserve"> F</w:t>
      </w:r>
      <w:r w:rsidRPr="005A2345">
        <w:rPr>
          <w:rFonts w:ascii="Times New Roman" w:hAnsi="Times New Roman" w:cs="Times New Roman"/>
          <w:lang w:val="es-ES"/>
        </w:rPr>
        <w:t>inalmente,</w:t>
      </w:r>
      <w:r w:rsidRPr="005A2345">
        <w:rPr>
          <w:rFonts w:ascii="Times New Roman" w:hAnsi="Times New Roman" w:cs="Times New Roman"/>
          <w:lang w:val="es-ES"/>
        </w:rPr>
        <w:t xml:space="preserve"> se resolverá el cargo propuesto por el demandante. Para el efecto, la Sala primero se referirá a los antecedentes legislativos de la norma demandada y </w:t>
      </w:r>
      <w:r w:rsidRPr="005A2345">
        <w:rPr>
          <w:rFonts w:ascii="Times New Roman" w:hAnsi="Times New Roman" w:cs="Times New Roman"/>
          <w:lang w:val="es-ES"/>
        </w:rPr>
        <w:t>luego analizará la norma demandada a la luz de los estándares estatutarios y jurisprudenciales, con el f</w:t>
      </w:r>
      <w:r w:rsidRPr="005A2345">
        <w:rPr>
          <w:rFonts w:ascii="Times New Roman" w:hAnsi="Times New Roman" w:cs="Times New Roman"/>
          <w:lang w:val="es-ES"/>
        </w:rPr>
        <w:t xml:space="preserve">in de definir si la reserva de información es o no constitucional. </w:t>
      </w:r>
    </w:p>
    <w:p w:rsidR="00224451" w:rsidRPr="005A2345" w:rsidRDefault="005A2345" w:rsidP="00224451">
      <w:pPr>
        <w:pStyle w:val="Prrafodelista"/>
        <w:spacing w:after="0" w:line="240" w:lineRule="auto"/>
        <w:ind w:left="0"/>
        <w:jc w:val="both"/>
        <w:rPr>
          <w:rFonts w:ascii="Times New Roman" w:hAnsi="Times New Roman" w:cs="Times New Roman"/>
          <w:iCs/>
          <w:lang w:val="es-ES"/>
        </w:rPr>
      </w:pPr>
    </w:p>
    <w:p w:rsidR="00666798" w:rsidRPr="005A2345" w:rsidRDefault="005A2345" w:rsidP="00666798">
      <w:pPr>
        <w:jc w:val="both"/>
        <w:rPr>
          <w:rFonts w:ascii="Times New Roman" w:eastAsia="Calibri" w:hAnsi="Times New Roman" w:cs="Times New Roman"/>
          <w:b/>
          <w:bCs/>
          <w:i/>
          <w:iCs/>
          <w:sz w:val="28"/>
          <w:szCs w:val="28"/>
          <w:lang w:val="es-ES" w:eastAsia="en-US"/>
        </w:rPr>
      </w:pPr>
      <w:r w:rsidRPr="005A2345">
        <w:rPr>
          <w:rFonts w:ascii="Times New Roman" w:eastAsia="Calibri" w:hAnsi="Times New Roman" w:cs="Times New Roman"/>
          <w:b/>
          <w:bCs/>
          <w:i/>
          <w:iCs/>
          <w:sz w:val="28"/>
          <w:szCs w:val="28"/>
          <w:lang w:val="es-ES" w:eastAsia="en-US"/>
        </w:rPr>
        <w:t>El derecho de información pública: el acceso a los documentos públicos y sus restricciones legítimas. Reiteración jurisprudencial.</w:t>
      </w:r>
      <w:r w:rsidRPr="005A2345">
        <w:rPr>
          <w:rFonts w:ascii="Times New Roman" w:eastAsia="Calibri" w:hAnsi="Times New Roman" w:cs="Times New Roman"/>
          <w:b/>
          <w:bCs/>
          <w:i/>
          <w:iCs/>
          <w:sz w:val="28"/>
          <w:szCs w:val="28"/>
          <w:vertAlign w:val="superscript"/>
          <w:lang w:val="es-ES" w:eastAsia="en-US"/>
        </w:rPr>
        <w:footnoteReference w:id="20"/>
      </w:r>
    </w:p>
    <w:p w:rsidR="00666798" w:rsidRPr="005A2345" w:rsidRDefault="005A2345" w:rsidP="007523BC">
      <w:pPr>
        <w:jc w:val="both"/>
        <w:rPr>
          <w:rFonts w:ascii="Times New Roman" w:eastAsia="Calibri" w:hAnsi="Times New Roman" w:cs="Times New Roman"/>
          <w:sz w:val="28"/>
          <w:szCs w:val="28"/>
          <w:lang w:eastAsia="en-US"/>
        </w:rPr>
      </w:pPr>
    </w:p>
    <w:p w:rsidR="000471CD"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val="es-ES" w:eastAsia="en-US"/>
        </w:rPr>
      </w:pPr>
      <w:r w:rsidRPr="005A2345">
        <w:rPr>
          <w:rFonts w:ascii="Times New Roman" w:eastAsia="Calibri" w:hAnsi="Times New Roman" w:cs="Times New Roman"/>
          <w:lang w:val="es-ES" w:eastAsia="en-US"/>
        </w:rPr>
        <w:t xml:space="preserve">La Constitución Política de 1991 reconoce un grupo de </w:t>
      </w:r>
      <w:r w:rsidRPr="005A2345">
        <w:rPr>
          <w:rFonts w:ascii="Times New Roman" w:eastAsia="Calibri" w:hAnsi="Times New Roman" w:cs="Times New Roman"/>
          <w:lang w:val="es-ES" w:eastAsia="en-US"/>
        </w:rPr>
        <w:t>derechos y libertades fundamentales que conforman un eje axial para el Estado democrático y</w:t>
      </w:r>
      <w:r w:rsidRPr="005A2345">
        <w:rPr>
          <w:rFonts w:ascii="Times New Roman" w:eastAsia="Calibri" w:hAnsi="Times New Roman" w:cs="Times New Roman"/>
          <w:lang w:val="es-ES" w:eastAsia="en-US"/>
        </w:rPr>
        <w:t>,</w:t>
      </w:r>
      <w:r w:rsidRPr="005A2345">
        <w:rPr>
          <w:rFonts w:ascii="Times New Roman" w:eastAsia="Calibri" w:hAnsi="Times New Roman" w:cs="Times New Roman"/>
          <w:lang w:val="es-ES" w:eastAsia="en-US"/>
        </w:rPr>
        <w:t xml:space="preserve"> específicamente, una garantía para una verdadera democracia participativa. Los derechos a la libertad de expresión y de opinión, el derecho a la información, el ac</w:t>
      </w:r>
      <w:r w:rsidRPr="005A2345">
        <w:rPr>
          <w:rFonts w:ascii="Times New Roman" w:eastAsia="Calibri" w:hAnsi="Times New Roman" w:cs="Times New Roman"/>
          <w:lang w:val="es-ES" w:eastAsia="en-US"/>
        </w:rPr>
        <w:t>ceso a los documentos públicos y el ejercicio del derecho de petición, constituyen los presupuestos para un debate democrático amplio y un control político con</w:t>
      </w:r>
      <w:r w:rsidRPr="005A2345">
        <w:rPr>
          <w:rFonts w:ascii="Times New Roman" w:eastAsia="Calibri" w:hAnsi="Times New Roman" w:cs="Times New Roman"/>
          <w:lang w:val="es-ES" w:eastAsia="en-US"/>
        </w:rPr>
        <w:t>s</w:t>
      </w:r>
      <w:r w:rsidRPr="005A2345">
        <w:rPr>
          <w:rFonts w:ascii="Times New Roman" w:eastAsia="Calibri" w:hAnsi="Times New Roman" w:cs="Times New Roman"/>
          <w:lang w:val="es-ES" w:eastAsia="en-US"/>
        </w:rPr>
        <w:t xml:space="preserve">tante a las instituciones que ejercen el poder público. Particularmente, </w:t>
      </w:r>
      <w:r w:rsidRPr="005A2345">
        <w:rPr>
          <w:rFonts w:ascii="Times New Roman" w:eastAsia="Calibri" w:hAnsi="Times New Roman" w:cs="Times New Roman"/>
          <w:lang w:eastAsia="en-US"/>
        </w:rPr>
        <w:t>la Carta Política consa</w:t>
      </w:r>
      <w:r w:rsidRPr="005A2345">
        <w:rPr>
          <w:rFonts w:ascii="Times New Roman" w:eastAsia="Calibri" w:hAnsi="Times New Roman" w:cs="Times New Roman"/>
          <w:lang w:eastAsia="en-US"/>
        </w:rPr>
        <w:t>gra el derecho de acceso a la información en dos artículos. Por una parte, el artículo 20 de la Constitución dispone que «[s]e garantiza a toda persona la libertad de expresar y difundir su pensamiento y opiniones, </w:t>
      </w:r>
      <w:r w:rsidRPr="005A2345">
        <w:rPr>
          <w:rFonts w:ascii="Times New Roman" w:eastAsia="Calibri" w:hAnsi="Times New Roman" w:cs="Times New Roman"/>
          <w:b/>
          <w:bCs/>
          <w:lang w:eastAsia="en-US"/>
        </w:rPr>
        <w:t>la de informar y recibir información vera</w:t>
      </w:r>
      <w:r w:rsidRPr="005A2345">
        <w:rPr>
          <w:rFonts w:ascii="Times New Roman" w:eastAsia="Calibri" w:hAnsi="Times New Roman" w:cs="Times New Roman"/>
          <w:b/>
          <w:bCs/>
          <w:lang w:eastAsia="en-US"/>
        </w:rPr>
        <w:t>z e imparcial</w:t>
      </w:r>
      <w:r w:rsidRPr="005A2345">
        <w:rPr>
          <w:rFonts w:ascii="Times New Roman" w:eastAsia="Calibri" w:hAnsi="Times New Roman" w:cs="Times New Roman"/>
          <w:lang w:eastAsia="en-US"/>
        </w:rPr>
        <w:t>, y la de fundar medios masivos de comunicación» (énfasis propio). Por otra parte, el artículo 74 establece que «[t]odas las personas tienen derecho a acceder a los documentos públicos salvo los casos que establezca la ley».</w:t>
      </w:r>
    </w:p>
    <w:p w:rsidR="000471CD" w:rsidRPr="005A2345" w:rsidRDefault="005A2345" w:rsidP="000471CD">
      <w:pPr>
        <w:pStyle w:val="Prrafodelista"/>
        <w:spacing w:after="0" w:line="240" w:lineRule="auto"/>
        <w:ind w:left="0"/>
        <w:jc w:val="both"/>
        <w:rPr>
          <w:rFonts w:ascii="Times New Roman" w:eastAsia="Calibri" w:hAnsi="Times New Roman" w:cs="Times New Roman"/>
          <w:lang w:val="es-ES" w:eastAsia="en-US"/>
        </w:rPr>
      </w:pPr>
    </w:p>
    <w:p w:rsidR="000471CD"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val="es-ES" w:eastAsia="en-US"/>
        </w:rPr>
      </w:pPr>
      <w:r w:rsidRPr="005A2345">
        <w:rPr>
          <w:rFonts w:ascii="Times New Roman" w:eastAsia="Calibri" w:hAnsi="Times New Roman" w:cs="Times New Roman"/>
          <w:lang w:val="es-ES" w:eastAsia="en-US"/>
        </w:rPr>
        <w:t xml:space="preserve">A pesar de ser </w:t>
      </w:r>
      <w:r w:rsidRPr="005A2345">
        <w:rPr>
          <w:rFonts w:ascii="Times New Roman" w:eastAsia="Calibri" w:hAnsi="Times New Roman" w:cs="Times New Roman"/>
          <w:lang w:val="es-ES" w:eastAsia="en-US"/>
        </w:rPr>
        <w:t>derechos intrínsecamente relacionados entre sí, como ha sido recordado por la jurisprudencia constitucional, la Asamblea Nacional Constituyente, quiso su reconocimiento de forma separada, con el fin de definir su contenido y alcance de manera más precisa.</w:t>
      </w:r>
      <w:r w:rsidRPr="005A2345">
        <w:rPr>
          <w:rStyle w:val="Refdenotaalpie"/>
          <w:rFonts w:ascii="Times New Roman" w:eastAsia="Calibri" w:hAnsi="Times New Roman" w:cs="Times New Roman"/>
          <w:lang w:val="es-ES" w:eastAsia="en-US"/>
        </w:rPr>
        <w:footnoteReference w:id="21"/>
      </w:r>
      <w:r w:rsidRPr="005A2345">
        <w:rPr>
          <w:rFonts w:ascii="Times New Roman" w:eastAsia="Calibri" w:hAnsi="Times New Roman" w:cs="Times New Roman"/>
          <w:lang w:val="es-ES" w:eastAsia="en-US"/>
        </w:rPr>
        <w:t xml:space="preserve"> </w:t>
      </w:r>
    </w:p>
    <w:p w:rsidR="000471CD" w:rsidRPr="005A2345" w:rsidRDefault="005A2345" w:rsidP="000471CD">
      <w:pPr>
        <w:pStyle w:val="Prrafodelista"/>
        <w:rPr>
          <w:rFonts w:ascii="Times New Roman" w:eastAsia="Calibri" w:hAnsi="Times New Roman" w:cs="Times New Roman"/>
          <w:lang w:val="es-ES" w:eastAsia="en-US"/>
        </w:rPr>
      </w:pPr>
    </w:p>
    <w:p w:rsidR="000471CD"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val="es-ES" w:eastAsia="en-US"/>
        </w:rPr>
      </w:pPr>
      <w:r w:rsidRPr="005A2345">
        <w:rPr>
          <w:rFonts w:ascii="Times New Roman" w:eastAsia="Calibri" w:hAnsi="Times New Roman" w:cs="Times New Roman"/>
          <w:lang w:val="es-ES" w:eastAsia="en-US"/>
        </w:rPr>
        <w:t>En el caso del derecho a acceder a los documentos públicos (art. 74), la Asamblea Nacional Constituyente abordó el asunto «</w:t>
      </w:r>
      <w:r w:rsidRPr="005A2345">
        <w:rPr>
          <w:rFonts w:ascii="Times New Roman" w:eastAsia="Calibri" w:hAnsi="Times New Roman" w:cs="Times New Roman"/>
          <w:lang w:eastAsia="en-US"/>
        </w:rPr>
        <w:t>desde la perspectiva del derecho fundamental a la información y optaron por su consagración como derecho independiente del derecho</w:t>
      </w:r>
      <w:r w:rsidRPr="005A2345">
        <w:rPr>
          <w:rFonts w:ascii="Times New Roman" w:eastAsia="Calibri" w:hAnsi="Times New Roman" w:cs="Times New Roman"/>
          <w:lang w:eastAsia="en-US"/>
        </w:rPr>
        <w:t xml:space="preserve"> de petición».</w:t>
      </w:r>
      <w:r w:rsidRPr="005A2345">
        <w:rPr>
          <w:rFonts w:ascii="Times New Roman" w:eastAsia="Calibri" w:hAnsi="Times New Roman" w:cs="Times New Roman"/>
          <w:vertAlign w:val="superscript"/>
        </w:rPr>
        <w:footnoteReference w:id="22"/>
      </w:r>
      <w:r w:rsidRPr="005A2345">
        <w:rPr>
          <w:rFonts w:ascii="Times New Roman" w:eastAsia="Calibri" w:hAnsi="Times New Roman" w:cs="Times New Roman"/>
          <w:lang w:eastAsia="en-US"/>
        </w:rPr>
        <w:t xml:space="preserve"> El propósito de la Asamblea fue el de «desterrar la llamada “cultura del secreto”, característica de sociedades de tendencia antidemocrática en las cuales no existe publicidad de los actos de las autoridades públicas, ya que toda informació</w:t>
      </w:r>
      <w:r w:rsidRPr="005A2345">
        <w:rPr>
          <w:rFonts w:ascii="Times New Roman" w:eastAsia="Calibri" w:hAnsi="Times New Roman" w:cs="Times New Roman"/>
          <w:lang w:eastAsia="en-US"/>
        </w:rPr>
        <w:t>n en poder del Estado es reservada, salvo algunas excepciones».</w:t>
      </w:r>
      <w:r w:rsidRPr="005A2345">
        <w:rPr>
          <w:rFonts w:ascii="Times New Roman" w:eastAsia="Calibri" w:hAnsi="Times New Roman" w:cs="Times New Roman"/>
          <w:vertAlign w:val="superscript"/>
        </w:rPr>
        <w:footnoteReference w:id="23"/>
      </w:r>
      <w:r w:rsidRPr="005A2345">
        <w:rPr>
          <w:rFonts w:ascii="Times New Roman" w:eastAsia="Calibri" w:hAnsi="Times New Roman" w:cs="Times New Roman"/>
          <w:lang w:eastAsia="en-US"/>
        </w:rPr>
        <w:t xml:space="preserve"> </w:t>
      </w:r>
    </w:p>
    <w:p w:rsidR="000471CD" w:rsidRPr="005A2345" w:rsidRDefault="005A2345" w:rsidP="000471CD">
      <w:pPr>
        <w:pStyle w:val="Prrafodelista"/>
        <w:rPr>
          <w:rFonts w:ascii="Times New Roman" w:eastAsia="Calibri" w:hAnsi="Times New Roman" w:cs="Times New Roman"/>
          <w:lang w:eastAsia="en-US"/>
        </w:rPr>
      </w:pPr>
    </w:p>
    <w:p w:rsidR="000471CD"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val="es-ES" w:eastAsia="en-US"/>
        </w:rPr>
      </w:pPr>
      <w:r w:rsidRPr="005A2345">
        <w:rPr>
          <w:rFonts w:ascii="Times New Roman" w:eastAsia="Calibri" w:hAnsi="Times New Roman" w:cs="Times New Roman"/>
          <w:lang w:eastAsia="en-US"/>
        </w:rPr>
        <w:t>De esa manera, la jurisprudencia ha afirmado que el reconocimiento expreso del derecho al acceso a los documentos públicos es un rechazo contundente a la creencia de que la eficiencia de la</w:t>
      </w:r>
      <w:r w:rsidRPr="005A2345">
        <w:rPr>
          <w:rFonts w:ascii="Times New Roman" w:eastAsia="Calibri" w:hAnsi="Times New Roman" w:cs="Times New Roman"/>
          <w:lang w:eastAsia="en-US"/>
        </w:rPr>
        <w:t xml:space="preserve"> gestión estatal debe ampararse en el secreto. En contraste, </w:t>
      </w:r>
      <w:r w:rsidRPr="005A2345">
        <w:rPr>
          <w:rFonts w:ascii="Times New Roman" w:eastAsia="Calibri" w:hAnsi="Times New Roman" w:cs="Times New Roman"/>
          <w:lang w:eastAsia="en-US"/>
        </w:rPr>
        <w:t>se acent</w:t>
      </w:r>
      <w:r w:rsidRPr="005A2345">
        <w:rPr>
          <w:rFonts w:ascii="Times New Roman" w:eastAsia="Calibri" w:hAnsi="Times New Roman" w:cs="Times New Roman"/>
          <w:lang w:eastAsia="en-US"/>
        </w:rPr>
        <w:t>uó</w:t>
      </w:r>
      <w:r w:rsidRPr="005A2345">
        <w:rPr>
          <w:rFonts w:ascii="Times New Roman" w:eastAsia="Calibri" w:hAnsi="Times New Roman" w:cs="Times New Roman"/>
          <w:lang w:eastAsia="en-US"/>
        </w:rPr>
        <w:t xml:space="preserve"> la idea de que </w:t>
      </w:r>
      <w:r w:rsidRPr="005A2345">
        <w:rPr>
          <w:rFonts w:ascii="Times New Roman" w:eastAsia="Calibri" w:hAnsi="Times New Roman" w:cs="Times New Roman"/>
          <w:lang w:eastAsia="en-US"/>
        </w:rPr>
        <w:t>lograr un adecuado funcionamiento del régimen constitucional democrático exige la plena publicidad y transparencia de la gestión pública.</w:t>
      </w:r>
      <w:r w:rsidRPr="005A2345">
        <w:rPr>
          <w:rStyle w:val="Refdenotaalpie"/>
          <w:rFonts w:ascii="Times New Roman" w:eastAsia="Calibri" w:hAnsi="Times New Roman" w:cs="Times New Roman"/>
          <w:lang w:eastAsia="en-US"/>
        </w:rPr>
        <w:footnoteReference w:id="24"/>
      </w:r>
      <w:r w:rsidRPr="005A2345">
        <w:rPr>
          <w:rFonts w:ascii="Times New Roman" w:eastAsia="Calibri" w:hAnsi="Times New Roman" w:cs="Times New Roman"/>
          <w:lang w:eastAsia="en-US"/>
        </w:rPr>
        <w:t xml:space="preserve"> En palabras de la Corte: «Las </w:t>
      </w:r>
      <w:r w:rsidRPr="005A2345">
        <w:rPr>
          <w:rFonts w:ascii="Times New Roman" w:eastAsia="Calibri" w:hAnsi="Times New Roman" w:cs="Times New Roman"/>
          <w:lang w:eastAsia="en-US"/>
        </w:rPr>
        <w:t>decisiones o actuaciones de los servidores públicos que no se quieren mostrar son usualmente aquellas que no se pueden justificar. Y el uso secreto e injustificado del poder del Estado repugna al Estado de derecho y al adecuado funcionamiento de una socied</w:t>
      </w:r>
      <w:r w:rsidRPr="005A2345">
        <w:rPr>
          <w:rFonts w:ascii="Times New Roman" w:eastAsia="Calibri" w:hAnsi="Times New Roman" w:cs="Times New Roman"/>
          <w:lang w:eastAsia="en-US"/>
        </w:rPr>
        <w:t>ad democrática».</w:t>
      </w:r>
      <w:r w:rsidRPr="005A2345">
        <w:rPr>
          <w:rFonts w:ascii="Times New Roman" w:eastAsia="Calibri" w:hAnsi="Times New Roman" w:cs="Times New Roman"/>
          <w:vertAlign w:val="superscript"/>
        </w:rPr>
        <w:footnoteReference w:id="25"/>
      </w:r>
    </w:p>
    <w:p w:rsidR="000471CD" w:rsidRPr="005A2345" w:rsidRDefault="005A2345" w:rsidP="000471CD">
      <w:pPr>
        <w:pStyle w:val="Prrafodelista"/>
        <w:rPr>
          <w:rFonts w:ascii="Times New Roman" w:eastAsia="Calibri" w:hAnsi="Times New Roman" w:cs="Times New Roman"/>
          <w:lang w:eastAsia="en-US"/>
        </w:rPr>
      </w:pPr>
    </w:p>
    <w:p w:rsidR="0082425F"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val="es-ES" w:eastAsia="en-US"/>
        </w:rPr>
      </w:pPr>
      <w:r w:rsidRPr="005A2345">
        <w:rPr>
          <w:rFonts w:ascii="Times New Roman" w:eastAsia="Calibri" w:hAnsi="Times New Roman" w:cs="Times New Roman"/>
          <w:lang w:eastAsia="en-US"/>
        </w:rPr>
        <w:t>Con base en este reconocimiento constitucional autónomo del derecho al acceso a documentos públicos, igualmente se ha precisado que este derecho tiene una relación axiológica con el derecho de petición, pues este último es el vehículo pa</w:t>
      </w:r>
      <w:r w:rsidRPr="005A2345">
        <w:rPr>
          <w:rFonts w:ascii="Times New Roman" w:eastAsia="Calibri" w:hAnsi="Times New Roman" w:cs="Times New Roman"/>
          <w:lang w:eastAsia="en-US"/>
        </w:rPr>
        <w:t>ra asegurar el primero. Así, la Corte ha establecido que el derecho de petición puede entenderse como el género y el de acceso a la información pública es una manifestación específica del mismo.</w:t>
      </w:r>
      <w:r w:rsidRPr="005A2345">
        <w:rPr>
          <w:rFonts w:ascii="Times New Roman" w:eastAsia="Calibri" w:hAnsi="Times New Roman" w:cs="Times New Roman"/>
          <w:vertAlign w:val="superscript"/>
        </w:rPr>
        <w:footnoteReference w:id="26"/>
      </w:r>
      <w:r w:rsidRPr="005A2345">
        <w:rPr>
          <w:rFonts w:ascii="Times New Roman" w:eastAsia="Calibri" w:hAnsi="Times New Roman" w:cs="Times New Roman"/>
          <w:lang w:eastAsia="en-US"/>
        </w:rPr>
        <w:t xml:space="preserve"> Particularmente, en la sentencia T-473 de 1992, la Corte adv</w:t>
      </w:r>
      <w:r w:rsidRPr="005A2345">
        <w:rPr>
          <w:rFonts w:ascii="Times New Roman" w:eastAsia="Calibri" w:hAnsi="Times New Roman" w:cs="Times New Roman"/>
          <w:lang w:eastAsia="en-US"/>
        </w:rPr>
        <w:t>irtió que «[l]a inclusión del artículo 74 parece obedecer al deseo de reconocer en forma expresa expectativas de los diversos profesionales y medios de comunicación que tanto despliegue de poder hicieron en el seno de la Asamblea Constituyente. No obstante</w:t>
      </w:r>
      <w:r w:rsidRPr="005A2345">
        <w:rPr>
          <w:rFonts w:ascii="Times New Roman" w:eastAsia="Calibri" w:hAnsi="Times New Roman" w:cs="Times New Roman"/>
          <w:lang w:eastAsia="en-US"/>
        </w:rPr>
        <w:t>, es de señalar que en ausencia del artículo 74, el derecho de acceso a los documentos públicos se entendería implícito necesariamente en el artículo 23, que consagra el derecho fundamental de petición». </w:t>
      </w:r>
    </w:p>
    <w:p w:rsidR="0082425F" w:rsidRPr="005A2345" w:rsidRDefault="005A2345" w:rsidP="0082425F">
      <w:pPr>
        <w:pStyle w:val="Prrafodelista"/>
        <w:rPr>
          <w:rFonts w:ascii="Times New Roman" w:eastAsia="Calibri" w:hAnsi="Times New Roman" w:cs="Times New Roman"/>
          <w:lang w:eastAsia="en-US"/>
        </w:rPr>
      </w:pPr>
    </w:p>
    <w:p w:rsidR="0082425F"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val="es-ES" w:eastAsia="en-US"/>
        </w:rPr>
      </w:pPr>
      <w:r w:rsidRPr="005A2345">
        <w:rPr>
          <w:rFonts w:ascii="Times New Roman" w:eastAsia="Calibri" w:hAnsi="Times New Roman" w:cs="Times New Roman"/>
          <w:lang w:eastAsia="en-US"/>
        </w:rPr>
        <w:t xml:space="preserve">Del mismo modo, cabe resaltar que las sentencias </w:t>
      </w:r>
      <w:r w:rsidRPr="005A2345">
        <w:rPr>
          <w:rFonts w:ascii="Times New Roman" w:eastAsia="Calibri" w:hAnsi="Times New Roman" w:cs="Times New Roman"/>
          <w:lang w:eastAsia="en-US"/>
        </w:rPr>
        <w:t>de la Corte también han reconocido la importancia del derecho al acceso a la información pública en un régimen democrático. Se ha establecido que cumple al menos con los siguientes objetivos: (i) «el acceso a la información pública garantiza la participaci</w:t>
      </w:r>
      <w:r w:rsidRPr="005A2345">
        <w:rPr>
          <w:rFonts w:ascii="Times New Roman" w:eastAsia="Calibri" w:hAnsi="Times New Roman" w:cs="Times New Roman"/>
          <w:lang w:eastAsia="en-US"/>
        </w:rPr>
        <w:t>ón democrática y el ejercicio de los derechos políticos»,</w:t>
      </w:r>
      <w:r w:rsidRPr="005A2345">
        <w:rPr>
          <w:rFonts w:ascii="Times New Roman" w:eastAsia="Calibri" w:hAnsi="Times New Roman" w:cs="Times New Roman"/>
          <w:vertAlign w:val="superscript"/>
        </w:rPr>
        <w:footnoteReference w:id="27"/>
      </w:r>
      <w:r w:rsidRPr="005A2345">
        <w:rPr>
          <w:rFonts w:ascii="Times New Roman" w:eastAsia="Calibri" w:hAnsi="Times New Roman" w:cs="Times New Roman"/>
          <w:lang w:eastAsia="en-US"/>
        </w:rPr>
        <w:t xml:space="preserve"> en la medida en que forma ciudadanos activos y críticos sobre los actos u omisiones del poder público y les permite participar en la toma de decisiones; (ii) «el acceso a la información pública cum</w:t>
      </w:r>
      <w:r w:rsidRPr="005A2345">
        <w:rPr>
          <w:rFonts w:ascii="Times New Roman" w:eastAsia="Calibri" w:hAnsi="Times New Roman" w:cs="Times New Roman"/>
          <w:lang w:eastAsia="en-US"/>
        </w:rPr>
        <w:t>ple una función instrumental para el ejercicio de otros derechos constitucionales, ya que permite conocer las condiciones necesarias para su realización». Sobre este objetivo, se resalta el derecho a informar en el sentido genérico, el derecho de las vícti</w:t>
      </w:r>
      <w:r w:rsidRPr="005A2345">
        <w:rPr>
          <w:rFonts w:ascii="Times New Roman" w:eastAsia="Calibri" w:hAnsi="Times New Roman" w:cs="Times New Roman"/>
          <w:lang w:eastAsia="en-US"/>
        </w:rPr>
        <w:t>mas a conocer la verdad y la memoria histórica colectiva sobre graves violaciones a los derechos humanos</w:t>
      </w:r>
      <w:r w:rsidRPr="005A2345">
        <w:rPr>
          <w:rFonts w:ascii="Times New Roman" w:eastAsia="Calibri" w:hAnsi="Times New Roman" w:cs="Times New Roman"/>
          <w:lang w:eastAsia="en-US"/>
        </w:rPr>
        <w:t>;</w:t>
      </w:r>
      <w:r w:rsidRPr="005A2345">
        <w:rPr>
          <w:rFonts w:ascii="Times New Roman" w:eastAsia="Calibri" w:hAnsi="Times New Roman" w:cs="Times New Roman"/>
          <w:vertAlign w:val="superscript"/>
        </w:rPr>
        <w:footnoteReference w:id="28"/>
      </w:r>
      <w:r w:rsidRPr="005A2345">
        <w:rPr>
          <w:rFonts w:ascii="Times New Roman" w:eastAsia="Calibri" w:hAnsi="Times New Roman" w:cs="Times New Roman"/>
          <w:lang w:eastAsia="en-US"/>
        </w:rPr>
        <w:t xml:space="preserve"> y</w:t>
      </w:r>
      <w:r w:rsidRPr="005A2345">
        <w:rPr>
          <w:rFonts w:ascii="Times New Roman" w:eastAsia="Calibri" w:hAnsi="Times New Roman" w:cs="Times New Roman"/>
          <w:lang w:eastAsia="en-US"/>
        </w:rPr>
        <w:t xml:space="preserve"> (iii) «el derecho a acceder a la información pública garantiza la transparencia de la gestión pública, y por lo tanto, se constituye en un mecanism</w:t>
      </w:r>
      <w:r w:rsidRPr="005A2345">
        <w:rPr>
          <w:rFonts w:ascii="Times New Roman" w:eastAsia="Calibri" w:hAnsi="Times New Roman" w:cs="Times New Roman"/>
          <w:lang w:eastAsia="en-US"/>
        </w:rPr>
        <w:t>o de control ciudadano de la actividad estatal».</w:t>
      </w:r>
      <w:r w:rsidRPr="005A2345">
        <w:rPr>
          <w:rFonts w:ascii="Times New Roman" w:eastAsia="Calibri" w:hAnsi="Times New Roman" w:cs="Times New Roman"/>
          <w:vertAlign w:val="superscript"/>
        </w:rPr>
        <w:footnoteReference w:id="29"/>
      </w:r>
      <w:r w:rsidRPr="005A2345">
        <w:rPr>
          <w:rFonts w:ascii="Times New Roman" w:eastAsia="Calibri" w:hAnsi="Times New Roman" w:cs="Times New Roman"/>
          <w:lang w:eastAsia="en-US"/>
        </w:rPr>
        <w:t xml:space="preserve"> Sobre ello, la jurisprudencia ha señalado que el acceso a los documentos oficiales permite ejercer una fiscalización de las actuaciones de las instituciones y prevenir la corrupción. En el mismo sentido, en</w:t>
      </w:r>
      <w:r w:rsidRPr="005A2345">
        <w:rPr>
          <w:rFonts w:ascii="Times New Roman" w:eastAsia="Calibri" w:hAnsi="Times New Roman" w:cs="Times New Roman"/>
          <w:lang w:eastAsia="en-US"/>
        </w:rPr>
        <w:t xml:space="preserve"> el ámbito electoral y de movimientos políticos el acceso a la información permite reconocer «en cabeza de la oposición un derecho que pretende asegurar total transparencia al manejo de la cosa pública, a fin de consentir la confrontación leal e igualitari</w:t>
      </w:r>
      <w:r w:rsidRPr="005A2345">
        <w:rPr>
          <w:rFonts w:ascii="Times New Roman" w:eastAsia="Calibri" w:hAnsi="Times New Roman" w:cs="Times New Roman"/>
          <w:lang w:eastAsia="en-US"/>
        </w:rPr>
        <w:t>a entre las minorías y las mayorías - que no pueden detentar información privilegiada o monopolizar sus fuentes - y el ejercicio del derecho al control del poder político».</w:t>
      </w:r>
      <w:r w:rsidRPr="005A2345">
        <w:rPr>
          <w:rFonts w:ascii="Times New Roman" w:eastAsia="Calibri" w:hAnsi="Times New Roman" w:cs="Times New Roman"/>
          <w:vertAlign w:val="superscript"/>
        </w:rPr>
        <w:footnoteReference w:id="30"/>
      </w:r>
    </w:p>
    <w:p w:rsidR="0082425F" w:rsidRPr="005A2345" w:rsidRDefault="005A2345" w:rsidP="0082425F">
      <w:pPr>
        <w:pStyle w:val="Prrafodelista"/>
        <w:tabs>
          <w:tab w:val="left" w:pos="426"/>
        </w:tabs>
        <w:spacing w:after="0" w:line="240" w:lineRule="auto"/>
        <w:ind w:left="0"/>
        <w:jc w:val="both"/>
        <w:rPr>
          <w:rFonts w:ascii="Times New Roman" w:eastAsia="Calibri" w:hAnsi="Times New Roman" w:cs="Times New Roman"/>
          <w:lang w:val="es-ES" w:eastAsia="en-US"/>
        </w:rPr>
      </w:pPr>
    </w:p>
    <w:p w:rsidR="0082425F"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val="es-ES" w:eastAsia="en-US"/>
        </w:rPr>
      </w:pPr>
      <w:r w:rsidRPr="005A2345">
        <w:rPr>
          <w:rFonts w:ascii="Times New Roman" w:eastAsia="Calibri" w:hAnsi="Times New Roman" w:cs="Times New Roman"/>
          <w:lang w:eastAsia="en-US"/>
        </w:rPr>
        <w:t xml:space="preserve">Ahora bien, en correlación con estos objetivos, las autoridades estatales tienen </w:t>
      </w:r>
      <w:r w:rsidRPr="005A2345">
        <w:rPr>
          <w:rFonts w:ascii="Times New Roman" w:eastAsia="Calibri" w:hAnsi="Times New Roman" w:cs="Times New Roman"/>
          <w:lang w:eastAsia="en-US"/>
        </w:rPr>
        <w:t>dos obligaciones precisas para asegurar el ejercicio efectivo de este derecho: (i) tienen el deber de «suministrar a quien lo solicite, información clara, completa, oportuna, cierta y actualizada, sobre su actividad»</w:t>
      </w:r>
      <w:r w:rsidRPr="005A2345">
        <w:rPr>
          <w:rFonts w:ascii="Times New Roman" w:eastAsia="Calibri" w:hAnsi="Times New Roman" w:cs="Times New Roman"/>
          <w:vertAlign w:val="superscript"/>
        </w:rPr>
        <w:footnoteReference w:id="31"/>
      </w:r>
      <w:r w:rsidRPr="005A2345">
        <w:rPr>
          <w:rFonts w:ascii="Times New Roman" w:eastAsia="Calibri" w:hAnsi="Times New Roman" w:cs="Times New Roman"/>
          <w:lang w:eastAsia="en-US"/>
        </w:rPr>
        <w:t xml:space="preserve"> y (ii) el deber de mantener y conserva</w:t>
      </w:r>
      <w:r w:rsidRPr="005A2345">
        <w:rPr>
          <w:rFonts w:ascii="Times New Roman" w:eastAsia="Calibri" w:hAnsi="Times New Roman" w:cs="Times New Roman"/>
          <w:lang w:eastAsia="en-US"/>
        </w:rPr>
        <w:t>r la información sobre su actividad,</w:t>
      </w:r>
      <w:r w:rsidRPr="005A2345">
        <w:rPr>
          <w:rFonts w:ascii="Times New Roman" w:eastAsia="Calibri" w:hAnsi="Times New Roman" w:cs="Times New Roman"/>
          <w:vertAlign w:val="superscript"/>
        </w:rPr>
        <w:footnoteReference w:id="32"/>
      </w:r>
      <w:r w:rsidRPr="005A2345">
        <w:rPr>
          <w:rFonts w:ascii="Times New Roman" w:eastAsia="Calibri" w:hAnsi="Times New Roman" w:cs="Times New Roman"/>
          <w:lang w:eastAsia="en-US"/>
        </w:rPr>
        <w:t xml:space="preserve"> lo que implica mantener archivos actualizados y la calificación de la información que se considera reservada. </w:t>
      </w:r>
    </w:p>
    <w:p w:rsidR="0082425F" w:rsidRPr="005A2345" w:rsidRDefault="005A2345" w:rsidP="0082425F">
      <w:pPr>
        <w:pStyle w:val="Prrafodelista"/>
        <w:rPr>
          <w:rFonts w:ascii="Times New Roman" w:eastAsia="Calibri" w:hAnsi="Times New Roman" w:cs="Times New Roman"/>
          <w:lang w:eastAsia="en-US"/>
        </w:rPr>
      </w:pPr>
    </w:p>
    <w:p w:rsidR="0082425F"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val="es-ES" w:eastAsia="en-US"/>
        </w:rPr>
      </w:pPr>
      <w:r w:rsidRPr="005A2345">
        <w:rPr>
          <w:rFonts w:ascii="Times New Roman" w:eastAsia="Calibri" w:hAnsi="Times New Roman" w:cs="Times New Roman"/>
          <w:lang w:eastAsia="en-US"/>
        </w:rPr>
        <w:t>Con todo lo anterior, al ser el derecho al acceso a la información pública un mecanismo esencial para la s</w:t>
      </w:r>
      <w:r w:rsidRPr="005A2345">
        <w:rPr>
          <w:rFonts w:ascii="Times New Roman" w:eastAsia="Calibri" w:hAnsi="Times New Roman" w:cs="Times New Roman"/>
          <w:lang w:eastAsia="en-US"/>
        </w:rPr>
        <w:t>atisfacción de los principios de publicidad y transparencia en un régimen democrático, la jurisprudencia ha sostenido que la Constitución Política se rige por el principio de “máxima divulgación”. Este concepto implica que «debe presumirse que la ciudadaní</w:t>
      </w:r>
      <w:r w:rsidRPr="005A2345">
        <w:rPr>
          <w:rFonts w:ascii="Times New Roman" w:eastAsia="Calibri" w:hAnsi="Times New Roman" w:cs="Times New Roman"/>
          <w:lang w:eastAsia="en-US"/>
        </w:rPr>
        <w:t>a puede acceder a la información en poder el Estado, salvo en las reducidas excepciones previstas por la legislación». Por lo anterior, las exclusiones deben ser restringidas, previstas en la ley y de forma que el acceso a la información sea la regla gener</w:t>
      </w:r>
      <w:r w:rsidRPr="005A2345">
        <w:rPr>
          <w:rFonts w:ascii="Times New Roman" w:eastAsia="Calibri" w:hAnsi="Times New Roman" w:cs="Times New Roman"/>
          <w:lang w:eastAsia="en-US"/>
        </w:rPr>
        <w:t>al. Además, implica que, en caso de que las autoridades estatales nieguen el acceso a la información que es pública, debe</w:t>
      </w:r>
      <w:r w:rsidRPr="005A2345">
        <w:rPr>
          <w:rFonts w:ascii="Times New Roman" w:eastAsia="Calibri" w:hAnsi="Times New Roman" w:cs="Times New Roman"/>
          <w:lang w:eastAsia="en-US"/>
        </w:rPr>
        <w:t>n</w:t>
      </w:r>
      <w:r w:rsidRPr="005A2345">
        <w:rPr>
          <w:rFonts w:ascii="Times New Roman" w:eastAsia="Calibri" w:hAnsi="Times New Roman" w:cs="Times New Roman"/>
          <w:lang w:eastAsia="en-US"/>
        </w:rPr>
        <w:t xml:space="preserve"> justificar su decisión y probar por qué la información no puede ser revelada a través de un “test de daño al interés público”. Lo ant</w:t>
      </w:r>
      <w:r w:rsidRPr="005A2345">
        <w:rPr>
          <w:rFonts w:ascii="Times New Roman" w:eastAsia="Calibri" w:hAnsi="Times New Roman" w:cs="Times New Roman"/>
          <w:lang w:eastAsia="en-US"/>
        </w:rPr>
        <w:t>erior, también</w:t>
      </w:r>
      <w:r w:rsidRPr="005A2345">
        <w:rPr>
          <w:rFonts w:ascii="Times New Roman" w:eastAsia="Calibri" w:hAnsi="Times New Roman" w:cs="Times New Roman"/>
          <w:lang w:val="es-ES" w:eastAsia="en-US"/>
        </w:rPr>
        <w:t xml:space="preserve"> los obliga a «[…] publicar y divulgar documentos y archivos que plasman la actividad estatal y de interés público, de forma rutinaria y proactiva, actualizada, accesible y comprensible, atendiendo a límites razonables del talento humano y lo</w:t>
      </w:r>
      <w:r w:rsidRPr="005A2345">
        <w:rPr>
          <w:rFonts w:ascii="Times New Roman" w:eastAsia="Calibri" w:hAnsi="Times New Roman" w:cs="Times New Roman"/>
          <w:lang w:val="es-ES" w:eastAsia="en-US"/>
        </w:rPr>
        <w:t>s recursos físicos y financieros».</w:t>
      </w:r>
      <w:r w:rsidRPr="005A2345">
        <w:rPr>
          <w:rFonts w:ascii="Times New Roman" w:eastAsia="Calibri" w:hAnsi="Times New Roman" w:cs="Times New Roman"/>
          <w:vertAlign w:val="superscript"/>
          <w:lang w:val="es-ES"/>
        </w:rPr>
        <w:footnoteReference w:id="33"/>
      </w:r>
      <w:r w:rsidRPr="005A2345">
        <w:rPr>
          <w:rFonts w:ascii="Times New Roman" w:eastAsia="Calibri" w:hAnsi="Times New Roman" w:cs="Times New Roman"/>
          <w:lang w:val="es-ES" w:eastAsia="en-US"/>
        </w:rPr>
        <w:t xml:space="preserve"> </w:t>
      </w:r>
      <w:r w:rsidRPr="005A2345">
        <w:rPr>
          <w:rFonts w:ascii="Times New Roman" w:eastAsia="Calibri" w:hAnsi="Times New Roman" w:cs="Times New Roman"/>
          <w:lang w:eastAsia="en-US"/>
        </w:rPr>
        <w:t>Igualmente implica que, ante la duda o la existencia de vacíos o tensiones normativas, se privilegie el derecho al acceso a la información pública solicitada.</w:t>
      </w:r>
      <w:r w:rsidRPr="005A2345">
        <w:rPr>
          <w:rFonts w:ascii="Times New Roman" w:eastAsia="Calibri" w:hAnsi="Times New Roman" w:cs="Times New Roman"/>
          <w:vertAlign w:val="superscript"/>
        </w:rPr>
        <w:footnoteReference w:id="34"/>
      </w:r>
      <w:r w:rsidRPr="005A2345">
        <w:rPr>
          <w:rFonts w:ascii="Times New Roman" w:eastAsia="Calibri" w:hAnsi="Times New Roman" w:cs="Times New Roman"/>
          <w:lang w:eastAsia="en-US"/>
        </w:rPr>
        <w:t xml:space="preserve"> </w:t>
      </w:r>
    </w:p>
    <w:p w:rsidR="0082425F" w:rsidRPr="005A2345" w:rsidRDefault="005A2345" w:rsidP="0082425F">
      <w:pPr>
        <w:pStyle w:val="Prrafodelista"/>
        <w:tabs>
          <w:tab w:val="left" w:pos="426"/>
        </w:tabs>
        <w:spacing w:after="0" w:line="240" w:lineRule="auto"/>
        <w:ind w:left="0"/>
        <w:jc w:val="both"/>
        <w:rPr>
          <w:rFonts w:ascii="Times New Roman" w:eastAsia="Calibri" w:hAnsi="Times New Roman" w:cs="Times New Roman"/>
          <w:lang w:val="es-ES" w:eastAsia="en-US"/>
        </w:rPr>
      </w:pPr>
    </w:p>
    <w:p w:rsidR="00666798"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val="es-ES" w:eastAsia="en-US"/>
        </w:rPr>
      </w:pPr>
      <w:r w:rsidRPr="005A2345">
        <w:rPr>
          <w:rFonts w:ascii="Times New Roman" w:eastAsia="Calibri" w:hAnsi="Times New Roman" w:cs="Times New Roman"/>
          <w:lang w:eastAsia="en-US"/>
        </w:rPr>
        <w:t>La jurisprudencia ha establecido de forma pacífica y reite</w:t>
      </w:r>
      <w:r w:rsidRPr="005A2345">
        <w:rPr>
          <w:rFonts w:ascii="Times New Roman" w:eastAsia="Calibri" w:hAnsi="Times New Roman" w:cs="Times New Roman"/>
          <w:lang w:eastAsia="en-US"/>
        </w:rPr>
        <w:t>rada los requisitos constitucionales para definir si una restricción al derecho al acceso a la información pública, y particularmente, una reserva de información es legítima o no. En la sentencia C-491 de 2007 se recogieron estos requisitos, y se han reite</w:t>
      </w:r>
      <w:r w:rsidRPr="005A2345">
        <w:rPr>
          <w:rFonts w:ascii="Times New Roman" w:eastAsia="Calibri" w:hAnsi="Times New Roman" w:cs="Times New Roman"/>
          <w:lang w:eastAsia="en-US"/>
        </w:rPr>
        <w:t>rado en sentencias posteriores, como la</w:t>
      </w:r>
      <w:r w:rsidRPr="005A2345">
        <w:rPr>
          <w:rFonts w:ascii="Times New Roman" w:eastAsia="Calibri" w:hAnsi="Times New Roman" w:cs="Times New Roman"/>
          <w:lang w:eastAsia="en-US"/>
        </w:rPr>
        <w:t>s</w:t>
      </w:r>
      <w:r w:rsidRPr="005A2345">
        <w:rPr>
          <w:rFonts w:ascii="Times New Roman" w:eastAsia="Calibri" w:hAnsi="Times New Roman" w:cs="Times New Roman"/>
          <w:lang w:eastAsia="en-US"/>
        </w:rPr>
        <w:t xml:space="preserve"> C-540 de 2012, C-274 de 2013, C-951 de 2014, C-017 de 2018 y SU-355 de 2022. </w:t>
      </w:r>
    </w:p>
    <w:p w:rsidR="00666798" w:rsidRPr="005A2345" w:rsidRDefault="005A2345" w:rsidP="00F77776">
      <w:pPr>
        <w:jc w:val="both"/>
        <w:rPr>
          <w:rFonts w:ascii="Times New Roman" w:eastAsia="Calibri" w:hAnsi="Times New Roman" w:cs="Times New Roman"/>
          <w:sz w:val="28"/>
          <w:szCs w:val="28"/>
          <w:lang w:eastAsia="en-US"/>
        </w:rPr>
      </w:pPr>
    </w:p>
    <w:p w:rsidR="00666798" w:rsidRPr="005A2345" w:rsidRDefault="005A2345" w:rsidP="00076595">
      <w:pPr>
        <w:numPr>
          <w:ilvl w:val="0"/>
          <w:numId w:val="6"/>
        </w:numPr>
        <w:contextualSpacing/>
        <w:jc w:val="both"/>
        <w:rPr>
          <w:rFonts w:ascii="Times New Roman" w:eastAsia="Calibri" w:hAnsi="Times New Roman" w:cs="Times New Roman"/>
          <w:sz w:val="28"/>
          <w:szCs w:val="28"/>
          <w:lang w:eastAsia="en-US"/>
        </w:rPr>
      </w:pPr>
      <w:r w:rsidRPr="005A2345">
        <w:rPr>
          <w:rFonts w:ascii="Times New Roman" w:eastAsia="Calibri" w:hAnsi="Times New Roman" w:cs="Times New Roman"/>
          <w:sz w:val="28"/>
          <w:szCs w:val="28"/>
          <w:lang w:eastAsia="en-US"/>
        </w:rPr>
        <w:t>Toda reserva de información debe estar prevista y autorizada en la Constitución o en la ley, pues el mismo artículo 74 de la Constitució</w:t>
      </w:r>
      <w:r w:rsidRPr="005A2345">
        <w:rPr>
          <w:rFonts w:ascii="Times New Roman" w:eastAsia="Calibri" w:hAnsi="Times New Roman" w:cs="Times New Roman"/>
          <w:sz w:val="28"/>
          <w:szCs w:val="28"/>
          <w:lang w:eastAsia="en-US"/>
        </w:rPr>
        <w:t xml:space="preserve">n dispone que «todas las personas tienen derecho a acceder a los documentos públicos </w:t>
      </w:r>
      <w:r w:rsidRPr="005A2345">
        <w:rPr>
          <w:rFonts w:ascii="Times New Roman" w:eastAsia="Calibri" w:hAnsi="Times New Roman" w:cs="Times New Roman"/>
          <w:b/>
          <w:bCs/>
          <w:sz w:val="28"/>
          <w:szCs w:val="28"/>
          <w:lang w:eastAsia="en-US"/>
        </w:rPr>
        <w:t>salvo los casos que establezca la ley</w:t>
      </w:r>
      <w:r w:rsidRPr="005A2345">
        <w:rPr>
          <w:rFonts w:ascii="Times New Roman" w:eastAsia="Calibri" w:hAnsi="Times New Roman" w:cs="Times New Roman"/>
          <w:sz w:val="28"/>
          <w:szCs w:val="28"/>
          <w:lang w:eastAsia="en-US"/>
        </w:rPr>
        <w:t>» (énfasis propio).</w:t>
      </w:r>
    </w:p>
    <w:p w:rsidR="00666798" w:rsidRPr="005A2345" w:rsidRDefault="005A2345" w:rsidP="00076595">
      <w:pPr>
        <w:numPr>
          <w:ilvl w:val="0"/>
          <w:numId w:val="6"/>
        </w:numPr>
        <w:contextualSpacing/>
        <w:jc w:val="both"/>
        <w:rPr>
          <w:rFonts w:ascii="Times New Roman" w:eastAsia="Calibri" w:hAnsi="Times New Roman" w:cs="Times New Roman"/>
          <w:sz w:val="28"/>
          <w:szCs w:val="28"/>
          <w:lang w:eastAsia="en-US"/>
        </w:rPr>
      </w:pPr>
      <w:r w:rsidRPr="005A2345">
        <w:rPr>
          <w:rFonts w:ascii="Times New Roman" w:eastAsia="Calibri" w:hAnsi="Times New Roman" w:cs="Times New Roman"/>
          <w:sz w:val="28"/>
          <w:szCs w:val="28"/>
          <w:lang w:eastAsia="en-US"/>
        </w:rPr>
        <w:t>La norma que la consagra debe ser clara, precisa y su interpretación debe ser restrictiva.</w:t>
      </w:r>
      <w:r w:rsidRPr="005A2345">
        <w:rPr>
          <w:rFonts w:ascii="Times New Roman" w:eastAsia="Calibri" w:hAnsi="Times New Roman" w:cs="Times New Roman"/>
          <w:sz w:val="28"/>
          <w:szCs w:val="28"/>
          <w:vertAlign w:val="superscript"/>
          <w:lang w:eastAsia="en-US"/>
        </w:rPr>
        <w:footnoteReference w:id="35"/>
      </w:r>
      <w:r w:rsidRPr="005A2345">
        <w:rPr>
          <w:rFonts w:ascii="Times New Roman" w:eastAsia="Calibri" w:hAnsi="Times New Roman" w:cs="Times New Roman"/>
          <w:sz w:val="28"/>
          <w:szCs w:val="28"/>
          <w:lang w:eastAsia="en-US"/>
        </w:rPr>
        <w:t xml:space="preserve"> Sobre este punto, la Corte determinó que «[l]a ley que limita el derecho fundamental de acceso a la libertad de información debe ser precisa y clara al definir qué tipo de información puede ser objeto de reserva y qué autoridades pueden establecer dicha r</w:t>
      </w:r>
      <w:r w:rsidRPr="005A2345">
        <w:rPr>
          <w:rFonts w:ascii="Times New Roman" w:eastAsia="Calibri" w:hAnsi="Times New Roman" w:cs="Times New Roman"/>
          <w:sz w:val="28"/>
          <w:szCs w:val="28"/>
          <w:lang w:eastAsia="en-US"/>
        </w:rPr>
        <w:t>eserva. En efecto, la Constitución en este sentido rechaza las normas genéricas o vagas que pueden terminar siendo una especie de habilitación general a las autoridades para mantener en secreto toda la información que discrecionalmente consideren adecuado.</w:t>
      </w:r>
      <w:r w:rsidRPr="005A2345">
        <w:rPr>
          <w:rFonts w:ascii="Times New Roman" w:eastAsia="Calibri" w:hAnsi="Times New Roman" w:cs="Times New Roman"/>
          <w:sz w:val="28"/>
          <w:szCs w:val="28"/>
          <w:lang w:eastAsia="en-US"/>
        </w:rPr>
        <w:t> Para que esto no ocurra y no se invierta la regla general de la publicidad, l</w:t>
      </w:r>
      <w:r w:rsidRPr="005A2345">
        <w:rPr>
          <w:rFonts w:ascii="Times New Roman" w:eastAsia="Calibri" w:hAnsi="Times New Roman" w:cs="Times New Roman"/>
          <w:sz w:val="28"/>
          <w:szCs w:val="28"/>
          <w:lang w:val="es-ES_tradnl" w:eastAsia="en-US"/>
        </w:rPr>
        <w:t>a ley debe establecer con claridad y precisión el tipo de información que puede ser objeto de reserva, las condiciones en las cuales dicha reserva puede oponerse a los ciudadanos</w:t>
      </w:r>
      <w:r w:rsidRPr="005A2345">
        <w:rPr>
          <w:rFonts w:ascii="Times New Roman" w:eastAsia="Calibri" w:hAnsi="Times New Roman" w:cs="Times New Roman"/>
          <w:sz w:val="28"/>
          <w:szCs w:val="28"/>
          <w:lang w:val="es-ES_tradnl" w:eastAsia="en-US"/>
        </w:rPr>
        <w:t>, las autoridades que pueden aplicarla y los sistemas de control que operan sobre las actuaciones que por tal razón permanecen reservadas».</w:t>
      </w:r>
      <w:r w:rsidRPr="005A2345">
        <w:rPr>
          <w:rFonts w:ascii="Times New Roman" w:eastAsia="Calibri" w:hAnsi="Times New Roman" w:cs="Times New Roman"/>
          <w:sz w:val="28"/>
          <w:szCs w:val="28"/>
          <w:vertAlign w:val="superscript"/>
          <w:lang w:val="es-ES_tradnl" w:eastAsia="en-US"/>
        </w:rPr>
        <w:footnoteReference w:id="36"/>
      </w:r>
    </w:p>
    <w:p w:rsidR="00666798" w:rsidRPr="005A2345" w:rsidRDefault="005A2345" w:rsidP="00076595">
      <w:pPr>
        <w:numPr>
          <w:ilvl w:val="0"/>
          <w:numId w:val="6"/>
        </w:numPr>
        <w:contextualSpacing/>
        <w:jc w:val="both"/>
        <w:rPr>
          <w:rFonts w:ascii="Times New Roman" w:eastAsia="Calibri" w:hAnsi="Times New Roman" w:cs="Times New Roman"/>
          <w:sz w:val="28"/>
          <w:szCs w:val="28"/>
          <w:lang w:eastAsia="en-US"/>
        </w:rPr>
      </w:pPr>
      <w:r w:rsidRPr="005A2345">
        <w:rPr>
          <w:rFonts w:ascii="Times New Roman" w:eastAsia="Calibri" w:hAnsi="Times New Roman" w:cs="Times New Roman"/>
          <w:sz w:val="28"/>
          <w:szCs w:val="28"/>
          <w:lang w:eastAsia="en-US"/>
        </w:rPr>
        <w:t>Ante la ausencia de reserva expresa, debe presumirse el derecho al acceso a la información y documentación, en virt</w:t>
      </w:r>
      <w:r w:rsidRPr="005A2345">
        <w:rPr>
          <w:rFonts w:ascii="Times New Roman" w:eastAsia="Calibri" w:hAnsi="Times New Roman" w:cs="Times New Roman"/>
          <w:sz w:val="28"/>
          <w:szCs w:val="28"/>
          <w:lang w:eastAsia="en-US"/>
        </w:rPr>
        <w:t>ud del principio de máxima divulgación.</w:t>
      </w:r>
      <w:r w:rsidRPr="005A2345">
        <w:rPr>
          <w:rFonts w:ascii="Times New Roman" w:eastAsia="Calibri" w:hAnsi="Times New Roman" w:cs="Times New Roman"/>
          <w:sz w:val="28"/>
          <w:szCs w:val="28"/>
          <w:vertAlign w:val="superscript"/>
          <w:lang w:eastAsia="en-US"/>
        </w:rPr>
        <w:footnoteReference w:id="37"/>
      </w:r>
      <w:r w:rsidRPr="005A2345">
        <w:rPr>
          <w:rFonts w:ascii="Times New Roman" w:eastAsia="Calibri" w:hAnsi="Times New Roman" w:cs="Times New Roman"/>
          <w:sz w:val="28"/>
          <w:szCs w:val="28"/>
          <w:lang w:eastAsia="en-US"/>
        </w:rPr>
        <w:t xml:space="preserve"> </w:t>
      </w:r>
    </w:p>
    <w:p w:rsidR="00666798" w:rsidRPr="005A2345" w:rsidRDefault="005A2345" w:rsidP="00076595">
      <w:pPr>
        <w:numPr>
          <w:ilvl w:val="0"/>
          <w:numId w:val="6"/>
        </w:numPr>
        <w:contextualSpacing/>
        <w:jc w:val="both"/>
        <w:rPr>
          <w:rFonts w:ascii="Times New Roman" w:eastAsia="Calibri" w:hAnsi="Times New Roman" w:cs="Times New Roman"/>
          <w:sz w:val="28"/>
          <w:szCs w:val="28"/>
          <w:lang w:eastAsia="en-US"/>
        </w:rPr>
      </w:pPr>
      <w:r w:rsidRPr="005A2345">
        <w:rPr>
          <w:rFonts w:ascii="Times New Roman" w:eastAsia="Calibri" w:hAnsi="Times New Roman" w:cs="Times New Roman"/>
          <w:sz w:val="28"/>
          <w:szCs w:val="28"/>
          <w:lang w:eastAsia="en-US"/>
        </w:rPr>
        <w:t>En caso de denegarse el acceso a una información pública por ser reservada, la entidad o funcionario estatal competente, deberá motivar por escrito la decisión y fundarla en la norma legal o constitucional que la a</w:t>
      </w:r>
      <w:r w:rsidRPr="005A2345">
        <w:rPr>
          <w:rFonts w:ascii="Times New Roman" w:eastAsia="Calibri" w:hAnsi="Times New Roman" w:cs="Times New Roman"/>
          <w:sz w:val="28"/>
          <w:szCs w:val="28"/>
          <w:lang w:eastAsia="en-US"/>
        </w:rPr>
        <w:t xml:space="preserve">utoriza. </w:t>
      </w:r>
    </w:p>
    <w:p w:rsidR="00666798" w:rsidRPr="005A2345" w:rsidRDefault="005A2345" w:rsidP="00076595">
      <w:pPr>
        <w:numPr>
          <w:ilvl w:val="0"/>
          <w:numId w:val="6"/>
        </w:numPr>
        <w:contextualSpacing/>
        <w:jc w:val="both"/>
        <w:rPr>
          <w:rFonts w:ascii="Times New Roman" w:eastAsia="Calibri" w:hAnsi="Times New Roman" w:cs="Times New Roman"/>
          <w:sz w:val="28"/>
          <w:szCs w:val="28"/>
          <w:lang w:eastAsia="en-US"/>
        </w:rPr>
      </w:pPr>
      <w:r w:rsidRPr="005A2345">
        <w:rPr>
          <w:rFonts w:ascii="Times New Roman" w:eastAsia="Calibri" w:hAnsi="Times New Roman" w:cs="Times New Roman"/>
          <w:sz w:val="28"/>
          <w:szCs w:val="28"/>
          <w:lang w:eastAsia="en-US"/>
        </w:rPr>
        <w:t>Toda reserva debe tener una vigencia temporal y ser susceptible de ser controvertida mediante recursos administrativos o judiciales.</w:t>
      </w:r>
    </w:p>
    <w:p w:rsidR="00666798" w:rsidRPr="005A2345" w:rsidRDefault="005A2345" w:rsidP="00076595">
      <w:pPr>
        <w:numPr>
          <w:ilvl w:val="0"/>
          <w:numId w:val="6"/>
        </w:numPr>
        <w:contextualSpacing/>
        <w:jc w:val="both"/>
        <w:rPr>
          <w:rFonts w:ascii="Times New Roman" w:eastAsia="Calibri" w:hAnsi="Times New Roman" w:cs="Times New Roman"/>
          <w:sz w:val="28"/>
          <w:szCs w:val="28"/>
          <w:lang w:eastAsia="en-US"/>
        </w:rPr>
      </w:pPr>
      <w:r w:rsidRPr="005A2345">
        <w:rPr>
          <w:rFonts w:ascii="Times New Roman" w:eastAsia="Calibri" w:hAnsi="Times New Roman" w:cs="Times New Roman"/>
          <w:sz w:val="28"/>
          <w:szCs w:val="28"/>
          <w:lang w:eastAsia="en-US"/>
        </w:rPr>
        <w:t xml:space="preserve">Durante el período amparado por la reserva la información debe ser adecuadamente custodiada de forma tal que </w:t>
      </w:r>
      <w:r w:rsidRPr="005A2345">
        <w:rPr>
          <w:rFonts w:ascii="Times New Roman" w:eastAsia="Calibri" w:hAnsi="Times New Roman" w:cs="Times New Roman"/>
          <w:sz w:val="28"/>
          <w:szCs w:val="28"/>
          <w:lang w:eastAsia="en-US"/>
        </w:rPr>
        <w:t>resulte posible su posterior publicidad.</w:t>
      </w:r>
    </w:p>
    <w:p w:rsidR="00666798" w:rsidRPr="005A2345" w:rsidRDefault="005A2345" w:rsidP="00076595">
      <w:pPr>
        <w:numPr>
          <w:ilvl w:val="0"/>
          <w:numId w:val="6"/>
        </w:numPr>
        <w:contextualSpacing/>
        <w:jc w:val="both"/>
        <w:rPr>
          <w:rFonts w:ascii="Times New Roman" w:eastAsia="Calibri" w:hAnsi="Times New Roman" w:cs="Times New Roman"/>
          <w:sz w:val="28"/>
          <w:szCs w:val="28"/>
          <w:lang w:eastAsia="en-US"/>
        </w:rPr>
      </w:pPr>
      <w:r w:rsidRPr="005A2345">
        <w:rPr>
          <w:rFonts w:ascii="Times New Roman" w:eastAsia="Calibri" w:hAnsi="Times New Roman" w:cs="Times New Roman"/>
          <w:sz w:val="28"/>
          <w:szCs w:val="28"/>
          <w:lang w:eastAsia="en-US"/>
        </w:rPr>
        <w:t>La reserva debe operar respecto del contenido de un documento público, pero no en relación con su existencia.</w:t>
      </w:r>
      <w:r w:rsidRPr="005A2345">
        <w:rPr>
          <w:rFonts w:ascii="Times New Roman" w:eastAsia="Calibri" w:hAnsi="Times New Roman" w:cs="Times New Roman"/>
          <w:sz w:val="28"/>
          <w:szCs w:val="28"/>
          <w:vertAlign w:val="superscript"/>
          <w:lang w:eastAsia="en-US"/>
        </w:rPr>
        <w:footnoteReference w:id="38"/>
      </w:r>
      <w:r w:rsidRPr="005A2345">
        <w:rPr>
          <w:rFonts w:ascii="Times New Roman" w:eastAsia="Calibri" w:hAnsi="Times New Roman" w:cs="Times New Roman"/>
          <w:sz w:val="28"/>
          <w:szCs w:val="28"/>
          <w:lang w:eastAsia="en-US"/>
        </w:rPr>
        <w:t xml:space="preserve"> Además, se ha precisado que «la reserva puede ser oponible a los ciudadanos</w:t>
      </w:r>
      <w:r w:rsidRPr="005A2345">
        <w:rPr>
          <w:rFonts w:ascii="Times New Roman" w:eastAsia="Calibri" w:hAnsi="Times New Roman" w:cs="Times New Roman"/>
          <w:sz w:val="28"/>
          <w:szCs w:val="28"/>
          <w:lang w:eastAsia="en-US"/>
        </w:rPr>
        <w:t>,</w:t>
      </w:r>
      <w:r w:rsidRPr="005A2345">
        <w:rPr>
          <w:rFonts w:ascii="Times New Roman" w:eastAsia="Calibri" w:hAnsi="Times New Roman" w:cs="Times New Roman"/>
          <w:sz w:val="28"/>
          <w:szCs w:val="28"/>
          <w:lang w:eastAsia="en-US"/>
        </w:rPr>
        <w:t xml:space="preserve"> pero no puede convertirse e</w:t>
      </w:r>
      <w:r w:rsidRPr="005A2345">
        <w:rPr>
          <w:rFonts w:ascii="Times New Roman" w:eastAsia="Calibri" w:hAnsi="Times New Roman" w:cs="Times New Roman"/>
          <w:sz w:val="28"/>
          <w:szCs w:val="28"/>
          <w:lang w:eastAsia="en-US"/>
        </w:rPr>
        <w:t>n una barrera para impedir el control intra o inter</w:t>
      </w:r>
      <w:r w:rsidRPr="005A2345">
        <w:rPr>
          <w:rFonts w:ascii="Times New Roman" w:eastAsia="Calibri" w:hAnsi="Times New Roman" w:cs="Times New Roman"/>
          <w:sz w:val="28"/>
          <w:szCs w:val="28"/>
          <w:lang w:eastAsia="en-US"/>
        </w:rPr>
        <w:t xml:space="preserve"> </w:t>
      </w:r>
      <w:r w:rsidRPr="005A2345">
        <w:rPr>
          <w:rFonts w:ascii="Times New Roman" w:eastAsia="Calibri" w:hAnsi="Times New Roman" w:cs="Times New Roman"/>
          <w:sz w:val="28"/>
          <w:szCs w:val="28"/>
          <w:lang w:eastAsia="en-US"/>
        </w:rPr>
        <w:t>orgánico, jurídico y político, de las decisiones y actuaciones públicas de que da cuenta la información reservada».</w:t>
      </w:r>
      <w:r w:rsidRPr="005A2345">
        <w:rPr>
          <w:rFonts w:ascii="Times New Roman" w:eastAsia="Calibri" w:hAnsi="Times New Roman" w:cs="Times New Roman"/>
          <w:sz w:val="28"/>
          <w:szCs w:val="28"/>
          <w:vertAlign w:val="superscript"/>
          <w:lang w:eastAsia="en-US"/>
        </w:rPr>
        <w:footnoteReference w:id="39"/>
      </w:r>
    </w:p>
    <w:p w:rsidR="00666798" w:rsidRPr="005A2345" w:rsidRDefault="005A2345" w:rsidP="00076595">
      <w:pPr>
        <w:numPr>
          <w:ilvl w:val="0"/>
          <w:numId w:val="6"/>
        </w:numPr>
        <w:contextualSpacing/>
        <w:jc w:val="both"/>
        <w:rPr>
          <w:rFonts w:ascii="Times New Roman" w:eastAsia="Calibri" w:hAnsi="Times New Roman" w:cs="Times New Roman"/>
          <w:sz w:val="28"/>
          <w:szCs w:val="28"/>
          <w:lang w:eastAsia="en-US"/>
        </w:rPr>
      </w:pPr>
      <w:r w:rsidRPr="005A2345">
        <w:rPr>
          <w:rFonts w:ascii="Times New Roman" w:eastAsia="Calibri" w:hAnsi="Times New Roman" w:cs="Times New Roman"/>
          <w:sz w:val="28"/>
          <w:szCs w:val="28"/>
          <w:lang w:eastAsia="en-US"/>
        </w:rPr>
        <w:t>La reserva legal solo puede operar sobre aquella información que afecta derechos fundam</w:t>
      </w:r>
      <w:r w:rsidRPr="005A2345">
        <w:rPr>
          <w:rFonts w:ascii="Times New Roman" w:eastAsia="Calibri" w:hAnsi="Times New Roman" w:cs="Times New Roman"/>
          <w:sz w:val="28"/>
          <w:szCs w:val="28"/>
          <w:lang w:eastAsia="en-US"/>
        </w:rPr>
        <w:t>entales o bienes públicos relevantes y no sobre todo el proceso en el cual se produce aquella información.</w:t>
      </w:r>
    </w:p>
    <w:p w:rsidR="00666798" w:rsidRPr="005A2345" w:rsidRDefault="005A2345" w:rsidP="00076595">
      <w:pPr>
        <w:numPr>
          <w:ilvl w:val="0"/>
          <w:numId w:val="6"/>
        </w:numPr>
        <w:contextualSpacing/>
        <w:jc w:val="both"/>
        <w:rPr>
          <w:rFonts w:ascii="Times New Roman" w:eastAsia="Calibri" w:hAnsi="Times New Roman" w:cs="Times New Roman"/>
          <w:sz w:val="28"/>
          <w:szCs w:val="28"/>
          <w:lang w:eastAsia="en-US"/>
        </w:rPr>
      </w:pPr>
      <w:r w:rsidRPr="005A2345">
        <w:rPr>
          <w:rFonts w:ascii="Times New Roman" w:eastAsia="Calibri" w:hAnsi="Times New Roman" w:cs="Times New Roman"/>
          <w:sz w:val="28"/>
          <w:szCs w:val="28"/>
          <w:lang w:eastAsia="en-US"/>
        </w:rPr>
        <w:t>La reserva no puede involucrar información que por mandato constitucional debe ser pública.</w:t>
      </w:r>
      <w:r w:rsidRPr="005A2345">
        <w:rPr>
          <w:rFonts w:ascii="Times New Roman" w:eastAsia="Calibri" w:hAnsi="Times New Roman" w:cs="Times New Roman"/>
          <w:sz w:val="28"/>
          <w:szCs w:val="28"/>
          <w:vertAlign w:val="superscript"/>
          <w:lang w:eastAsia="en-US"/>
        </w:rPr>
        <w:footnoteReference w:id="40"/>
      </w:r>
    </w:p>
    <w:p w:rsidR="00666798" w:rsidRPr="005A2345" w:rsidRDefault="005A2345" w:rsidP="00076595">
      <w:pPr>
        <w:numPr>
          <w:ilvl w:val="0"/>
          <w:numId w:val="6"/>
        </w:numPr>
        <w:contextualSpacing/>
        <w:jc w:val="both"/>
        <w:rPr>
          <w:rFonts w:ascii="Times New Roman" w:eastAsia="Calibri" w:hAnsi="Times New Roman" w:cs="Times New Roman"/>
          <w:sz w:val="28"/>
          <w:szCs w:val="28"/>
          <w:lang w:eastAsia="en-US"/>
        </w:rPr>
      </w:pPr>
      <w:r w:rsidRPr="005A2345">
        <w:rPr>
          <w:rFonts w:ascii="Times New Roman" w:eastAsia="Calibri" w:hAnsi="Times New Roman" w:cs="Times New Roman"/>
          <w:sz w:val="28"/>
          <w:szCs w:val="28"/>
          <w:lang w:eastAsia="en-US"/>
        </w:rPr>
        <w:t>La reserva cobija a los funcionarios públicos, pero no h</w:t>
      </w:r>
      <w:r w:rsidRPr="005A2345">
        <w:rPr>
          <w:rFonts w:ascii="Times New Roman" w:eastAsia="Calibri" w:hAnsi="Times New Roman" w:cs="Times New Roman"/>
          <w:sz w:val="28"/>
          <w:szCs w:val="28"/>
          <w:lang w:eastAsia="en-US"/>
        </w:rPr>
        <w:t>abilita al Estado para censurar la publicación de dicha información cuando los periodistas han logrado obtenerla. </w:t>
      </w:r>
    </w:p>
    <w:p w:rsidR="00666798" w:rsidRPr="005A2345" w:rsidRDefault="005A2345" w:rsidP="00076595">
      <w:pPr>
        <w:numPr>
          <w:ilvl w:val="0"/>
          <w:numId w:val="6"/>
        </w:numPr>
        <w:contextualSpacing/>
        <w:jc w:val="both"/>
        <w:rPr>
          <w:rFonts w:ascii="Times New Roman" w:eastAsia="Calibri" w:hAnsi="Times New Roman" w:cs="Times New Roman"/>
          <w:sz w:val="28"/>
          <w:szCs w:val="28"/>
          <w:lang w:eastAsia="en-US"/>
        </w:rPr>
      </w:pPr>
      <w:r w:rsidRPr="005A2345">
        <w:rPr>
          <w:rFonts w:ascii="Times New Roman" w:eastAsia="Calibri" w:hAnsi="Times New Roman" w:cs="Times New Roman"/>
          <w:sz w:val="28"/>
          <w:szCs w:val="28"/>
          <w:lang w:eastAsia="en-US"/>
        </w:rPr>
        <w:t>La reserva debe estar sujeta a los principios de razonabilidad y proporcionalidad. En esa medida, el juez que tenga conocimiento de un caso e</w:t>
      </w:r>
      <w:r w:rsidRPr="005A2345">
        <w:rPr>
          <w:rFonts w:ascii="Times New Roman" w:eastAsia="Calibri" w:hAnsi="Times New Roman" w:cs="Times New Roman"/>
          <w:sz w:val="28"/>
          <w:szCs w:val="28"/>
          <w:lang w:eastAsia="en-US"/>
        </w:rPr>
        <w:t xml:space="preserve">n el que se deniegue el acceso a la información por estar reservada, debe analizar el caso bajo estos parámetros. </w:t>
      </w:r>
    </w:p>
    <w:p w:rsidR="00666798" w:rsidRPr="005A2345" w:rsidRDefault="005A2345" w:rsidP="00F77776">
      <w:pPr>
        <w:tabs>
          <w:tab w:val="left" w:pos="426"/>
        </w:tabs>
        <w:jc w:val="both"/>
        <w:rPr>
          <w:rFonts w:ascii="Times New Roman" w:eastAsia="Calibri" w:hAnsi="Times New Roman" w:cs="Times New Roman"/>
          <w:sz w:val="28"/>
          <w:szCs w:val="28"/>
          <w:lang w:eastAsia="en-US"/>
        </w:rPr>
      </w:pPr>
    </w:p>
    <w:p w:rsidR="00666798"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Sobre este último criterio, la jurisprudencia constitucional identificó varios casos en los que la reserva de información es legítima porque</w:t>
      </w:r>
      <w:r w:rsidRPr="005A2345">
        <w:rPr>
          <w:rFonts w:ascii="Times New Roman" w:eastAsia="Calibri" w:hAnsi="Times New Roman" w:cs="Times New Roman"/>
          <w:lang w:eastAsia="en-US"/>
        </w:rPr>
        <w:t xml:space="preserve"> persigue la protección de derechos fundamentales o de bienes jurídicos trascendentales en una sociedad democrática: </w:t>
      </w:r>
    </w:p>
    <w:p w:rsidR="00666798" w:rsidRPr="005A2345" w:rsidRDefault="005A2345" w:rsidP="0082425F">
      <w:pPr>
        <w:tabs>
          <w:tab w:val="left" w:pos="426"/>
        </w:tabs>
        <w:jc w:val="both"/>
        <w:rPr>
          <w:rFonts w:ascii="Times New Roman" w:eastAsia="Calibri" w:hAnsi="Times New Roman" w:cs="Times New Roman"/>
          <w:sz w:val="28"/>
          <w:szCs w:val="28"/>
          <w:lang w:eastAsia="en-US"/>
        </w:rPr>
      </w:pPr>
    </w:p>
    <w:p w:rsidR="00666798" w:rsidRPr="005A2345" w:rsidRDefault="005A2345" w:rsidP="00666798">
      <w:pPr>
        <w:ind w:left="851" w:right="616"/>
        <w:jc w:val="both"/>
        <w:rPr>
          <w:rFonts w:ascii="Times New Roman" w:eastAsia="Calibri" w:hAnsi="Times New Roman" w:cs="Times New Roman"/>
          <w:sz w:val="28"/>
          <w:szCs w:val="26"/>
          <w:lang w:eastAsia="en-US"/>
        </w:rPr>
      </w:pPr>
      <w:r w:rsidRPr="005A2345">
        <w:rPr>
          <w:rFonts w:ascii="Times New Roman" w:eastAsia="Calibri" w:hAnsi="Times New Roman" w:cs="Times New Roman"/>
          <w:sz w:val="28"/>
          <w:szCs w:val="26"/>
          <w:lang w:eastAsia="en-US"/>
        </w:rPr>
        <w:t>«(i) el amparo de los derechos de terceros que puedan resultar afectados con la publicación de la información; (ii) la protección de bienes constitucionalmente valiosos como la seguridad y defensa nacionales, el orden público, la salud y la moralidad públi</w:t>
      </w:r>
      <w:r w:rsidRPr="005A2345">
        <w:rPr>
          <w:rFonts w:ascii="Times New Roman" w:eastAsia="Calibri" w:hAnsi="Times New Roman" w:cs="Times New Roman"/>
          <w:sz w:val="28"/>
          <w:szCs w:val="26"/>
          <w:lang w:eastAsia="en-US"/>
        </w:rPr>
        <w:t xml:space="preserve">cas; (iii) la eficacia de algunas investigaciones judiciales o administrativas; y, (iv) los secretos industriales y comerciales. Estas condiciones permiten a la Corte plantear una conclusión importante: aunque el Legislador está habilitado para establecer </w:t>
      </w:r>
      <w:r w:rsidRPr="005A2345">
        <w:rPr>
          <w:rFonts w:ascii="Times New Roman" w:eastAsia="Calibri" w:hAnsi="Times New Roman" w:cs="Times New Roman"/>
          <w:sz w:val="28"/>
          <w:szCs w:val="26"/>
          <w:lang w:eastAsia="en-US"/>
        </w:rPr>
        <w:t>modalidades de reserva en el acceso a la información pública, en todo caso, carece de un amplio margen de configuración sobre la materia. Antes bien, la validez de esas excepciones está regida por un criterio de razón suficiente y bajo el cumplimiento de u</w:t>
      </w:r>
      <w:r w:rsidRPr="005A2345">
        <w:rPr>
          <w:rFonts w:ascii="Times New Roman" w:eastAsia="Calibri" w:hAnsi="Times New Roman" w:cs="Times New Roman"/>
          <w:sz w:val="28"/>
          <w:szCs w:val="26"/>
          <w:lang w:eastAsia="en-US"/>
        </w:rPr>
        <w:t>n juicio estricto de proporcionalidad. Ello significa que las limitaciones serán compatibles con la Constitución cuando resulten indispensables para cumplir con fines o bienes constitucionalmente imperiosos. Esta exigencia proviene de reconocer, como se ha</w:t>
      </w:r>
      <w:r w:rsidRPr="005A2345">
        <w:rPr>
          <w:rFonts w:ascii="Times New Roman" w:eastAsia="Calibri" w:hAnsi="Times New Roman" w:cs="Times New Roman"/>
          <w:sz w:val="28"/>
          <w:szCs w:val="26"/>
          <w:lang w:eastAsia="en-US"/>
        </w:rPr>
        <w:t xml:space="preserve"> expresado en fundamentos jurídicos anteriores, que las reservas de acceso a la información pública resultan particularmente gravosas para la preservación del régimen democrático, lo que exige una estipulación legal cuidadosa, excepcional, precisa y someti</w:t>
      </w:r>
      <w:r w:rsidRPr="005A2345">
        <w:rPr>
          <w:rFonts w:ascii="Times New Roman" w:eastAsia="Calibri" w:hAnsi="Times New Roman" w:cs="Times New Roman"/>
          <w:sz w:val="28"/>
          <w:szCs w:val="26"/>
          <w:lang w:eastAsia="en-US"/>
        </w:rPr>
        <w:t>da a criterios taxativos de interpretación».</w:t>
      </w:r>
      <w:r w:rsidRPr="005A2345">
        <w:rPr>
          <w:rFonts w:ascii="Times New Roman" w:eastAsia="Calibri" w:hAnsi="Times New Roman" w:cs="Times New Roman"/>
          <w:sz w:val="28"/>
          <w:szCs w:val="26"/>
          <w:vertAlign w:val="superscript"/>
          <w:lang w:eastAsia="en-US"/>
        </w:rPr>
        <w:footnoteReference w:id="41"/>
      </w:r>
    </w:p>
    <w:p w:rsidR="00666798" w:rsidRPr="005A2345" w:rsidRDefault="005A2345" w:rsidP="00213A11">
      <w:pPr>
        <w:jc w:val="both"/>
        <w:rPr>
          <w:rFonts w:ascii="Times New Roman" w:eastAsia="Calibri" w:hAnsi="Times New Roman" w:cs="Times New Roman"/>
          <w:sz w:val="28"/>
          <w:szCs w:val="28"/>
          <w:lang w:eastAsia="en-US"/>
        </w:rPr>
      </w:pPr>
    </w:p>
    <w:p w:rsidR="00213A11"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Cabe precisar que estas reglas jurisprudenciales fueron asumidas por el legislador estatutario a través de la Ley Estatutaria 1712 de 2014 «Por medio de la cual se crea la Ley de Transparencia y del Derecho de</w:t>
      </w:r>
      <w:r w:rsidRPr="005A2345">
        <w:rPr>
          <w:rFonts w:ascii="Times New Roman" w:eastAsia="Calibri" w:hAnsi="Times New Roman" w:cs="Times New Roman"/>
          <w:lang w:eastAsia="en-US"/>
        </w:rPr>
        <w:t xml:space="preserve"> Acceso a la Información Pública Nacional y se dictan otras disposiciones». En este cuerpo normativo se desarrolla de forma detallada el ejercicio del derecho al acceso a la información pública y las excepciones a la publicidad de la información. Así, esta</w:t>
      </w:r>
      <w:r w:rsidRPr="005A2345">
        <w:rPr>
          <w:rFonts w:ascii="Times New Roman" w:eastAsia="Calibri" w:hAnsi="Times New Roman" w:cs="Times New Roman"/>
          <w:lang w:eastAsia="en-US"/>
        </w:rPr>
        <w:t>blece el marco normativo esencial para garantizar el ejercicio de los derechos reconocidos en los artículos 20 y 74 de la Constitución Política. Establece como principio preponderante de la interpretación de la ley el de la «máxima publicidad para el titul</w:t>
      </w:r>
      <w:r w:rsidRPr="005A2345">
        <w:rPr>
          <w:rFonts w:ascii="Times New Roman" w:eastAsia="Calibri" w:hAnsi="Times New Roman" w:cs="Times New Roman"/>
          <w:lang w:eastAsia="en-US"/>
        </w:rPr>
        <w:t>ar universal», y lo define como «[t]oda información en posesión, bajo control o custodia de un sujeto obligado es pública y no podrá ser reservada o limitada sino por disposición constitucional o legal, de conformidad con la presente ley».</w:t>
      </w:r>
      <w:r w:rsidRPr="005A2345">
        <w:rPr>
          <w:rFonts w:ascii="Times New Roman" w:eastAsia="Calibri" w:hAnsi="Times New Roman" w:cs="Times New Roman"/>
          <w:vertAlign w:val="superscript"/>
        </w:rPr>
        <w:footnoteReference w:id="42"/>
      </w:r>
      <w:r w:rsidRPr="005A2345">
        <w:rPr>
          <w:rFonts w:ascii="Times New Roman" w:eastAsia="Calibri" w:hAnsi="Times New Roman" w:cs="Times New Roman"/>
          <w:lang w:eastAsia="en-US"/>
        </w:rPr>
        <w:t xml:space="preserve"> Por lo anterior</w:t>
      </w:r>
      <w:r w:rsidRPr="005A2345">
        <w:rPr>
          <w:rFonts w:ascii="Times New Roman" w:eastAsia="Calibri" w:hAnsi="Times New Roman" w:cs="Times New Roman"/>
          <w:lang w:eastAsia="en-US"/>
        </w:rPr>
        <w:t>, es que en el artículo 4 sobre el concepto del derecho se señala que «</w:t>
      </w:r>
      <w:r w:rsidRPr="005A2345">
        <w:rPr>
          <w:rFonts w:ascii="Times New Roman" w:eastAsia="Calibri" w:hAnsi="Times New Roman" w:cs="Times New Roman"/>
          <w:color w:val="4B4949"/>
          <w:lang w:eastAsia="en-US"/>
        </w:rPr>
        <w:t>[e]</w:t>
      </w:r>
      <w:r w:rsidRPr="005A2345">
        <w:rPr>
          <w:rFonts w:ascii="Times New Roman" w:eastAsia="Calibri" w:hAnsi="Times New Roman" w:cs="Times New Roman"/>
          <w:lang w:eastAsia="en-US"/>
        </w:rPr>
        <w:t>l acceso a la información solamente podrá ser restringido excepcionalmente. Las excepciones serán limitadas y proporcionales, deberán estar contempladas en la ley o en la Constitució</w:t>
      </w:r>
      <w:r w:rsidRPr="005A2345">
        <w:rPr>
          <w:rFonts w:ascii="Times New Roman" w:eastAsia="Calibri" w:hAnsi="Times New Roman" w:cs="Times New Roman"/>
          <w:lang w:eastAsia="en-US"/>
        </w:rPr>
        <w:t xml:space="preserve">n y ser acordes con los principios de una sociedad democrática». </w:t>
      </w:r>
    </w:p>
    <w:p w:rsidR="002E7507" w:rsidRPr="005A2345" w:rsidRDefault="005A2345" w:rsidP="002E7507">
      <w:pPr>
        <w:pStyle w:val="Prrafodelista"/>
        <w:spacing w:after="0" w:line="240" w:lineRule="auto"/>
        <w:ind w:left="0"/>
        <w:jc w:val="both"/>
        <w:rPr>
          <w:rFonts w:ascii="Times New Roman" w:eastAsia="Calibri" w:hAnsi="Times New Roman" w:cs="Times New Roman"/>
          <w:lang w:eastAsia="en-US"/>
        </w:rPr>
      </w:pPr>
    </w:p>
    <w:p w:rsidR="00213A11"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Dada la importancia para el asunto que se resuelve en esta oportunidad, la Sala solo se referirá a las disposiciones de la Ley Estatutaria que estipulan las excepciones al acceso a la información. Según la Ley existen dos escenarios en los que es razonable</w:t>
      </w:r>
      <w:r w:rsidRPr="005A2345">
        <w:rPr>
          <w:rFonts w:ascii="Times New Roman" w:eastAsia="Calibri" w:hAnsi="Times New Roman" w:cs="Times New Roman"/>
          <w:lang w:eastAsia="en-US"/>
        </w:rPr>
        <w:t xml:space="preserve"> una reserva: (i) cuando la información se encuentra en poder el sujeto obligado, pero «pertenece al ámbito propio, particular y privado o semiprivado de una persona natural o jurídica por lo que su acceso podrá ser negado o exceptuado, siempre que se trat</w:t>
      </w:r>
      <w:r w:rsidRPr="005A2345">
        <w:rPr>
          <w:rFonts w:ascii="Times New Roman" w:eastAsia="Calibri" w:hAnsi="Times New Roman" w:cs="Times New Roman"/>
          <w:lang w:eastAsia="en-US"/>
        </w:rPr>
        <w:t>e de las circunstancias legítimas y necesarias y los derechos particulares o privados consagrados en el artículo 18 de esta ley» (Art. 6.c). En estos casos, el acceso a la información, podrá ser rechazado o negado por escrito, cuando la entrega de la infor</w:t>
      </w:r>
      <w:r w:rsidRPr="005A2345">
        <w:rPr>
          <w:rFonts w:ascii="Times New Roman" w:eastAsia="Calibri" w:hAnsi="Times New Roman" w:cs="Times New Roman"/>
          <w:lang w:eastAsia="en-US"/>
        </w:rPr>
        <w:t>mación pudiere afectar los derechos: (a) a la intimidad de las personas, bajo las condiciones propias que impone la condición de servidor público; (b) a la vida, (c) a la salud, (d) a la seguridad, y, (e) a mantener la reserva sobre los secretos comerciale</w:t>
      </w:r>
      <w:r w:rsidRPr="005A2345">
        <w:rPr>
          <w:rFonts w:ascii="Times New Roman" w:eastAsia="Calibri" w:hAnsi="Times New Roman" w:cs="Times New Roman"/>
          <w:lang w:eastAsia="en-US"/>
        </w:rPr>
        <w:t xml:space="preserve">s, industriales y profesionales (Art. 18). </w:t>
      </w:r>
    </w:p>
    <w:p w:rsidR="00213A11" w:rsidRPr="005A2345" w:rsidRDefault="005A2345" w:rsidP="00213A11">
      <w:pPr>
        <w:pStyle w:val="Prrafodelista"/>
        <w:tabs>
          <w:tab w:val="left" w:pos="426"/>
        </w:tabs>
        <w:spacing w:after="0" w:line="240" w:lineRule="auto"/>
        <w:ind w:left="0"/>
        <w:jc w:val="both"/>
        <w:rPr>
          <w:rFonts w:ascii="Times New Roman" w:eastAsia="Calibri" w:hAnsi="Times New Roman" w:cs="Times New Roman"/>
          <w:lang w:eastAsia="en-US"/>
        </w:rPr>
      </w:pPr>
    </w:p>
    <w:p w:rsidR="00213A11"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En la sentencia C-274 de 2013 la Sala Plena advirtió que la reserva solo puede mantenerse mientras subsista el riesgo cierto y objetivo de afectación al derecho fundamental que se pretenda proteger. En el caso d</w:t>
      </w:r>
      <w:r w:rsidRPr="005A2345">
        <w:rPr>
          <w:rFonts w:ascii="Times New Roman" w:eastAsia="Calibri" w:hAnsi="Times New Roman" w:cs="Times New Roman"/>
          <w:lang w:eastAsia="en-US"/>
        </w:rPr>
        <w:t xml:space="preserve">e los secretos profesionales, comerciales e industriales, la reserva podrá oponerse por el tiempo que indique la ley correspondiente. </w:t>
      </w:r>
    </w:p>
    <w:p w:rsidR="00213A11" w:rsidRPr="005A2345" w:rsidRDefault="005A2345" w:rsidP="00213A11">
      <w:pPr>
        <w:pStyle w:val="Prrafodelista"/>
        <w:rPr>
          <w:rFonts w:ascii="Times New Roman" w:eastAsia="Calibri" w:hAnsi="Times New Roman" w:cs="Times New Roman"/>
          <w:lang w:eastAsia="en-US"/>
        </w:rPr>
      </w:pPr>
    </w:p>
    <w:p w:rsidR="00213A11"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(ii) El segundo escenario de información reservada que contempla la Ley Estatutaria es aquella que</w:t>
      </w:r>
      <w:r w:rsidRPr="005A2345">
        <w:rPr>
          <w:rFonts w:ascii="Times New Roman" w:eastAsia="Calibri" w:hAnsi="Times New Roman" w:cs="Times New Roman"/>
          <w:lang w:eastAsia="en-US"/>
        </w:rPr>
        <w:t>,</w:t>
      </w:r>
      <w:r w:rsidRPr="005A2345">
        <w:rPr>
          <w:rFonts w:ascii="Times New Roman" w:eastAsia="Calibri" w:hAnsi="Times New Roman" w:cs="Times New Roman"/>
          <w:lang w:eastAsia="en-US"/>
        </w:rPr>
        <w:t xml:space="preserve"> a pesar de que está </w:t>
      </w:r>
      <w:r w:rsidRPr="005A2345">
        <w:rPr>
          <w:rFonts w:ascii="Times New Roman" w:eastAsia="Calibri" w:hAnsi="Times New Roman" w:cs="Times New Roman"/>
          <w:lang w:eastAsia="en-US"/>
        </w:rPr>
        <w:t>bajo custodia de sujetos obligados, su divulgación podría afectar intereses públicos. Estas excepciones deben estar previstas en la ley y las autoridades competentes deben dar respuesta por escrito y motivar su decisión. Bajo este supuesto se encuentran a)</w:t>
      </w:r>
      <w:r w:rsidRPr="005A2345">
        <w:rPr>
          <w:rFonts w:ascii="Times New Roman" w:eastAsia="Calibri" w:hAnsi="Times New Roman" w:cs="Times New Roman"/>
          <w:lang w:eastAsia="en-US"/>
        </w:rPr>
        <w:t xml:space="preserve"> La defensa y seguridad nacional; b) La seguridad pública; c) Las relaciones internacionales; d) La prevención, investigación y persecución de los delitos y las faltas disciplinarias, mientras que no se haga efectiva la medida de aseguramiento o se formule</w:t>
      </w:r>
      <w:r w:rsidRPr="005A2345">
        <w:rPr>
          <w:rFonts w:ascii="Times New Roman" w:eastAsia="Calibri" w:hAnsi="Times New Roman" w:cs="Times New Roman"/>
          <w:lang w:eastAsia="en-US"/>
        </w:rPr>
        <w:t xml:space="preserve"> pliego de cargos, según el caso; e) El debido proceso y la igualdad de las partes en los procesos judiciales; f) La administración efectiva de la justicia; g) Los derechos de la infancia y la adolescencia; h) La estabilidad macroeconómica y financiera del</w:t>
      </w:r>
      <w:r w:rsidRPr="005A2345">
        <w:rPr>
          <w:rFonts w:ascii="Times New Roman" w:eastAsia="Calibri" w:hAnsi="Times New Roman" w:cs="Times New Roman"/>
          <w:lang w:eastAsia="en-US"/>
        </w:rPr>
        <w:t xml:space="preserve"> país; i) La salud pública; y «los documentos que contengan las opiniones o puntos de vista que formen parte del proceso deliberativo de los servidores públicos» (art. 19). </w:t>
      </w:r>
    </w:p>
    <w:p w:rsidR="00213A11" w:rsidRPr="005A2345" w:rsidRDefault="005A2345" w:rsidP="00213A11">
      <w:pPr>
        <w:pStyle w:val="Prrafodelista"/>
        <w:rPr>
          <w:rFonts w:ascii="Times New Roman" w:eastAsia="Calibri" w:hAnsi="Times New Roman" w:cs="Times New Roman"/>
          <w:lang w:eastAsia="en-US"/>
        </w:rPr>
      </w:pPr>
    </w:p>
    <w:p w:rsidR="00666798"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En cuanto a estas excepciones, la Corte ha establecido que la norma que contemple</w:t>
      </w:r>
      <w:r w:rsidRPr="005A2345">
        <w:rPr>
          <w:rFonts w:ascii="Times New Roman" w:eastAsia="Calibri" w:hAnsi="Times New Roman" w:cs="Times New Roman"/>
          <w:lang w:eastAsia="en-US"/>
        </w:rPr>
        <w:t xml:space="preserve"> la reserva debe «(i) obedecer a un fin constitucionalmente legítimo e imperioso, y (ii) no existir otro medio menos restrictivo para lograr dicho fin. Bajo ese escenario, […] limitar “el acceso a una información no es una función discrecional, sino restri</w:t>
      </w:r>
      <w:r w:rsidRPr="005A2345">
        <w:rPr>
          <w:rFonts w:ascii="Times New Roman" w:eastAsia="Calibri" w:hAnsi="Times New Roman" w:cs="Times New Roman"/>
          <w:lang w:eastAsia="en-US"/>
        </w:rPr>
        <w:t>ngida, necesaria y controlable».</w:t>
      </w:r>
      <w:r w:rsidRPr="005A2345">
        <w:rPr>
          <w:rFonts w:ascii="Times New Roman" w:eastAsia="Calibri" w:hAnsi="Times New Roman" w:cs="Times New Roman"/>
          <w:vertAlign w:val="superscript"/>
        </w:rPr>
        <w:footnoteReference w:id="43"/>
      </w:r>
      <w:r w:rsidRPr="005A2345">
        <w:rPr>
          <w:rFonts w:ascii="Times New Roman" w:eastAsia="Calibri" w:hAnsi="Times New Roman" w:cs="Times New Roman"/>
          <w:lang w:eastAsia="en-US"/>
        </w:rPr>
        <w:t xml:space="preserve"> En ese mismo sentido, la Sala Plena al estudiar la constitucionalidad de estas causales (C-274 de 2013) advirtió que,</w:t>
      </w:r>
    </w:p>
    <w:p w:rsidR="00666798" w:rsidRPr="005A2345" w:rsidRDefault="005A2345" w:rsidP="00666798">
      <w:pPr>
        <w:jc w:val="both"/>
        <w:rPr>
          <w:rFonts w:ascii="Times New Roman" w:eastAsia="Calibri" w:hAnsi="Times New Roman" w:cs="Times New Roman"/>
          <w:sz w:val="28"/>
          <w:szCs w:val="28"/>
          <w:lang w:eastAsia="en-US"/>
        </w:rPr>
      </w:pPr>
    </w:p>
    <w:p w:rsidR="00666798" w:rsidRPr="005A2345" w:rsidRDefault="005A2345" w:rsidP="00666798">
      <w:pPr>
        <w:ind w:left="851" w:right="616"/>
        <w:jc w:val="both"/>
        <w:rPr>
          <w:rFonts w:ascii="Times New Roman" w:eastAsia="Calibri" w:hAnsi="Times New Roman" w:cs="Times New Roman"/>
          <w:sz w:val="28"/>
          <w:szCs w:val="26"/>
          <w:lang w:eastAsia="en-US"/>
        </w:rPr>
      </w:pPr>
      <w:r w:rsidRPr="005A2345">
        <w:rPr>
          <w:rFonts w:ascii="Times New Roman" w:eastAsia="Calibri" w:hAnsi="Times New Roman" w:cs="Times New Roman"/>
          <w:sz w:val="28"/>
          <w:szCs w:val="26"/>
          <w:lang w:eastAsia="en-US"/>
        </w:rPr>
        <w:t>«[…] el sujeto obligado que niegue el acceso a un documento información pública, alegando su carácter r</w:t>
      </w:r>
      <w:r w:rsidRPr="005A2345">
        <w:rPr>
          <w:rFonts w:ascii="Times New Roman" w:eastAsia="Calibri" w:hAnsi="Times New Roman" w:cs="Times New Roman"/>
          <w:sz w:val="28"/>
          <w:szCs w:val="26"/>
          <w:lang w:eastAsia="en-US"/>
        </w:rPr>
        <w:t>eservado deberá (i) hacerlo por escrito y demostrar que (ii) existe un riesgo </w:t>
      </w:r>
      <w:r w:rsidRPr="005A2345">
        <w:rPr>
          <w:rFonts w:ascii="Times New Roman" w:eastAsia="Calibri" w:hAnsi="Times New Roman" w:cs="Times New Roman"/>
          <w:sz w:val="28"/>
          <w:szCs w:val="26"/>
          <w:lang w:val="es-ES_tradnl" w:eastAsia="en-US"/>
        </w:rPr>
        <w:t>presente, probable y específico </w:t>
      </w:r>
      <w:r w:rsidRPr="005A2345">
        <w:rPr>
          <w:rFonts w:ascii="Times New Roman" w:eastAsia="Calibri" w:hAnsi="Times New Roman" w:cs="Times New Roman"/>
          <w:sz w:val="28"/>
          <w:szCs w:val="26"/>
          <w:lang w:eastAsia="en-US"/>
        </w:rPr>
        <w:t>de dañar el interés protegido, y (iii) que el daño que puede producirse es significativo. Por lo que no encuentra la Corte que respecto del artícu</w:t>
      </w:r>
      <w:r w:rsidRPr="005A2345">
        <w:rPr>
          <w:rFonts w:ascii="Times New Roman" w:eastAsia="Calibri" w:hAnsi="Times New Roman" w:cs="Times New Roman"/>
          <w:sz w:val="28"/>
          <w:szCs w:val="26"/>
          <w:lang w:eastAsia="en-US"/>
        </w:rPr>
        <w:t xml:space="preserve">lo 19 exista reproche constitucional. </w:t>
      </w:r>
    </w:p>
    <w:p w:rsidR="00666798" w:rsidRPr="005A2345" w:rsidRDefault="005A2345" w:rsidP="00666798">
      <w:pPr>
        <w:ind w:left="851" w:right="616"/>
        <w:jc w:val="both"/>
        <w:rPr>
          <w:rFonts w:ascii="Times New Roman" w:eastAsia="Calibri" w:hAnsi="Times New Roman" w:cs="Times New Roman"/>
          <w:sz w:val="28"/>
          <w:szCs w:val="26"/>
          <w:lang w:eastAsia="en-US"/>
        </w:rPr>
      </w:pPr>
    </w:p>
    <w:p w:rsidR="00666798" w:rsidRPr="005A2345" w:rsidRDefault="005A2345" w:rsidP="00666798">
      <w:pPr>
        <w:ind w:left="851" w:right="616"/>
        <w:jc w:val="both"/>
        <w:rPr>
          <w:rFonts w:ascii="Times New Roman" w:eastAsia="Calibri" w:hAnsi="Times New Roman" w:cs="Times New Roman"/>
          <w:sz w:val="28"/>
          <w:szCs w:val="26"/>
          <w:lang w:eastAsia="en-US"/>
        </w:rPr>
      </w:pPr>
      <w:r w:rsidRPr="005A2345">
        <w:rPr>
          <w:rFonts w:ascii="Times New Roman" w:eastAsia="Calibri" w:hAnsi="Times New Roman" w:cs="Times New Roman"/>
          <w:sz w:val="28"/>
          <w:szCs w:val="26"/>
          <w:lang w:eastAsia="en-US"/>
        </w:rPr>
        <w:t>En cuanto el listado de intereses públicos protegidos señalados en los literales del artículo 19, a la luz de lo dicho previamente, a pesar de la aparente generalidad de los términos empleados por el legislador estat</w:t>
      </w:r>
      <w:r w:rsidRPr="005A2345">
        <w:rPr>
          <w:rFonts w:ascii="Times New Roman" w:eastAsia="Calibri" w:hAnsi="Times New Roman" w:cs="Times New Roman"/>
          <w:sz w:val="28"/>
          <w:szCs w:val="26"/>
          <w:lang w:eastAsia="en-US"/>
        </w:rPr>
        <w:t>utario para su consagración, la posibilidad de que tales intereses en concreto den lugar a una prohibición de publicidad o al establecimiento de una reserva depende en todo caso  de que dicha restricción obedezca a un interés legítimo e imperioso y no exis</w:t>
      </w:r>
      <w:r w:rsidRPr="005A2345">
        <w:rPr>
          <w:rFonts w:ascii="Times New Roman" w:eastAsia="Calibri" w:hAnsi="Times New Roman" w:cs="Times New Roman"/>
          <w:sz w:val="28"/>
          <w:szCs w:val="26"/>
          <w:lang w:eastAsia="en-US"/>
        </w:rPr>
        <w:t>ta otro medio menos restrictivo para garantizar dicho interés.</w:t>
      </w:r>
    </w:p>
    <w:p w:rsidR="00666798" w:rsidRPr="005A2345" w:rsidRDefault="005A2345" w:rsidP="00666798">
      <w:pPr>
        <w:ind w:left="851" w:right="616"/>
        <w:jc w:val="both"/>
        <w:rPr>
          <w:rFonts w:ascii="Times New Roman" w:eastAsia="Calibri" w:hAnsi="Times New Roman" w:cs="Times New Roman"/>
          <w:sz w:val="28"/>
          <w:szCs w:val="26"/>
          <w:lang w:eastAsia="en-US"/>
        </w:rPr>
      </w:pPr>
      <w:r w:rsidRPr="005A2345">
        <w:rPr>
          <w:rFonts w:ascii="Times New Roman" w:eastAsia="Calibri" w:hAnsi="Times New Roman" w:cs="Times New Roman"/>
          <w:sz w:val="28"/>
          <w:szCs w:val="26"/>
          <w:lang w:eastAsia="en-US"/>
        </w:rPr>
        <w:t> </w:t>
      </w:r>
    </w:p>
    <w:p w:rsidR="00666798" w:rsidRPr="005A2345" w:rsidRDefault="005A2345" w:rsidP="00213A11">
      <w:pPr>
        <w:ind w:left="851" w:right="616"/>
        <w:jc w:val="both"/>
        <w:rPr>
          <w:rFonts w:ascii="Times New Roman" w:eastAsia="Calibri" w:hAnsi="Times New Roman" w:cs="Times New Roman"/>
          <w:sz w:val="28"/>
          <w:szCs w:val="26"/>
          <w:lang w:eastAsia="en-US"/>
        </w:rPr>
      </w:pPr>
      <w:r w:rsidRPr="005A2345">
        <w:rPr>
          <w:rFonts w:ascii="Times New Roman" w:eastAsia="Calibri" w:hAnsi="Times New Roman" w:cs="Times New Roman"/>
          <w:sz w:val="28"/>
          <w:szCs w:val="26"/>
          <w:lang w:eastAsia="en-US"/>
        </w:rPr>
        <w:t>No sobra resaltar que la aplicación de la reserva en estas materias, debe estar expresamente consagrada en la ley o en la Constitución, en términos precisos; (i) y motivarse en cada caso concreto (ii) que existe un riesgo real, probable y específico de dañ</w:t>
      </w:r>
      <w:r w:rsidRPr="005A2345">
        <w:rPr>
          <w:rFonts w:ascii="Times New Roman" w:eastAsia="Calibri" w:hAnsi="Times New Roman" w:cs="Times New Roman"/>
          <w:sz w:val="28"/>
          <w:szCs w:val="26"/>
          <w:lang w:eastAsia="en-US"/>
        </w:rPr>
        <w:t>ar el interés protegido, y (iii) que el daño que puede producirse sea significativo, si se autoriza el acceso a esa información. En otras palabras, el acceso se limita a la información calificada como reservada, no a las razones de la reserva, que son públ</w:t>
      </w:r>
      <w:r w:rsidRPr="005A2345">
        <w:rPr>
          <w:rFonts w:ascii="Times New Roman" w:eastAsia="Calibri" w:hAnsi="Times New Roman" w:cs="Times New Roman"/>
          <w:sz w:val="28"/>
          <w:szCs w:val="26"/>
          <w:lang w:eastAsia="en-US"/>
        </w:rPr>
        <w:t>icas y objeto de control y de debate».</w:t>
      </w:r>
      <w:r w:rsidRPr="005A2345">
        <w:rPr>
          <w:rFonts w:ascii="Times New Roman" w:eastAsia="Calibri" w:hAnsi="Times New Roman" w:cs="Times New Roman"/>
          <w:sz w:val="28"/>
          <w:szCs w:val="26"/>
          <w:vertAlign w:val="superscript"/>
          <w:lang w:eastAsia="en-US"/>
        </w:rPr>
        <w:footnoteReference w:id="44"/>
      </w:r>
    </w:p>
    <w:p w:rsidR="00666798" w:rsidRPr="005A2345" w:rsidRDefault="005A2345" w:rsidP="00213A11">
      <w:pPr>
        <w:jc w:val="both"/>
        <w:rPr>
          <w:rFonts w:ascii="Times New Roman" w:eastAsia="Calibri" w:hAnsi="Times New Roman" w:cs="Times New Roman"/>
          <w:sz w:val="28"/>
          <w:szCs w:val="28"/>
          <w:lang w:eastAsia="en-US"/>
        </w:rPr>
      </w:pPr>
    </w:p>
    <w:p w:rsidR="00B243CA"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 xml:space="preserve">Igualmente, la Ley Estatutaria establece que la reserva de información trae con ella unas obligaciones especiales para el sujeto obligado: (a) «deberán mantener un índice actualizado de los actos, documentos e informaciones calificados como clasificados o </w:t>
      </w:r>
      <w:r w:rsidRPr="005A2345">
        <w:rPr>
          <w:rFonts w:ascii="Times New Roman" w:eastAsia="Calibri" w:hAnsi="Times New Roman" w:cs="Times New Roman"/>
          <w:lang w:eastAsia="en-US"/>
        </w:rPr>
        <w:t xml:space="preserve">reservados, de conformidad a esta ley. El índice incluirá sus denominaciones, la motivación y la individualización del acto en que conste tal calificación» (art. 20) y (b) en caso de que solo un contenido parcial del documento esté sujeto a reserva y otro </w:t>
      </w:r>
      <w:r w:rsidRPr="005A2345">
        <w:rPr>
          <w:rFonts w:ascii="Times New Roman" w:eastAsia="Calibri" w:hAnsi="Times New Roman" w:cs="Times New Roman"/>
          <w:lang w:eastAsia="en-US"/>
        </w:rPr>
        <w:t>no, el sujeto obligado debe hacer una versión pública que mantenga la reserva únicamente de la parte indispensable y permitir el acceso de la demás en la que sea posible (art. 21). Este mismo artículo dispone en su inciso final que las excepciones de acces</w:t>
      </w:r>
      <w:r w:rsidRPr="005A2345">
        <w:rPr>
          <w:rFonts w:ascii="Times New Roman" w:eastAsia="Calibri" w:hAnsi="Times New Roman" w:cs="Times New Roman"/>
          <w:lang w:eastAsia="en-US"/>
        </w:rPr>
        <w:t>o a la información dispuestas en la ley, es decir, las causales dispuestas en los artículos 18 y 19, «no aplican en casos de violación de derechos humanos o delitos de lesa humanidad, y en todo caso deberán protegerse los derechos de las víctimas de dichas</w:t>
      </w:r>
      <w:r w:rsidRPr="005A2345">
        <w:rPr>
          <w:rFonts w:ascii="Times New Roman" w:eastAsia="Calibri" w:hAnsi="Times New Roman" w:cs="Times New Roman"/>
          <w:lang w:eastAsia="en-US"/>
        </w:rPr>
        <w:t xml:space="preserve"> violaciones». </w:t>
      </w:r>
    </w:p>
    <w:p w:rsidR="00B243CA" w:rsidRPr="005A2345" w:rsidRDefault="005A2345" w:rsidP="00B243CA">
      <w:pPr>
        <w:pStyle w:val="Prrafodelista"/>
        <w:spacing w:after="0" w:line="240" w:lineRule="auto"/>
        <w:ind w:left="0"/>
        <w:jc w:val="both"/>
        <w:rPr>
          <w:rFonts w:ascii="Times New Roman" w:eastAsia="Calibri" w:hAnsi="Times New Roman" w:cs="Times New Roman"/>
          <w:lang w:eastAsia="en-US"/>
        </w:rPr>
      </w:pPr>
    </w:p>
    <w:p w:rsidR="00B243CA"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Finalmente, el artículo 22 dispone un límite a la reserva de información de 15 años cuando se trata de los bienes públicos protegidos en el artículo 19 de la Ley. No obstante, la Corte Constitucional condicionó su constitucionalidad «en el</w:t>
      </w:r>
      <w:r w:rsidRPr="005A2345">
        <w:rPr>
          <w:rFonts w:ascii="Times New Roman" w:eastAsia="Calibri" w:hAnsi="Times New Roman" w:cs="Times New Roman"/>
          <w:lang w:eastAsia="en-US"/>
        </w:rPr>
        <w:t xml:space="preserve"> </w:t>
      </w:r>
      <w:r w:rsidRPr="005A2345">
        <w:rPr>
          <w:rFonts w:ascii="Times New Roman" w:eastAsia="Calibri" w:hAnsi="Times New Roman" w:cs="Times New Roman"/>
          <w:lang w:val="es-ES_tradnl" w:eastAsia="en-US"/>
        </w:rPr>
        <w:t>entendido de que </w:t>
      </w:r>
      <w:r w:rsidRPr="005A2345">
        <w:rPr>
          <w:rFonts w:ascii="Times New Roman" w:eastAsia="Calibri" w:hAnsi="Times New Roman" w:cs="Times New Roman"/>
          <w:lang w:eastAsia="en-US"/>
        </w:rPr>
        <w:t>las condiciones materiales que justificaron la reserva se mantengan a lo largo de todo el período».</w:t>
      </w:r>
      <w:r w:rsidRPr="005A2345">
        <w:rPr>
          <w:rFonts w:ascii="Times New Roman" w:eastAsia="Calibri" w:hAnsi="Times New Roman" w:cs="Times New Roman"/>
          <w:vertAlign w:val="superscript"/>
        </w:rPr>
        <w:footnoteReference w:id="45"/>
      </w:r>
      <w:r w:rsidRPr="005A2345">
        <w:rPr>
          <w:rFonts w:ascii="Times New Roman" w:eastAsia="Calibri" w:hAnsi="Times New Roman" w:cs="Times New Roman"/>
          <w:lang w:eastAsia="en-US"/>
        </w:rPr>
        <w:t xml:space="preserve"> Es decir, la razonabilidad del plazo máximo de 15 años depende, en cada caso, de que las condiciones materiales que justificaron la reser</w:t>
      </w:r>
      <w:r w:rsidRPr="005A2345">
        <w:rPr>
          <w:rFonts w:ascii="Times New Roman" w:eastAsia="Calibri" w:hAnsi="Times New Roman" w:cs="Times New Roman"/>
          <w:lang w:eastAsia="en-US"/>
        </w:rPr>
        <w:t>va se mantengan.</w:t>
      </w:r>
    </w:p>
    <w:p w:rsidR="00A813D3" w:rsidRPr="005A2345" w:rsidRDefault="005A2345" w:rsidP="00A813D3">
      <w:pPr>
        <w:pStyle w:val="Prrafodelista"/>
        <w:rPr>
          <w:rFonts w:ascii="Times New Roman" w:eastAsia="Calibri" w:hAnsi="Times New Roman" w:cs="Times New Roman"/>
          <w:lang w:eastAsia="en-US"/>
        </w:rPr>
      </w:pPr>
    </w:p>
    <w:p w:rsidR="00A813D3"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Ahora bien, en caso de que la autoridad que custodia la información se niegue a divulgarla</w:t>
      </w:r>
      <w:r w:rsidRPr="005A2345">
        <w:rPr>
          <w:rFonts w:ascii="Times New Roman" w:eastAsia="Calibri" w:hAnsi="Times New Roman" w:cs="Times New Roman"/>
          <w:lang w:eastAsia="en-US"/>
        </w:rPr>
        <w:t xml:space="preserve"> por razones de reserva,</w:t>
      </w:r>
      <w:r w:rsidRPr="005A2345">
        <w:rPr>
          <w:rFonts w:ascii="Times New Roman" w:eastAsia="Calibri" w:hAnsi="Times New Roman" w:cs="Times New Roman"/>
          <w:lang w:eastAsia="en-US"/>
        </w:rPr>
        <w:t xml:space="preserve"> los ciudadanos tienen a su disposición el recurso de </w:t>
      </w:r>
      <w:r w:rsidRPr="005A2345">
        <w:rPr>
          <w:rFonts w:ascii="Times New Roman" w:eastAsia="Calibri" w:hAnsi="Times New Roman" w:cs="Times New Roman"/>
          <w:lang w:eastAsia="en-US"/>
        </w:rPr>
        <w:t>insistencia</w:t>
      </w:r>
      <w:r w:rsidRPr="005A2345">
        <w:rPr>
          <w:rFonts w:ascii="Times New Roman" w:eastAsia="Calibri" w:hAnsi="Times New Roman" w:cs="Times New Roman"/>
          <w:lang w:eastAsia="en-US"/>
        </w:rPr>
        <w:t xml:space="preserve">. Este se encuentra dispuesto </w:t>
      </w:r>
      <w:r w:rsidRPr="005A2345">
        <w:rPr>
          <w:rFonts w:ascii="Times New Roman" w:eastAsia="Calibri" w:hAnsi="Times New Roman" w:cs="Times New Roman"/>
          <w:lang w:eastAsia="en-US"/>
        </w:rPr>
        <w:t>en los artículos 25 y 26 de l</w:t>
      </w:r>
      <w:r w:rsidRPr="005A2345">
        <w:rPr>
          <w:rFonts w:ascii="Times New Roman" w:eastAsia="Calibri" w:hAnsi="Times New Roman" w:cs="Times New Roman"/>
          <w:lang w:eastAsia="en-US"/>
        </w:rPr>
        <w:t>a Ley 1437 de 2011 (modificado por la Ley 1755 de 2015), según los cuales «toda decisión que rechace la petición de informaciones o documentos será motivada, indicará en forma precisa las disposiciones legales que impiden la entrega de información o docume</w:t>
      </w:r>
      <w:r w:rsidRPr="005A2345">
        <w:rPr>
          <w:rFonts w:ascii="Times New Roman" w:eastAsia="Calibri" w:hAnsi="Times New Roman" w:cs="Times New Roman"/>
          <w:lang w:eastAsia="en-US"/>
        </w:rPr>
        <w:t xml:space="preserve">ntos pertinentes y deberá notificarse al peticionario. Contra la decisión que rechace la petición de informaciones o documentos por motivos de reserva legal, no procede recurso alguno, salvo lo previsto en el artículo siguiente». El artículo 26 dispone la </w:t>
      </w:r>
      <w:r w:rsidRPr="005A2345">
        <w:rPr>
          <w:rFonts w:ascii="Times New Roman" w:eastAsia="Calibri" w:hAnsi="Times New Roman" w:cs="Times New Roman"/>
          <w:lang w:eastAsia="en-US"/>
        </w:rPr>
        <w:t>insistencia del solicitante en caso de que se invoque reserva sobre la información.</w:t>
      </w:r>
      <w:r w:rsidRPr="005A2345">
        <w:rPr>
          <w:rStyle w:val="Refdenotaalpie"/>
          <w:rFonts w:ascii="Times New Roman" w:eastAsia="Calibri" w:hAnsi="Times New Roman" w:cs="Times New Roman"/>
          <w:lang w:eastAsia="en-US"/>
        </w:rPr>
        <w:footnoteReference w:id="46"/>
      </w:r>
      <w:r w:rsidRPr="005A2345">
        <w:rPr>
          <w:rFonts w:ascii="Times New Roman" w:eastAsia="Calibri" w:hAnsi="Times New Roman" w:cs="Times New Roman"/>
          <w:lang w:eastAsia="en-US"/>
        </w:rPr>
        <w:t xml:space="preserve"> Esta deberá ser remitida por el funcionario respecto al tribunal administrativo del lugar, quien deberá decidir en única instancia si se niega o se acepta, total o parcial</w:t>
      </w:r>
      <w:r w:rsidRPr="005A2345">
        <w:rPr>
          <w:rFonts w:ascii="Times New Roman" w:eastAsia="Calibri" w:hAnsi="Times New Roman" w:cs="Times New Roman"/>
          <w:lang w:eastAsia="en-US"/>
        </w:rPr>
        <w:t>mente la petición formulada.</w:t>
      </w:r>
    </w:p>
    <w:p w:rsidR="00B243CA" w:rsidRPr="005A2345" w:rsidRDefault="005A2345" w:rsidP="00B243CA">
      <w:pPr>
        <w:pStyle w:val="Prrafodelista"/>
        <w:rPr>
          <w:rFonts w:ascii="Times New Roman" w:eastAsia="Calibri" w:hAnsi="Times New Roman" w:cs="Times New Roman"/>
          <w:lang w:eastAsia="en-US"/>
        </w:rPr>
      </w:pPr>
    </w:p>
    <w:p w:rsidR="00B243CA"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En suma, la Constitución Política de 1991 se rige por el principio de máxima divulgación de la información pública, por tanto, las autoridades estatales están obligadas a divulgar de manera proactiva, clara, precisa, actualiza</w:t>
      </w:r>
      <w:r w:rsidRPr="005A2345">
        <w:rPr>
          <w:rFonts w:ascii="Times New Roman" w:eastAsia="Calibri" w:hAnsi="Times New Roman" w:cs="Times New Roman"/>
          <w:lang w:eastAsia="en-US"/>
        </w:rPr>
        <w:t>da, accesible y comprensible la información y documentos que plasman su gestión. Además, en caso de ser sujetos obligados y solicitarse algún tipo de información, deberán emitirla, salvo en los casos exceptuados previamente por la ley. Al negarse el acceso</w:t>
      </w:r>
      <w:r w:rsidRPr="005A2345">
        <w:rPr>
          <w:rFonts w:ascii="Times New Roman" w:eastAsia="Calibri" w:hAnsi="Times New Roman" w:cs="Times New Roman"/>
          <w:lang w:eastAsia="en-US"/>
        </w:rPr>
        <w:t xml:space="preserve"> a la información pública, la autoridad estatal debe emitir una respuesta escrita en la que invoque el fin protegido por la reserva y su correspondiente motivación bajo criterios de idoneidad, necesidad y proporcionalidad de la reserva y el bien protegido.</w:t>
      </w:r>
    </w:p>
    <w:p w:rsidR="00B243CA" w:rsidRPr="005A2345" w:rsidRDefault="005A2345" w:rsidP="00B243CA">
      <w:pPr>
        <w:pStyle w:val="Prrafodelista"/>
        <w:rPr>
          <w:rFonts w:ascii="Times New Roman" w:eastAsia="Calibri" w:hAnsi="Times New Roman" w:cs="Times New Roman"/>
          <w:i/>
          <w:iCs/>
          <w:lang w:eastAsia="en-US"/>
        </w:rPr>
      </w:pPr>
    </w:p>
    <w:p w:rsidR="00B243CA"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i/>
          <w:iCs/>
          <w:lang w:eastAsia="en-US"/>
        </w:rPr>
        <w:t>Estándares en el derecho internacional.</w:t>
      </w:r>
      <w:r w:rsidRPr="005A2345">
        <w:rPr>
          <w:rFonts w:ascii="Times New Roman" w:eastAsia="Calibri" w:hAnsi="Times New Roman" w:cs="Times New Roman"/>
          <w:lang w:eastAsia="en-US"/>
        </w:rPr>
        <w:t xml:space="preserve"> Con base en las premisas anteriores,</w:t>
      </w:r>
      <w:r w:rsidRPr="005A2345">
        <w:rPr>
          <w:rFonts w:ascii="Times New Roman" w:eastAsia="Calibri" w:hAnsi="Times New Roman" w:cs="Times New Roman"/>
          <w:lang w:eastAsia="en-US"/>
        </w:rPr>
        <w:t xml:space="preserve"> puede decirse que,</w:t>
      </w:r>
      <w:r w:rsidRPr="005A2345">
        <w:rPr>
          <w:rFonts w:ascii="Times New Roman" w:eastAsia="Calibri" w:hAnsi="Times New Roman" w:cs="Times New Roman"/>
          <w:lang w:eastAsia="en-US"/>
        </w:rPr>
        <w:t xml:space="preserve"> tanto lo desarrollado por la jurisprudencia constitucional, como lo regulado por el legislador estatutario</w:t>
      </w:r>
      <w:r w:rsidRPr="005A2345">
        <w:rPr>
          <w:rFonts w:ascii="Times New Roman" w:eastAsia="Calibri" w:hAnsi="Times New Roman" w:cs="Times New Roman"/>
          <w:lang w:eastAsia="en-US"/>
        </w:rPr>
        <w:t xml:space="preserve">, </w:t>
      </w:r>
      <w:r w:rsidRPr="005A2345">
        <w:rPr>
          <w:rFonts w:ascii="Times New Roman" w:eastAsia="Calibri" w:hAnsi="Times New Roman" w:cs="Times New Roman"/>
          <w:lang w:eastAsia="en-US"/>
        </w:rPr>
        <w:t xml:space="preserve">es un reflejo de los estándares establecidos en </w:t>
      </w:r>
      <w:r w:rsidRPr="005A2345">
        <w:rPr>
          <w:rFonts w:ascii="Times New Roman" w:eastAsia="Calibri" w:hAnsi="Times New Roman" w:cs="Times New Roman"/>
          <w:lang w:eastAsia="en-US"/>
        </w:rPr>
        <w:t>los tratados internacionales en materia de derechos humanos, que en virtud del artículo 93 de la CP hacen parte integrante del ordenamiento jurídico interno. Específicamente, pueden mencionarse el artículo 13 de la Convención Americana sobre Derechos Human</w:t>
      </w:r>
      <w:r w:rsidRPr="005A2345">
        <w:rPr>
          <w:rFonts w:ascii="Times New Roman" w:eastAsia="Calibri" w:hAnsi="Times New Roman" w:cs="Times New Roman"/>
          <w:lang w:eastAsia="en-US"/>
        </w:rPr>
        <w:t>os,</w:t>
      </w:r>
      <w:r w:rsidRPr="005A2345">
        <w:rPr>
          <w:rFonts w:ascii="Times New Roman" w:eastAsia="Calibri" w:hAnsi="Times New Roman" w:cs="Times New Roman"/>
          <w:vertAlign w:val="superscript"/>
        </w:rPr>
        <w:footnoteReference w:id="47"/>
      </w:r>
      <w:r w:rsidRPr="005A2345">
        <w:rPr>
          <w:rFonts w:ascii="Times New Roman" w:eastAsia="Calibri" w:hAnsi="Times New Roman" w:cs="Times New Roman"/>
          <w:lang w:eastAsia="en-US"/>
        </w:rPr>
        <w:t xml:space="preserve"> en el ámbito regional, y el artículo 19 del Pacto Internacional sobre Derechos Civiles y Políticos,</w:t>
      </w:r>
      <w:r w:rsidRPr="005A2345">
        <w:rPr>
          <w:rFonts w:ascii="Times New Roman" w:eastAsia="Calibri" w:hAnsi="Times New Roman" w:cs="Times New Roman"/>
          <w:vertAlign w:val="superscript"/>
        </w:rPr>
        <w:footnoteReference w:id="48"/>
      </w:r>
      <w:r w:rsidRPr="005A2345">
        <w:rPr>
          <w:rFonts w:ascii="Times New Roman" w:eastAsia="Calibri" w:hAnsi="Times New Roman" w:cs="Times New Roman"/>
          <w:lang w:eastAsia="en-US"/>
        </w:rPr>
        <w:t xml:space="preserve"> en el ámbito universal. </w:t>
      </w:r>
    </w:p>
    <w:p w:rsidR="00B243CA" w:rsidRPr="005A2345" w:rsidRDefault="005A2345" w:rsidP="00B243CA">
      <w:pPr>
        <w:pStyle w:val="Prrafodelista"/>
        <w:rPr>
          <w:rFonts w:ascii="Times New Roman" w:eastAsia="Calibri" w:hAnsi="Times New Roman" w:cs="Times New Roman"/>
          <w:lang w:eastAsia="en-US"/>
        </w:rPr>
      </w:pPr>
    </w:p>
    <w:p w:rsidR="00B243CA"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Ambos instrumentos internacionales reconocen la libertad de buscar, recibir y difundir informaciones y establecen que las re</w:t>
      </w:r>
      <w:r w:rsidRPr="005A2345">
        <w:rPr>
          <w:rFonts w:ascii="Times New Roman" w:eastAsia="Calibri" w:hAnsi="Times New Roman" w:cs="Times New Roman"/>
          <w:lang w:eastAsia="en-US"/>
        </w:rPr>
        <w:t>stricciones a este derecho deben estar previstas en la ley y ser necesarias para asegurar los derechos de los demás, como el de la intimidad, buen nombre y honra, e intereses públicos como la seguridad nacional, el orden público y la salud y moral públicas</w:t>
      </w:r>
      <w:r w:rsidRPr="005A2345">
        <w:rPr>
          <w:rFonts w:ascii="Times New Roman" w:eastAsia="Calibri" w:hAnsi="Times New Roman" w:cs="Times New Roman"/>
          <w:lang w:eastAsia="en-US"/>
        </w:rPr>
        <w:t>. Cabe recordar que la Corte IDH en el caso Claude Reyes y otros contra Chile (2006) se pronunció por primera vez sobre el derecho al acceso a la información pública.</w:t>
      </w:r>
      <w:r w:rsidRPr="005A2345">
        <w:rPr>
          <w:rFonts w:ascii="Times New Roman" w:eastAsia="Calibri" w:hAnsi="Times New Roman" w:cs="Times New Roman"/>
          <w:vertAlign w:val="superscript"/>
        </w:rPr>
        <w:footnoteReference w:id="49"/>
      </w:r>
      <w:r w:rsidRPr="005A2345">
        <w:rPr>
          <w:rFonts w:ascii="Times New Roman" w:eastAsia="Calibri" w:hAnsi="Times New Roman" w:cs="Times New Roman"/>
          <w:lang w:eastAsia="en-US"/>
        </w:rPr>
        <w:t xml:space="preserve"> </w:t>
      </w:r>
    </w:p>
    <w:p w:rsidR="00B243CA" w:rsidRPr="005A2345" w:rsidRDefault="005A2345" w:rsidP="00B243CA">
      <w:pPr>
        <w:pStyle w:val="Prrafodelista"/>
        <w:rPr>
          <w:rFonts w:ascii="Times New Roman" w:eastAsia="Calibri" w:hAnsi="Times New Roman" w:cs="Times New Roman"/>
          <w:lang w:eastAsia="en-US"/>
        </w:rPr>
      </w:pPr>
    </w:p>
    <w:p w:rsidR="00666798"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En esta sentencia reconoció la relación inescindible entre la democracia representativ</w:t>
      </w:r>
      <w:r w:rsidRPr="005A2345">
        <w:rPr>
          <w:rFonts w:ascii="Times New Roman" w:eastAsia="Calibri" w:hAnsi="Times New Roman" w:cs="Times New Roman"/>
          <w:lang w:eastAsia="en-US"/>
        </w:rPr>
        <w:t xml:space="preserve">a y el acceso a la información pública en los siguientes términos: </w:t>
      </w:r>
    </w:p>
    <w:p w:rsidR="00666798" w:rsidRPr="005A2345" w:rsidRDefault="005A2345" w:rsidP="00666798">
      <w:pPr>
        <w:jc w:val="both"/>
        <w:rPr>
          <w:rFonts w:ascii="Times New Roman" w:eastAsia="Calibri" w:hAnsi="Times New Roman" w:cs="Times New Roman"/>
          <w:sz w:val="28"/>
          <w:szCs w:val="28"/>
          <w:lang w:eastAsia="en-US"/>
        </w:rPr>
      </w:pPr>
    </w:p>
    <w:p w:rsidR="00666798" w:rsidRPr="005A2345" w:rsidRDefault="005A2345" w:rsidP="00666798">
      <w:pPr>
        <w:ind w:left="851" w:right="616"/>
        <w:jc w:val="both"/>
        <w:rPr>
          <w:rFonts w:ascii="Times New Roman" w:eastAsia="Calibri" w:hAnsi="Times New Roman" w:cs="Times New Roman"/>
          <w:sz w:val="28"/>
          <w:szCs w:val="26"/>
          <w:lang w:eastAsia="en-US"/>
        </w:rPr>
      </w:pPr>
      <w:r w:rsidRPr="005A2345">
        <w:rPr>
          <w:rFonts w:ascii="Times New Roman" w:eastAsia="Calibri" w:hAnsi="Times New Roman" w:cs="Times New Roman"/>
          <w:sz w:val="28"/>
          <w:szCs w:val="26"/>
          <w:lang w:eastAsia="en-US"/>
        </w:rPr>
        <w:t xml:space="preserve">«[l]a democracia representativa es determinante en todo el sistema del que la Convención forma parte, y constituye “un ‘principio’ reafirmado por los Estados americanos en la Carta de la </w:t>
      </w:r>
      <w:r w:rsidRPr="005A2345">
        <w:rPr>
          <w:rFonts w:ascii="Times New Roman" w:eastAsia="Calibri" w:hAnsi="Times New Roman" w:cs="Times New Roman"/>
          <w:sz w:val="28"/>
          <w:szCs w:val="26"/>
          <w:lang w:eastAsia="en-US"/>
        </w:rPr>
        <w:t>OEA, instrumento fundamental del Sistema Interamericano. La Asamblea General de la OEA en diversas resoluciones consideró que el acceso a la información pública es un requisito indispensable para el funcionamiento mismo de la democracia, una mayor transpar</w:t>
      </w:r>
      <w:r w:rsidRPr="005A2345">
        <w:rPr>
          <w:rFonts w:ascii="Times New Roman" w:eastAsia="Calibri" w:hAnsi="Times New Roman" w:cs="Times New Roman"/>
          <w:sz w:val="28"/>
          <w:szCs w:val="26"/>
          <w:lang w:eastAsia="en-US"/>
        </w:rPr>
        <w:t>encia y una buena gestión pública, y que en un sistema democrático representativo y participativo, la ciudadanía ejerce sus derechos constitucionales, a través de una amplia libertad de expresión y de un libre acceso a la información. En este sentido, el a</w:t>
      </w:r>
      <w:r w:rsidRPr="005A2345">
        <w:rPr>
          <w:rFonts w:ascii="Times New Roman" w:eastAsia="Calibri" w:hAnsi="Times New Roman" w:cs="Times New Roman"/>
          <w:sz w:val="28"/>
          <w:szCs w:val="26"/>
          <w:lang w:eastAsia="en-US"/>
        </w:rPr>
        <w:t>ctuar del Estado debe encontrarse regido por los principios de publicidad y transparencia en la gestión pública, lo que hace posible que las personas que se encuentran bajo su jurisdicción ejerzan el control democrático de las gestiones estatales, de forma</w:t>
      </w:r>
      <w:r w:rsidRPr="005A2345">
        <w:rPr>
          <w:rFonts w:ascii="Times New Roman" w:eastAsia="Calibri" w:hAnsi="Times New Roman" w:cs="Times New Roman"/>
          <w:sz w:val="28"/>
          <w:szCs w:val="26"/>
          <w:lang w:eastAsia="en-US"/>
        </w:rPr>
        <w:t xml:space="preserve"> tal que puedan cuestionar, indagar y considerar si se está dando un adecuado cumplimiento de las funciones públicas. El acceso a la información bajo el control del Estado, que sea de interés público, puede permitir la participación en la gestión pública, </w:t>
      </w:r>
      <w:r w:rsidRPr="005A2345">
        <w:rPr>
          <w:rFonts w:ascii="Times New Roman" w:eastAsia="Calibri" w:hAnsi="Times New Roman" w:cs="Times New Roman"/>
          <w:sz w:val="28"/>
          <w:szCs w:val="26"/>
          <w:lang w:eastAsia="en-US"/>
        </w:rPr>
        <w:t>a través del control social que se puede ejercer con dicho acceso».</w:t>
      </w:r>
      <w:r w:rsidRPr="005A2345">
        <w:rPr>
          <w:rFonts w:ascii="Times New Roman" w:eastAsia="Calibri" w:hAnsi="Times New Roman" w:cs="Times New Roman"/>
          <w:sz w:val="28"/>
          <w:szCs w:val="26"/>
          <w:vertAlign w:val="superscript"/>
          <w:lang w:eastAsia="en-US"/>
        </w:rPr>
        <w:footnoteReference w:id="50"/>
      </w:r>
    </w:p>
    <w:p w:rsidR="00666798" w:rsidRPr="005A2345" w:rsidRDefault="005A2345" w:rsidP="00B11209">
      <w:pPr>
        <w:jc w:val="both"/>
        <w:rPr>
          <w:rFonts w:ascii="Times New Roman" w:eastAsia="Calibri" w:hAnsi="Times New Roman" w:cs="Times New Roman"/>
          <w:sz w:val="28"/>
          <w:szCs w:val="28"/>
          <w:lang w:eastAsia="en-US"/>
        </w:rPr>
      </w:pPr>
    </w:p>
    <w:p w:rsidR="001032B7"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Por lo anterior, la Corte IDH resaltó que</w:t>
      </w:r>
      <w:r w:rsidRPr="005A2345">
        <w:rPr>
          <w:rFonts w:ascii="Times New Roman" w:eastAsia="Calibri" w:hAnsi="Times New Roman" w:cs="Times New Roman"/>
          <w:szCs w:val="22"/>
          <w:lang w:eastAsia="en-US"/>
        </w:rPr>
        <w:t xml:space="preserve"> </w:t>
      </w:r>
      <w:r w:rsidRPr="005A2345">
        <w:rPr>
          <w:rFonts w:ascii="Times New Roman" w:eastAsia="Calibri" w:hAnsi="Times New Roman" w:cs="Times New Roman"/>
          <w:lang w:eastAsia="en-US"/>
        </w:rPr>
        <w:t>«es indispensable que las autoridades estatales se rijan por el principio de máxima divulgación».</w:t>
      </w:r>
      <w:r w:rsidRPr="005A2345">
        <w:rPr>
          <w:rFonts w:ascii="Times New Roman" w:eastAsia="Calibri" w:hAnsi="Times New Roman" w:cs="Times New Roman"/>
          <w:vertAlign w:val="superscript"/>
        </w:rPr>
        <w:footnoteReference w:id="51"/>
      </w:r>
      <w:r w:rsidRPr="005A2345">
        <w:rPr>
          <w:rFonts w:ascii="Times New Roman" w:eastAsia="Calibri" w:hAnsi="Times New Roman" w:cs="Times New Roman"/>
          <w:lang w:eastAsia="en-US"/>
        </w:rPr>
        <w:t xml:space="preserve"> Sin embargo, este derecho admite restricciones, siempre y cuando estén previamente establecidas en la ley y sean necesarias en una sociedad democrática. Así, afirmó que deben cumplirse los siguientes requisitos para que una restricción sea admitida: (i) d</w:t>
      </w:r>
      <w:r w:rsidRPr="005A2345">
        <w:rPr>
          <w:rFonts w:ascii="Times New Roman" w:eastAsia="Calibri" w:hAnsi="Times New Roman" w:cs="Times New Roman"/>
          <w:lang w:eastAsia="en-US"/>
        </w:rPr>
        <w:t>ebe estar previamente fijada en una ley, (ii) debe responder a un objetivo establecido en la Convención, como lo son, por ejemplo, la seguridad nacional y el orden público; (iii) la medida restrictiva debe estar orientada a satisfacer un interés público im</w:t>
      </w:r>
      <w:r w:rsidRPr="005A2345">
        <w:rPr>
          <w:rFonts w:ascii="Times New Roman" w:eastAsia="Calibri" w:hAnsi="Times New Roman" w:cs="Times New Roman"/>
          <w:lang w:eastAsia="en-US"/>
        </w:rPr>
        <w:t>perativo; «[e]ntre varias opciones para alcanzar ese objetivo, debe escogerse aquélla que restrinja en menor escala el derecho protegido. Es decir, la restricción debe ser proporcional al interés que la justifica y debe ser conducente para alcanzar el logr</w:t>
      </w:r>
      <w:r w:rsidRPr="005A2345">
        <w:rPr>
          <w:rFonts w:ascii="Times New Roman" w:eastAsia="Calibri" w:hAnsi="Times New Roman" w:cs="Times New Roman"/>
          <w:lang w:eastAsia="en-US"/>
        </w:rPr>
        <w:t>o de ese legítimo objetivo, interfiriendo en la menor medida posible en el efectivo ejercicio del derecho».</w:t>
      </w:r>
      <w:r w:rsidRPr="005A2345">
        <w:rPr>
          <w:rFonts w:ascii="Times New Roman" w:eastAsia="Calibri" w:hAnsi="Times New Roman" w:cs="Times New Roman"/>
          <w:vertAlign w:val="superscript"/>
        </w:rPr>
        <w:footnoteReference w:id="52"/>
      </w:r>
    </w:p>
    <w:p w:rsidR="001032B7" w:rsidRPr="005A2345" w:rsidRDefault="005A2345" w:rsidP="001032B7">
      <w:pPr>
        <w:pStyle w:val="Prrafodelista"/>
        <w:tabs>
          <w:tab w:val="left" w:pos="426"/>
        </w:tabs>
        <w:spacing w:after="0" w:line="240" w:lineRule="auto"/>
        <w:ind w:left="0"/>
        <w:jc w:val="both"/>
        <w:rPr>
          <w:rFonts w:ascii="Times New Roman" w:eastAsia="Calibri" w:hAnsi="Times New Roman" w:cs="Times New Roman"/>
          <w:lang w:eastAsia="en-US"/>
        </w:rPr>
      </w:pPr>
    </w:p>
    <w:p w:rsidR="00666798"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En contextos de graves violaciones a los derechos humanos, la Corte IDH ha reconocido que las víctimas tienen el derecho a conocer la verdad, lo q</w:t>
      </w:r>
      <w:r w:rsidRPr="005A2345">
        <w:rPr>
          <w:rFonts w:ascii="Times New Roman" w:eastAsia="Calibri" w:hAnsi="Times New Roman" w:cs="Times New Roman"/>
          <w:lang w:eastAsia="en-US"/>
        </w:rPr>
        <w:t>ue implica permitirles acceder a información pública que contiene datos de su interés. En el caso Gomes Lund y otros ("Guerrilha do Araguaia") Vs. Brasil, la Corte IDH afirmó que «toda persona, incluyendo los familiares de las víctimas de graves violacione</w:t>
      </w:r>
      <w:r w:rsidRPr="005A2345">
        <w:rPr>
          <w:rFonts w:ascii="Times New Roman" w:eastAsia="Calibri" w:hAnsi="Times New Roman" w:cs="Times New Roman"/>
          <w:lang w:eastAsia="en-US"/>
        </w:rPr>
        <w:t>s a derechos humanos, tiene el derecho a conocer la verdad. En consecuencia, los familiares de las víctimas, y la sociedad, deben ser informados de todo lo sucedido con relación a dichas violaciones».</w:t>
      </w:r>
      <w:r w:rsidRPr="005A2345">
        <w:rPr>
          <w:rFonts w:ascii="Times New Roman" w:eastAsia="Calibri" w:hAnsi="Times New Roman" w:cs="Times New Roman"/>
          <w:vertAlign w:val="superscript"/>
        </w:rPr>
        <w:footnoteReference w:id="53"/>
      </w:r>
      <w:r w:rsidRPr="005A2345">
        <w:rPr>
          <w:rFonts w:ascii="Times New Roman" w:eastAsia="Calibri" w:hAnsi="Times New Roman" w:cs="Times New Roman"/>
          <w:lang w:eastAsia="en-US"/>
        </w:rPr>
        <w:t xml:space="preserve"> En la misma ocasión la Corte IDH dijo: </w:t>
      </w:r>
    </w:p>
    <w:p w:rsidR="00666798" w:rsidRPr="005A2345" w:rsidRDefault="005A2345" w:rsidP="00666798">
      <w:pPr>
        <w:jc w:val="both"/>
        <w:rPr>
          <w:rFonts w:ascii="Times New Roman" w:eastAsia="Calibri" w:hAnsi="Times New Roman" w:cs="Times New Roman"/>
          <w:sz w:val="28"/>
          <w:szCs w:val="28"/>
          <w:lang w:eastAsia="en-US"/>
        </w:rPr>
      </w:pPr>
    </w:p>
    <w:p w:rsidR="00666798" w:rsidRPr="005A2345" w:rsidRDefault="005A2345" w:rsidP="00666798">
      <w:pPr>
        <w:ind w:left="851" w:right="616"/>
        <w:jc w:val="both"/>
        <w:rPr>
          <w:rFonts w:ascii="Times New Roman" w:eastAsia="Calibri" w:hAnsi="Times New Roman" w:cs="Times New Roman"/>
          <w:sz w:val="28"/>
          <w:szCs w:val="26"/>
          <w:lang w:eastAsia="en-US"/>
        </w:rPr>
      </w:pPr>
      <w:r w:rsidRPr="005A2345">
        <w:rPr>
          <w:rFonts w:ascii="Times New Roman" w:eastAsia="Calibri" w:hAnsi="Times New Roman" w:cs="Times New Roman"/>
          <w:sz w:val="28"/>
          <w:szCs w:val="26"/>
          <w:lang w:eastAsia="en-US"/>
        </w:rPr>
        <w:t>«[…] en casos</w:t>
      </w:r>
      <w:r w:rsidRPr="005A2345">
        <w:rPr>
          <w:rFonts w:ascii="Times New Roman" w:eastAsia="Calibri" w:hAnsi="Times New Roman" w:cs="Times New Roman"/>
          <w:sz w:val="28"/>
          <w:szCs w:val="26"/>
          <w:lang w:eastAsia="en-US"/>
        </w:rPr>
        <w:t xml:space="preserve"> de violaciones de derechos humanos, las autoridades estatales no se pueden amparar en mecanismos como el secreto de Estado o la confidencialidad de la información, o en razones de interés público o seguridad nacional, para dejar de aportar la información </w:t>
      </w:r>
      <w:r w:rsidRPr="005A2345">
        <w:rPr>
          <w:rFonts w:ascii="Times New Roman" w:eastAsia="Calibri" w:hAnsi="Times New Roman" w:cs="Times New Roman"/>
          <w:sz w:val="28"/>
          <w:szCs w:val="26"/>
          <w:lang w:eastAsia="en-US"/>
        </w:rPr>
        <w:t>requerida por las autoridades judiciales o administrativas encargadas de la investigación o proceso pendientes. Asimismo, cuando se trata de la investigación de un hecho punible, la decisión de calificar como secreta la información y de negar su entrega ja</w:t>
      </w:r>
      <w:r w:rsidRPr="005A2345">
        <w:rPr>
          <w:rFonts w:ascii="Times New Roman" w:eastAsia="Calibri" w:hAnsi="Times New Roman" w:cs="Times New Roman"/>
          <w:sz w:val="28"/>
          <w:szCs w:val="26"/>
          <w:lang w:eastAsia="en-US"/>
        </w:rPr>
        <w:t>más puede depender exclusivamente de un órgano estatal a cuyos miembros se les atribuye la comisión del hecho ilícito. De igual modo, tampoco puede quedar a su discreción la decisión final sobre la existencia de la documentación solicitada».</w:t>
      </w:r>
      <w:r w:rsidRPr="005A2345">
        <w:rPr>
          <w:rFonts w:ascii="Times New Roman" w:eastAsia="Calibri" w:hAnsi="Times New Roman" w:cs="Times New Roman"/>
          <w:sz w:val="28"/>
          <w:szCs w:val="26"/>
          <w:vertAlign w:val="superscript"/>
          <w:lang w:eastAsia="en-US"/>
        </w:rPr>
        <w:footnoteReference w:id="54"/>
      </w:r>
    </w:p>
    <w:p w:rsidR="00666798" w:rsidRPr="005A2345" w:rsidRDefault="005A2345" w:rsidP="001032B7">
      <w:pPr>
        <w:jc w:val="both"/>
        <w:rPr>
          <w:rFonts w:ascii="Times New Roman" w:eastAsia="Calibri" w:hAnsi="Times New Roman" w:cs="Times New Roman"/>
          <w:sz w:val="28"/>
          <w:szCs w:val="28"/>
          <w:lang w:eastAsia="en-US"/>
        </w:rPr>
      </w:pPr>
    </w:p>
    <w:p w:rsidR="001032B7"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Por su parte</w:t>
      </w:r>
      <w:r w:rsidRPr="005A2345">
        <w:rPr>
          <w:rFonts w:ascii="Times New Roman" w:eastAsia="Calibri" w:hAnsi="Times New Roman" w:cs="Times New Roman"/>
          <w:lang w:eastAsia="en-US"/>
        </w:rPr>
        <w:t xml:space="preserve">, al igual que la jurisprudencia constitucional antes reseñada, la Corte IDH ha establecido que toda denegación de acceso a la información pública debe ser motivada, correspondiéndole al Estado la carga de la prueba referente a la imposibilidad de revelar </w:t>
      </w:r>
      <w:r w:rsidRPr="005A2345">
        <w:rPr>
          <w:rFonts w:ascii="Times New Roman" w:eastAsia="Calibri" w:hAnsi="Times New Roman" w:cs="Times New Roman"/>
          <w:lang w:eastAsia="en-US"/>
        </w:rPr>
        <w:t>la información y de la necesidad de la reserva. En caso de duda o vacío legal, debe primar el acceso a la información solicitada. Además, los Estado</w:t>
      </w:r>
      <w:r w:rsidRPr="005A2345">
        <w:rPr>
          <w:rFonts w:ascii="Times New Roman" w:eastAsia="Calibri" w:hAnsi="Times New Roman" w:cs="Times New Roman"/>
          <w:lang w:eastAsia="en-US"/>
        </w:rPr>
        <w:t>s</w:t>
      </w:r>
      <w:r w:rsidRPr="005A2345">
        <w:rPr>
          <w:rFonts w:ascii="Times New Roman" w:eastAsia="Calibri" w:hAnsi="Times New Roman" w:cs="Times New Roman"/>
          <w:lang w:eastAsia="en-US"/>
        </w:rPr>
        <w:t xml:space="preserve"> deben contemplar dentro de sus ordenamientos jurídicos recursos judiciales o administrativos adecuados y e</w:t>
      </w:r>
      <w:r w:rsidRPr="005A2345">
        <w:rPr>
          <w:rFonts w:ascii="Times New Roman" w:eastAsia="Calibri" w:hAnsi="Times New Roman" w:cs="Times New Roman"/>
          <w:lang w:eastAsia="en-US"/>
        </w:rPr>
        <w:t xml:space="preserve">fectivos que permitan controvertir la decisión que deniega el acceso a la información. </w:t>
      </w:r>
    </w:p>
    <w:p w:rsidR="001032B7" w:rsidRPr="005A2345" w:rsidRDefault="005A2345" w:rsidP="001032B7">
      <w:pPr>
        <w:pStyle w:val="Prrafodelista"/>
        <w:spacing w:after="0" w:line="240" w:lineRule="auto"/>
        <w:ind w:left="0"/>
        <w:jc w:val="both"/>
        <w:rPr>
          <w:rFonts w:ascii="Times New Roman" w:eastAsia="Calibri" w:hAnsi="Times New Roman" w:cs="Times New Roman"/>
          <w:lang w:eastAsia="en-US"/>
        </w:rPr>
      </w:pPr>
    </w:p>
    <w:p w:rsidR="001032B7"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 xml:space="preserve">Por su parte, la </w:t>
      </w:r>
      <w:bookmarkStart w:id="23" w:name="_Hlk169012103"/>
      <w:r w:rsidRPr="005A2345">
        <w:rPr>
          <w:rFonts w:ascii="Times New Roman" w:eastAsia="Calibri" w:hAnsi="Times New Roman" w:cs="Times New Roman"/>
          <w:lang w:eastAsia="en-US"/>
        </w:rPr>
        <w:t xml:space="preserve">Relatoría Especial para la Libertad de Expresión </w:t>
      </w:r>
      <w:bookmarkEnd w:id="23"/>
      <w:r w:rsidRPr="005A2345">
        <w:rPr>
          <w:rFonts w:ascii="Times New Roman" w:eastAsia="Calibri" w:hAnsi="Times New Roman" w:cs="Times New Roman"/>
          <w:lang w:eastAsia="en-US"/>
        </w:rPr>
        <w:t>de la Comisión Interamericana de Derechos Humanos en el informe temático denominado «Derecho a la inf</w:t>
      </w:r>
      <w:r w:rsidRPr="005A2345">
        <w:rPr>
          <w:rFonts w:ascii="Times New Roman" w:eastAsia="Calibri" w:hAnsi="Times New Roman" w:cs="Times New Roman"/>
          <w:lang w:eastAsia="en-US"/>
        </w:rPr>
        <w:t xml:space="preserve">ormación y seguridad nacional», recogió buenas prácticas de varios Estados al momento de establecer reservas de información basadas en la protección de la seguridad nacional. Frente a ello, se advirtió que esta es una de las razones que más se invoca para </w:t>
      </w:r>
      <w:r w:rsidRPr="005A2345">
        <w:rPr>
          <w:rFonts w:ascii="Times New Roman" w:eastAsia="Calibri" w:hAnsi="Times New Roman" w:cs="Times New Roman"/>
          <w:lang w:eastAsia="en-US"/>
        </w:rPr>
        <w:t>negar información pública, pero en los casos más comunes no se cuenta con un marco legal claro y preciso para hacerlo. Conforme a los hallazgos, la Relatoría afirmó que no pueden aplicarse restricciones al derecho a la información invocándose razones de se</w:t>
      </w:r>
      <w:r w:rsidRPr="005A2345">
        <w:rPr>
          <w:rFonts w:ascii="Times New Roman" w:eastAsia="Calibri" w:hAnsi="Times New Roman" w:cs="Times New Roman"/>
          <w:lang w:eastAsia="en-US"/>
        </w:rPr>
        <w:t>guridad nacional, salvo que se demuestre que (i) la restricción está previamente definida en la ley, (ii) es necesaria en una sociedad democrática y (iii) es para proteger un interés público legítimo de seguridad nacional. Además, la ley debe contemplar me</w:t>
      </w:r>
      <w:r w:rsidRPr="005A2345">
        <w:rPr>
          <w:rFonts w:ascii="Times New Roman" w:eastAsia="Calibri" w:hAnsi="Times New Roman" w:cs="Times New Roman"/>
          <w:lang w:eastAsia="en-US"/>
        </w:rPr>
        <w:t>canismos adecuados y efectivos que permitan controvertir las decisiones que nieguen el acceso a la información sin las garantías antes mencionadas.</w:t>
      </w:r>
      <w:r w:rsidRPr="005A2345">
        <w:rPr>
          <w:rFonts w:ascii="Times New Roman" w:eastAsia="Calibri" w:hAnsi="Times New Roman" w:cs="Times New Roman"/>
          <w:vertAlign w:val="superscript"/>
        </w:rPr>
        <w:footnoteReference w:id="55"/>
      </w:r>
      <w:r w:rsidRPr="005A2345">
        <w:rPr>
          <w:rFonts w:ascii="Times New Roman" w:eastAsia="Calibri" w:hAnsi="Times New Roman" w:cs="Times New Roman"/>
          <w:lang w:eastAsia="en-US"/>
        </w:rPr>
        <w:t xml:space="preserve"> Igualmente, la CIDH señaló que las limitaciones al derecho de acceso a la información deben cumplir con los</w:t>
      </w:r>
      <w:r w:rsidRPr="005A2345">
        <w:rPr>
          <w:rFonts w:ascii="Times New Roman" w:eastAsia="Calibri" w:hAnsi="Times New Roman" w:cs="Times New Roman"/>
          <w:lang w:eastAsia="en-US"/>
        </w:rPr>
        <w:t xml:space="preserve"> principios de necesidad, idoneidad y proporcionalidad.</w:t>
      </w:r>
    </w:p>
    <w:p w:rsidR="001032B7" w:rsidRPr="005A2345" w:rsidRDefault="005A2345" w:rsidP="001032B7">
      <w:pPr>
        <w:pStyle w:val="Prrafodelista"/>
        <w:spacing w:after="0" w:line="240" w:lineRule="auto"/>
        <w:ind w:left="0"/>
        <w:jc w:val="both"/>
        <w:rPr>
          <w:rFonts w:ascii="Times New Roman" w:eastAsia="Calibri" w:hAnsi="Times New Roman" w:cs="Times New Roman"/>
          <w:lang w:eastAsia="en-US"/>
        </w:rPr>
      </w:pPr>
    </w:p>
    <w:p w:rsidR="00666798"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En el mismo sentido, resaltó que con base en los Principios de Tshwane el “interés legítimo de seguridad nacional” debe entenderse como «un interés cuyo verdadero objeto y principal efecto sea proteg</w:t>
      </w:r>
      <w:r w:rsidRPr="005A2345">
        <w:rPr>
          <w:rFonts w:ascii="Times New Roman" w:eastAsia="Calibri" w:hAnsi="Times New Roman" w:cs="Times New Roman"/>
          <w:lang w:eastAsia="en-US"/>
        </w:rPr>
        <w:t>er la seguridad nacional, de forma consistente con el derecho interno e internacional. En tal sentido, un interés de seguridad nacional no será legítimo cuando, por ejemplo, su objetivo real o su</w:t>
      </w:r>
      <w:r w:rsidRPr="005A2345">
        <w:rPr>
          <w:rFonts w:ascii="Times New Roman" w:eastAsia="Calibri" w:hAnsi="Times New Roman" w:cs="Times New Roman"/>
          <w:lang w:eastAsia="en-US"/>
        </w:rPr>
        <w:t xml:space="preserve"> </w:t>
      </w:r>
      <w:r w:rsidRPr="005A2345">
        <w:rPr>
          <w:rFonts w:ascii="Times New Roman" w:eastAsia="Calibri" w:hAnsi="Times New Roman" w:cs="Times New Roman"/>
          <w:lang w:eastAsia="en-US"/>
        </w:rPr>
        <w:t>principal efecto sea evitar que se señale a gobiernos o func</w:t>
      </w:r>
      <w:r w:rsidRPr="005A2345">
        <w:rPr>
          <w:rFonts w:ascii="Times New Roman" w:eastAsia="Calibri" w:hAnsi="Times New Roman" w:cs="Times New Roman"/>
          <w:lang w:eastAsia="en-US"/>
        </w:rPr>
        <w:t>ionarios por irregularidades u ocultar información sobre violaciones a los derechos humanos».</w:t>
      </w:r>
      <w:r w:rsidRPr="005A2345">
        <w:rPr>
          <w:rFonts w:ascii="Times New Roman" w:eastAsia="Calibri" w:hAnsi="Times New Roman" w:cs="Times New Roman"/>
          <w:vertAlign w:val="superscript"/>
        </w:rPr>
        <w:footnoteReference w:id="56"/>
      </w:r>
      <w:r w:rsidRPr="005A2345">
        <w:rPr>
          <w:rFonts w:ascii="Times New Roman" w:eastAsia="Calibri" w:hAnsi="Times New Roman" w:cs="Times New Roman"/>
          <w:lang w:eastAsia="en-US"/>
        </w:rPr>
        <w:t xml:space="preserve">  De acuerdo con lo anterior, cuando las autoridades públicas invoquen la causal de seguridad nacional para denegar el acceso a información o documentación públic</w:t>
      </w:r>
      <w:r w:rsidRPr="005A2345">
        <w:rPr>
          <w:rFonts w:ascii="Times New Roman" w:eastAsia="Calibri" w:hAnsi="Times New Roman" w:cs="Times New Roman"/>
          <w:lang w:eastAsia="en-US"/>
        </w:rPr>
        <w:t>a, no basta con invocarla de forma genérica, sino que debe «proporcionar razones específicas y sustanciales que respalden sus afirmaciones».</w:t>
      </w:r>
      <w:r w:rsidRPr="005A2345">
        <w:rPr>
          <w:rFonts w:ascii="Times New Roman" w:eastAsia="Calibri" w:hAnsi="Times New Roman" w:cs="Times New Roman"/>
          <w:vertAlign w:val="superscript"/>
        </w:rPr>
        <w:footnoteReference w:id="57"/>
      </w:r>
      <w:r w:rsidRPr="005A2345">
        <w:rPr>
          <w:rFonts w:ascii="Times New Roman" w:eastAsia="Calibri" w:hAnsi="Times New Roman" w:cs="Times New Roman"/>
          <w:lang w:eastAsia="en-US"/>
        </w:rPr>
        <w:t xml:space="preserve"> Para dar cumplimiento a este deber, es muy importante que la clasificación que se haga de la información atienda a</w:t>
      </w:r>
      <w:r w:rsidRPr="005A2345">
        <w:rPr>
          <w:rFonts w:ascii="Times New Roman" w:eastAsia="Calibri" w:hAnsi="Times New Roman" w:cs="Times New Roman"/>
          <w:lang w:eastAsia="en-US"/>
        </w:rPr>
        <w:t xml:space="preserve"> una motivación real de la reserva:</w:t>
      </w:r>
    </w:p>
    <w:p w:rsidR="00666798" w:rsidRPr="005A2345" w:rsidRDefault="005A2345" w:rsidP="00666798">
      <w:pPr>
        <w:jc w:val="both"/>
        <w:rPr>
          <w:rFonts w:ascii="Times New Roman" w:eastAsia="Calibri" w:hAnsi="Times New Roman" w:cs="Times New Roman"/>
          <w:sz w:val="28"/>
          <w:szCs w:val="28"/>
          <w:lang w:eastAsia="en-US"/>
        </w:rPr>
      </w:pPr>
    </w:p>
    <w:p w:rsidR="00666798" w:rsidRPr="005A2345" w:rsidRDefault="005A2345" w:rsidP="00666798">
      <w:pPr>
        <w:ind w:left="851" w:right="616"/>
        <w:jc w:val="both"/>
        <w:rPr>
          <w:rFonts w:ascii="Times New Roman" w:eastAsia="Calibri" w:hAnsi="Times New Roman" w:cs="Times New Roman"/>
          <w:sz w:val="28"/>
          <w:szCs w:val="26"/>
          <w:lang w:eastAsia="en-US"/>
        </w:rPr>
      </w:pPr>
      <w:r w:rsidRPr="005A2345">
        <w:rPr>
          <w:rFonts w:ascii="Times New Roman" w:eastAsia="Calibri" w:hAnsi="Times New Roman" w:cs="Times New Roman"/>
          <w:sz w:val="28"/>
          <w:szCs w:val="26"/>
          <w:lang w:eastAsia="en-US"/>
        </w:rPr>
        <w:t>«[…] en la práctica, al clasificar información, para poder limitar legítimamente el acceso a una determinada información en función de una excepción que haya sido prevista en la legislación para proteger la seguridad na</w:t>
      </w:r>
      <w:r w:rsidRPr="005A2345">
        <w:rPr>
          <w:rFonts w:ascii="Times New Roman" w:eastAsia="Calibri" w:hAnsi="Times New Roman" w:cs="Times New Roman"/>
          <w:sz w:val="28"/>
          <w:szCs w:val="26"/>
          <w:lang w:eastAsia="en-US"/>
        </w:rPr>
        <w:t>cional conforme los requisitos y condiciones antes expuestos, la autoridad a cargo deberá establecer, justificar, acreditar y exponer i) la subsunción de la información de que se trate con la causal previstas por la ley, es decir, deberá verificar y determ</w:t>
      </w:r>
      <w:r w:rsidRPr="005A2345">
        <w:rPr>
          <w:rFonts w:ascii="Times New Roman" w:eastAsia="Calibri" w:hAnsi="Times New Roman" w:cs="Times New Roman"/>
          <w:sz w:val="28"/>
          <w:szCs w:val="26"/>
          <w:lang w:eastAsia="en-US"/>
        </w:rPr>
        <w:t>inar que la información encaja en la tipicidad legal de la regla que habilita la restricción; ii) deberá fundamentar y acreditar que la divulgación de la información representa un riesgo real e identificable de perjuicio significativo para un interés legít</w:t>
      </w:r>
      <w:r w:rsidRPr="005A2345">
        <w:rPr>
          <w:rFonts w:ascii="Times New Roman" w:eastAsia="Calibri" w:hAnsi="Times New Roman" w:cs="Times New Roman"/>
          <w:sz w:val="28"/>
          <w:szCs w:val="26"/>
          <w:lang w:eastAsia="en-US"/>
        </w:rPr>
        <w:t>imo de seguridad nacional y que ese riesgo supera al interés público de difundir la información».</w:t>
      </w:r>
    </w:p>
    <w:p w:rsidR="00666798" w:rsidRPr="005A2345" w:rsidRDefault="005A2345" w:rsidP="005321D4">
      <w:pPr>
        <w:jc w:val="both"/>
        <w:rPr>
          <w:rFonts w:ascii="Times New Roman" w:eastAsia="Calibri" w:hAnsi="Times New Roman" w:cs="Times New Roman"/>
          <w:sz w:val="28"/>
          <w:szCs w:val="28"/>
          <w:lang w:eastAsia="en-US"/>
        </w:rPr>
      </w:pPr>
    </w:p>
    <w:p w:rsidR="005321D4"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 xml:space="preserve">En este mismo informe la Relatoría subrayó que los Estados, al momento de establecer una reserva por motivos de seguridad nacional, deben ponderar la </w:t>
      </w:r>
      <w:r w:rsidRPr="005A2345">
        <w:rPr>
          <w:rFonts w:ascii="Times New Roman" w:eastAsia="Calibri" w:hAnsi="Times New Roman" w:cs="Times New Roman"/>
          <w:lang w:eastAsia="en-US"/>
        </w:rPr>
        <w:t>supremacía del interés público que se encuentre de por medio. Por ejemplo, en los casos de graves violaciones a los derechos humanos y el derecho internacional humanitario existe una fuerte presunción a favor de su divulgación dado el interés público que r</w:t>
      </w:r>
      <w:r w:rsidRPr="005A2345">
        <w:rPr>
          <w:rFonts w:ascii="Times New Roman" w:eastAsia="Calibri" w:hAnsi="Times New Roman" w:cs="Times New Roman"/>
          <w:lang w:eastAsia="en-US"/>
        </w:rPr>
        <w:t>epresentan estos hechos.</w:t>
      </w:r>
      <w:r w:rsidRPr="005A2345">
        <w:rPr>
          <w:rFonts w:ascii="Times New Roman" w:eastAsia="Calibri" w:hAnsi="Times New Roman" w:cs="Times New Roman"/>
          <w:vertAlign w:val="superscript"/>
        </w:rPr>
        <w:footnoteReference w:id="58"/>
      </w:r>
      <w:r w:rsidRPr="005A2345">
        <w:rPr>
          <w:rFonts w:ascii="Times New Roman" w:eastAsia="Calibri" w:hAnsi="Times New Roman" w:cs="Times New Roman"/>
          <w:lang w:eastAsia="en-US"/>
        </w:rPr>
        <w:t xml:space="preserve"> Lo anterior también garantiza la no repetición de los hechos, el derecho de las víctimas a conocer la verdad y la construcción de la memoria colectiva. </w:t>
      </w:r>
    </w:p>
    <w:p w:rsidR="005321D4" w:rsidRPr="005A2345" w:rsidRDefault="005A2345" w:rsidP="005321D4">
      <w:pPr>
        <w:pStyle w:val="Prrafodelista"/>
        <w:spacing w:after="0" w:line="240" w:lineRule="auto"/>
        <w:ind w:left="0"/>
        <w:jc w:val="both"/>
        <w:rPr>
          <w:rFonts w:ascii="Times New Roman" w:eastAsia="Calibri" w:hAnsi="Times New Roman" w:cs="Times New Roman"/>
          <w:lang w:eastAsia="en-US"/>
        </w:rPr>
      </w:pPr>
    </w:p>
    <w:p w:rsidR="005321D4"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En igual sentido a los estándares nacionales, la Relatoría señaló que la inf</w:t>
      </w:r>
      <w:r w:rsidRPr="005A2345">
        <w:rPr>
          <w:rFonts w:ascii="Times New Roman" w:eastAsia="Calibri" w:hAnsi="Times New Roman" w:cs="Times New Roman"/>
          <w:lang w:eastAsia="en-US"/>
        </w:rPr>
        <w:t>ormación pública bajo reserva por motivos de seguridad nacional claramente demostrados, debe estar sujeta a un límite temporal estrictamente necesario para proteger el interés legítimo que se pretende asegurar. Así, la Relatoría insistió en que ninguna inf</w:t>
      </w:r>
      <w:r w:rsidRPr="005A2345">
        <w:rPr>
          <w:rFonts w:ascii="Times New Roman" w:eastAsia="Calibri" w:hAnsi="Times New Roman" w:cs="Times New Roman"/>
          <w:lang w:eastAsia="en-US"/>
        </w:rPr>
        <w:t>ormación podrá tener carácter clasificado por razones de seguridad nacional en forma indefinida.</w:t>
      </w:r>
    </w:p>
    <w:p w:rsidR="005321D4" w:rsidRPr="005A2345" w:rsidRDefault="005A2345" w:rsidP="005321D4">
      <w:pPr>
        <w:pStyle w:val="Prrafodelista"/>
        <w:rPr>
          <w:rFonts w:ascii="Times New Roman" w:eastAsia="Calibri" w:hAnsi="Times New Roman" w:cs="Times New Roman"/>
          <w:lang w:eastAsia="en-US"/>
        </w:rPr>
      </w:pPr>
    </w:p>
    <w:p w:rsidR="00666798" w:rsidRPr="005A2345" w:rsidRDefault="005A2345" w:rsidP="00076595">
      <w:pPr>
        <w:pStyle w:val="Prrafodelista"/>
        <w:numPr>
          <w:ilvl w:val="0"/>
          <w:numId w:val="5"/>
        </w:numPr>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 xml:space="preserve">Así mismo existen otros documentos </w:t>
      </w:r>
      <w:r w:rsidRPr="005A2345">
        <w:rPr>
          <w:rFonts w:ascii="Times New Roman" w:eastAsia="Calibri" w:hAnsi="Times New Roman" w:cs="Times New Roman"/>
          <w:i/>
          <w:iCs/>
          <w:lang w:eastAsia="en-US"/>
        </w:rPr>
        <w:t>soft law</w:t>
      </w:r>
      <w:r w:rsidRPr="005A2345">
        <w:rPr>
          <w:rFonts w:ascii="Times New Roman" w:eastAsia="Calibri" w:hAnsi="Times New Roman" w:cs="Times New Roman"/>
          <w:lang w:eastAsia="en-US"/>
        </w:rPr>
        <w:t xml:space="preserve"> sobre la importancia del acceso a la información pública, que </w:t>
      </w:r>
      <w:r w:rsidRPr="005A2345">
        <w:rPr>
          <w:rFonts w:ascii="Times New Roman" w:eastAsia="Calibri" w:hAnsi="Times New Roman" w:cs="Times New Roman"/>
          <w:lang w:eastAsia="en-US"/>
        </w:rPr>
        <w:t xml:space="preserve">a </w:t>
      </w:r>
      <w:r w:rsidRPr="005A2345">
        <w:rPr>
          <w:rFonts w:ascii="Times New Roman" w:eastAsia="Calibri" w:hAnsi="Times New Roman" w:cs="Times New Roman"/>
          <w:lang w:eastAsia="en-US"/>
        </w:rPr>
        <w:t xml:space="preserve">pesar de que no hacen parte del bloque de </w:t>
      </w:r>
      <w:r w:rsidRPr="005A2345">
        <w:rPr>
          <w:rFonts w:ascii="Times New Roman" w:eastAsia="Calibri" w:hAnsi="Times New Roman" w:cs="Times New Roman"/>
          <w:lang w:eastAsia="en-US"/>
        </w:rPr>
        <w:t>constitucionalidad, configuran doctrina relevante. La jurisprudencia constitucional ha mencionado,</w:t>
      </w:r>
      <w:r w:rsidRPr="005A2345">
        <w:rPr>
          <w:rFonts w:ascii="Times New Roman" w:eastAsia="Calibri" w:hAnsi="Times New Roman" w:cs="Times New Roman"/>
          <w:vertAlign w:val="superscript"/>
        </w:rPr>
        <w:footnoteReference w:id="59"/>
      </w:r>
      <w:r w:rsidRPr="005A2345">
        <w:rPr>
          <w:rFonts w:ascii="Times New Roman" w:eastAsia="Calibri" w:hAnsi="Times New Roman" w:cs="Times New Roman"/>
          <w:lang w:eastAsia="en-US"/>
        </w:rPr>
        <w:t xml:space="preserve"> por ejemplo, la Carta Democrática Interamericana,</w:t>
      </w:r>
      <w:r w:rsidRPr="005A2345">
        <w:rPr>
          <w:rFonts w:ascii="Times New Roman" w:eastAsia="Calibri" w:hAnsi="Times New Roman" w:cs="Times New Roman"/>
          <w:vertAlign w:val="superscript"/>
        </w:rPr>
        <w:footnoteReference w:id="60"/>
      </w:r>
      <w:r w:rsidRPr="005A2345">
        <w:rPr>
          <w:rFonts w:ascii="Times New Roman" w:eastAsia="Calibri" w:hAnsi="Times New Roman" w:cs="Times New Roman"/>
          <w:lang w:eastAsia="en-US"/>
        </w:rPr>
        <w:t xml:space="preserve"> la Declaración de Chapultepec,</w:t>
      </w:r>
      <w:r w:rsidRPr="005A2345">
        <w:rPr>
          <w:rFonts w:ascii="Times New Roman" w:eastAsia="Calibri" w:hAnsi="Times New Roman" w:cs="Times New Roman"/>
          <w:vertAlign w:val="superscript"/>
        </w:rPr>
        <w:footnoteReference w:id="61"/>
      </w:r>
      <w:r w:rsidRPr="005A2345">
        <w:rPr>
          <w:rFonts w:ascii="Times New Roman" w:eastAsia="Calibri" w:hAnsi="Times New Roman" w:cs="Times New Roman"/>
          <w:lang w:eastAsia="en-US"/>
        </w:rPr>
        <w:t> la Declaración de Principios sobre la Libertad de Expresión de la Comisió</w:t>
      </w:r>
      <w:r w:rsidRPr="005A2345">
        <w:rPr>
          <w:rFonts w:ascii="Times New Roman" w:eastAsia="Calibri" w:hAnsi="Times New Roman" w:cs="Times New Roman"/>
          <w:lang w:eastAsia="en-US"/>
        </w:rPr>
        <w:t>n Interamericana de Derechos Humanos,</w:t>
      </w:r>
      <w:r w:rsidRPr="005A2345">
        <w:rPr>
          <w:rFonts w:ascii="Times New Roman" w:eastAsia="Calibri" w:hAnsi="Times New Roman" w:cs="Times New Roman"/>
          <w:vertAlign w:val="superscript"/>
        </w:rPr>
        <w:footnoteReference w:id="62"/>
      </w:r>
      <w:r w:rsidRPr="005A2345">
        <w:rPr>
          <w:rFonts w:ascii="Times New Roman" w:eastAsia="Calibri" w:hAnsi="Times New Roman" w:cs="Times New Roman"/>
          <w:lang w:eastAsia="en-US"/>
        </w:rPr>
        <w:t xml:space="preserve"> los Principios de Johannesburgo sobre la Seguridad Nacional, la Libertad de Expresión y el Acceso a la Información,</w:t>
      </w:r>
      <w:r w:rsidRPr="005A2345">
        <w:rPr>
          <w:rFonts w:ascii="Times New Roman" w:eastAsia="Calibri" w:hAnsi="Times New Roman" w:cs="Times New Roman"/>
          <w:vertAlign w:val="superscript"/>
        </w:rPr>
        <w:footnoteReference w:id="63"/>
      </w:r>
      <w:r w:rsidRPr="005A2345">
        <w:rPr>
          <w:rFonts w:ascii="Times New Roman" w:eastAsia="Calibri" w:hAnsi="Times New Roman" w:cs="Times New Roman"/>
          <w:lang w:eastAsia="en-US"/>
        </w:rPr>
        <w:t xml:space="preserve"> los llamados Principios de Lima</w:t>
      </w:r>
      <w:r w:rsidRPr="005A2345">
        <w:rPr>
          <w:rFonts w:ascii="Times New Roman" w:eastAsia="Calibri" w:hAnsi="Times New Roman" w:cs="Times New Roman"/>
          <w:vertAlign w:val="superscript"/>
        </w:rPr>
        <w:footnoteReference w:id="64"/>
      </w:r>
      <w:r w:rsidRPr="005A2345">
        <w:rPr>
          <w:rFonts w:ascii="Times New Roman" w:eastAsia="Calibri" w:hAnsi="Times New Roman" w:cs="Times New Roman"/>
          <w:lang w:eastAsia="en-US"/>
        </w:rPr>
        <w:t xml:space="preserve"> y los Principios de Tshwane, o Principios Globales sobre Seguridad </w:t>
      </w:r>
      <w:r w:rsidRPr="005A2345">
        <w:rPr>
          <w:rFonts w:ascii="Times New Roman" w:eastAsia="Calibri" w:hAnsi="Times New Roman" w:cs="Times New Roman"/>
          <w:lang w:eastAsia="en-US"/>
        </w:rPr>
        <w:t>Nacional y el Derecho a la Información.</w:t>
      </w:r>
      <w:r w:rsidRPr="005A2345">
        <w:rPr>
          <w:rFonts w:ascii="Times New Roman" w:eastAsia="Calibri" w:hAnsi="Times New Roman" w:cs="Times New Roman"/>
          <w:vertAlign w:val="superscript"/>
        </w:rPr>
        <w:footnoteReference w:id="65"/>
      </w:r>
    </w:p>
    <w:p w:rsidR="00666798" w:rsidRPr="005A2345" w:rsidRDefault="005A2345" w:rsidP="00666798">
      <w:pPr>
        <w:jc w:val="both"/>
        <w:rPr>
          <w:rFonts w:ascii="Times New Roman" w:eastAsia="Calibri" w:hAnsi="Times New Roman" w:cs="Times New Roman"/>
          <w:i/>
          <w:iCs/>
          <w:sz w:val="28"/>
          <w:szCs w:val="28"/>
          <w:lang w:eastAsia="en-US"/>
        </w:rPr>
      </w:pPr>
    </w:p>
    <w:p w:rsidR="00666798" w:rsidRPr="005A2345" w:rsidRDefault="005A2345" w:rsidP="00666798">
      <w:pPr>
        <w:jc w:val="both"/>
        <w:rPr>
          <w:rFonts w:ascii="Times New Roman" w:eastAsia="Calibri" w:hAnsi="Times New Roman" w:cs="Times New Roman"/>
          <w:i/>
          <w:iCs/>
          <w:sz w:val="28"/>
          <w:szCs w:val="28"/>
          <w:lang w:eastAsia="en-US"/>
        </w:rPr>
      </w:pPr>
      <w:r w:rsidRPr="005A2345">
        <w:rPr>
          <w:rFonts w:ascii="Times New Roman" w:eastAsia="Calibri" w:hAnsi="Times New Roman" w:cs="Times New Roman"/>
          <w:i/>
          <w:iCs/>
          <w:sz w:val="28"/>
          <w:szCs w:val="28"/>
          <w:lang w:eastAsia="en-US"/>
        </w:rPr>
        <w:t>El derecho al acceso a documentos públicos en el marco de procesos de paz o de sometimiento a la justicia</w:t>
      </w:r>
    </w:p>
    <w:p w:rsidR="00666798" w:rsidRPr="005A2345" w:rsidRDefault="005A2345" w:rsidP="008200E6">
      <w:pPr>
        <w:jc w:val="both"/>
        <w:rPr>
          <w:rFonts w:ascii="Times New Roman" w:eastAsia="Calibri" w:hAnsi="Times New Roman" w:cs="Times New Roman"/>
          <w:sz w:val="28"/>
          <w:szCs w:val="28"/>
          <w:lang w:eastAsia="en-US"/>
        </w:rPr>
      </w:pPr>
    </w:p>
    <w:p w:rsidR="008200E6"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Como será descrito de forma más detallada en un capítulo posterior, la norma demandada hace parte de un cue</w:t>
      </w:r>
      <w:r w:rsidRPr="005A2345">
        <w:rPr>
          <w:rFonts w:ascii="Times New Roman" w:eastAsia="Calibri" w:hAnsi="Times New Roman" w:cs="Times New Roman"/>
          <w:lang w:eastAsia="en-US"/>
        </w:rPr>
        <w:t>rpo normativo que define la política de paz del Estado y regula la posibilidad de avanzar en negociaciones, acercamientos y conversaciones con grupos armados organizados o estructuras armadas organizadas de crimen de alto impacto, con miras a firmar acuerd</w:t>
      </w:r>
      <w:r w:rsidRPr="005A2345">
        <w:rPr>
          <w:rFonts w:ascii="Times New Roman" w:eastAsia="Calibri" w:hAnsi="Times New Roman" w:cs="Times New Roman"/>
          <w:lang w:eastAsia="en-US"/>
        </w:rPr>
        <w:t xml:space="preserve">os de paz o </w:t>
      </w:r>
      <w:r w:rsidRPr="005A2345">
        <w:rPr>
          <w:rFonts w:ascii="Times New Roman" w:eastAsia="Calibri" w:hAnsi="Times New Roman" w:cs="Times New Roman"/>
          <w:lang w:eastAsia="en-US"/>
        </w:rPr>
        <w:t xml:space="preserve">acuerdos de </w:t>
      </w:r>
      <w:r w:rsidRPr="005A2345">
        <w:rPr>
          <w:rFonts w:ascii="Times New Roman" w:eastAsia="Calibri" w:hAnsi="Times New Roman" w:cs="Times New Roman"/>
          <w:lang w:eastAsia="en-US"/>
        </w:rPr>
        <w:t>sometimiento a la justicia, según el caso. De tal forma, para la Sala es relevante hacer algunas consideraciones especiales sobre el ejercicio del derecho de acceso a la información pública y</w:t>
      </w:r>
      <w:r w:rsidRPr="005A2345">
        <w:rPr>
          <w:rFonts w:ascii="Times New Roman" w:eastAsia="Calibri" w:hAnsi="Times New Roman" w:cs="Times New Roman"/>
          <w:lang w:eastAsia="en-US"/>
        </w:rPr>
        <w:t>,</w:t>
      </w:r>
      <w:r w:rsidRPr="005A2345">
        <w:rPr>
          <w:rFonts w:ascii="Times New Roman" w:eastAsia="Calibri" w:hAnsi="Times New Roman" w:cs="Times New Roman"/>
          <w:lang w:eastAsia="en-US"/>
        </w:rPr>
        <w:t xml:space="preserve"> en particular, a documentos públicos, e</w:t>
      </w:r>
      <w:r w:rsidRPr="005A2345">
        <w:rPr>
          <w:rFonts w:ascii="Times New Roman" w:eastAsia="Calibri" w:hAnsi="Times New Roman" w:cs="Times New Roman"/>
          <w:lang w:eastAsia="en-US"/>
        </w:rPr>
        <w:t xml:space="preserve">n este tipo de contextos. </w:t>
      </w:r>
    </w:p>
    <w:p w:rsidR="008200E6" w:rsidRPr="005A2345" w:rsidRDefault="005A2345" w:rsidP="008200E6">
      <w:pPr>
        <w:pStyle w:val="Prrafodelista"/>
        <w:tabs>
          <w:tab w:val="left" w:pos="426"/>
        </w:tabs>
        <w:spacing w:after="0" w:line="240" w:lineRule="auto"/>
        <w:ind w:left="0"/>
        <w:jc w:val="both"/>
        <w:rPr>
          <w:rFonts w:ascii="Times New Roman" w:eastAsia="Calibri" w:hAnsi="Times New Roman" w:cs="Times New Roman"/>
          <w:lang w:eastAsia="en-US"/>
        </w:rPr>
      </w:pPr>
    </w:p>
    <w:p w:rsidR="008200E6"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En efecto, algunos de los intervinientes en el presente expediente,</w:t>
      </w:r>
      <w:r w:rsidRPr="005A2345">
        <w:rPr>
          <w:rFonts w:ascii="Times New Roman" w:eastAsia="Calibri" w:hAnsi="Times New Roman" w:cs="Times New Roman"/>
          <w:vertAlign w:val="superscript"/>
        </w:rPr>
        <w:footnoteReference w:id="66"/>
      </w:r>
      <w:r w:rsidRPr="005A2345">
        <w:rPr>
          <w:rFonts w:ascii="Times New Roman" w:eastAsia="Calibri" w:hAnsi="Times New Roman" w:cs="Times New Roman"/>
          <w:lang w:eastAsia="en-US"/>
        </w:rPr>
        <w:t xml:space="preserve"> reconocieron que, bajo la experiencia de las negociaciones de paz con las FARC-EP, es necesario un nivel de confidencialidad y reserva en estos procesos con el</w:t>
      </w:r>
      <w:r w:rsidRPr="005A2345">
        <w:rPr>
          <w:rFonts w:ascii="Times New Roman" w:eastAsia="Calibri" w:hAnsi="Times New Roman" w:cs="Times New Roman"/>
          <w:lang w:eastAsia="en-US"/>
        </w:rPr>
        <w:t xml:space="preserve"> objeto de proteger los acercamientos de posibles intromisiones de grupos opositores y fortalecer la confianza entre las partes negociantes. De ese modo, en estos contextos se presenta una clara «tensión entre la necesidad del escrutinio público de los diá</w:t>
      </w:r>
      <w:r w:rsidRPr="005A2345">
        <w:rPr>
          <w:rFonts w:ascii="Times New Roman" w:eastAsia="Calibri" w:hAnsi="Times New Roman" w:cs="Times New Roman"/>
          <w:lang w:eastAsia="en-US"/>
        </w:rPr>
        <w:t>logos de paz como desarrollo de políticas e iniciativas estatales y el secretismo como aspecto que permite que las partes dialoguen de manera tranquila».</w:t>
      </w:r>
      <w:r w:rsidRPr="005A2345">
        <w:rPr>
          <w:rFonts w:ascii="Times New Roman" w:eastAsia="Calibri" w:hAnsi="Times New Roman" w:cs="Times New Roman"/>
          <w:vertAlign w:val="superscript"/>
        </w:rPr>
        <w:footnoteReference w:id="67"/>
      </w:r>
    </w:p>
    <w:p w:rsidR="008200E6" w:rsidRPr="005A2345" w:rsidRDefault="005A2345" w:rsidP="008200E6">
      <w:pPr>
        <w:pStyle w:val="Prrafodelista"/>
        <w:rPr>
          <w:rFonts w:ascii="Times New Roman" w:eastAsia="Calibri" w:hAnsi="Times New Roman" w:cs="Times New Roman"/>
          <w:lang w:eastAsia="en-US"/>
        </w:rPr>
      </w:pPr>
    </w:p>
    <w:p w:rsidR="008200E6"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El Institute for Integrated Transitions (IFIT), en un análisis sobre la fase exploratoria del proces</w:t>
      </w:r>
      <w:r w:rsidRPr="005A2345">
        <w:rPr>
          <w:rFonts w:ascii="Times New Roman" w:eastAsia="Calibri" w:hAnsi="Times New Roman" w:cs="Times New Roman"/>
          <w:lang w:eastAsia="en-US"/>
        </w:rPr>
        <w:t>o de paz,</w:t>
      </w:r>
      <w:r w:rsidRPr="005A2345">
        <w:rPr>
          <w:rFonts w:ascii="Times New Roman" w:eastAsia="Calibri" w:hAnsi="Times New Roman" w:cs="Times New Roman"/>
          <w:vertAlign w:val="superscript"/>
        </w:rPr>
        <w:footnoteReference w:id="68"/>
      </w:r>
      <w:r w:rsidRPr="005A2345">
        <w:rPr>
          <w:rFonts w:ascii="Times New Roman" w:eastAsia="Calibri" w:hAnsi="Times New Roman" w:cs="Times New Roman"/>
          <w:lang w:eastAsia="en-US"/>
        </w:rPr>
        <w:t xml:space="preserve"> advirtió que antes de la firma del Acuerdo Final de Paz, sucedieron innumerables cosas que no fueron expuestas al público. Lo anterior tiene varias razones. Las primeras etapas, en las que las partes declaradas como enemigos, se acercan para ace</w:t>
      </w:r>
      <w:r w:rsidRPr="005A2345">
        <w:rPr>
          <w:rFonts w:ascii="Times New Roman" w:eastAsia="Calibri" w:hAnsi="Times New Roman" w:cs="Times New Roman"/>
          <w:lang w:eastAsia="en-US"/>
        </w:rPr>
        <w:t>ptar dialogar y llegar a acuerdos, requieren de mucha prudencia y precisión, y son «definitivas para construir una negociación seria y con posibilidades de éxito».</w:t>
      </w:r>
      <w:r w:rsidRPr="005A2345">
        <w:rPr>
          <w:rFonts w:ascii="Times New Roman" w:eastAsia="Calibri" w:hAnsi="Times New Roman" w:cs="Times New Roman"/>
          <w:vertAlign w:val="superscript"/>
        </w:rPr>
        <w:footnoteReference w:id="69"/>
      </w:r>
      <w:r w:rsidRPr="005A2345">
        <w:rPr>
          <w:rFonts w:ascii="Times New Roman" w:eastAsia="Calibri" w:hAnsi="Times New Roman" w:cs="Times New Roman"/>
          <w:lang w:eastAsia="en-US"/>
        </w:rPr>
        <w:t xml:space="preserve"> La negociación de paz en Colombia se inició en el año 2010 con una fase exploratoria y abso</w:t>
      </w:r>
      <w:r w:rsidRPr="005A2345">
        <w:rPr>
          <w:rFonts w:ascii="Times New Roman" w:eastAsia="Calibri" w:hAnsi="Times New Roman" w:cs="Times New Roman"/>
          <w:lang w:eastAsia="en-US"/>
        </w:rPr>
        <w:t>lutamente confidencial que tomó hasta dos años, en los cuales se evitó cualquier información a la opinión pública y a los medios de comunicación. Una vez se culminó con esta estructuración del proceso de paz entre las partes (“la negociación para la negoci</w:t>
      </w:r>
      <w:r w:rsidRPr="005A2345">
        <w:rPr>
          <w:rFonts w:ascii="Times New Roman" w:eastAsia="Calibri" w:hAnsi="Times New Roman" w:cs="Times New Roman"/>
          <w:lang w:eastAsia="en-US"/>
        </w:rPr>
        <w:t xml:space="preserve">ación”), se definió un acuerdo marco y se </w:t>
      </w:r>
      <w:r w:rsidRPr="005A2345">
        <w:rPr>
          <w:rFonts w:ascii="Times New Roman" w:eastAsia="Calibri" w:hAnsi="Times New Roman" w:cs="Times New Roman"/>
          <w:lang w:eastAsia="en-US"/>
        </w:rPr>
        <w:t>dio inicio a</w:t>
      </w:r>
      <w:r w:rsidRPr="005A2345">
        <w:rPr>
          <w:rFonts w:ascii="Times New Roman" w:eastAsia="Calibri" w:hAnsi="Times New Roman" w:cs="Times New Roman"/>
          <w:lang w:eastAsia="en-US"/>
        </w:rPr>
        <w:t xml:space="preserve"> una fase pública de conversaciones de cuatro años. </w:t>
      </w:r>
    </w:p>
    <w:p w:rsidR="008200E6" w:rsidRPr="005A2345" w:rsidRDefault="005A2345" w:rsidP="008200E6">
      <w:pPr>
        <w:pStyle w:val="Prrafodelista"/>
        <w:rPr>
          <w:rFonts w:ascii="Times New Roman" w:eastAsia="Calibri" w:hAnsi="Times New Roman" w:cs="Times New Roman"/>
          <w:lang w:eastAsia="en-US"/>
        </w:rPr>
      </w:pPr>
    </w:p>
    <w:p w:rsidR="008200E6"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De esta experiencia del proceso de paz con las FARC-EP, el Institute for Integrated Transitions (IFIT) afirmó que a pesar de que en las etapas prepa</w:t>
      </w:r>
      <w:r w:rsidRPr="005A2345">
        <w:rPr>
          <w:rFonts w:ascii="Times New Roman" w:eastAsia="Calibri" w:hAnsi="Times New Roman" w:cs="Times New Roman"/>
          <w:lang w:eastAsia="en-US"/>
        </w:rPr>
        <w:t>ratorias y de exploración se debe mantener una confidencialidad necesaria,</w:t>
      </w:r>
      <w:r w:rsidRPr="005A2345">
        <w:rPr>
          <w:rFonts w:ascii="Times New Roman" w:eastAsia="Calibri" w:hAnsi="Times New Roman" w:cs="Times New Roman"/>
          <w:vertAlign w:val="superscript"/>
        </w:rPr>
        <w:footnoteReference w:id="70"/>
      </w:r>
      <w:r w:rsidRPr="005A2345">
        <w:rPr>
          <w:rFonts w:ascii="Times New Roman" w:eastAsia="Calibri" w:hAnsi="Times New Roman" w:cs="Times New Roman"/>
          <w:lang w:eastAsia="en-US"/>
        </w:rPr>
        <w:t xml:space="preserve"> también es importante que, avanzadas las etapas más delicadas, el Estado contemple mecanismos a través de los cuales se hagan públicas las decisiones que se tomen sobre la mesa de </w:t>
      </w:r>
      <w:r w:rsidRPr="005A2345">
        <w:rPr>
          <w:rFonts w:ascii="Times New Roman" w:eastAsia="Calibri" w:hAnsi="Times New Roman" w:cs="Times New Roman"/>
          <w:lang w:eastAsia="en-US"/>
        </w:rPr>
        <w:t>las negociaciones.</w:t>
      </w:r>
      <w:r w:rsidRPr="005A2345">
        <w:rPr>
          <w:rFonts w:ascii="Times New Roman" w:eastAsia="Calibri" w:hAnsi="Times New Roman" w:cs="Times New Roman"/>
          <w:vertAlign w:val="superscript"/>
        </w:rPr>
        <w:footnoteReference w:id="71"/>
      </w:r>
      <w:r w:rsidRPr="005A2345">
        <w:rPr>
          <w:rFonts w:ascii="Times New Roman" w:eastAsia="Calibri" w:hAnsi="Times New Roman" w:cs="Times New Roman"/>
          <w:lang w:eastAsia="en-US"/>
        </w:rPr>
        <w:t xml:space="preserve"> En palabras de este centro de pensamiento: «durante el preludio de una negociación exitosa el peso lo tiene la necesidad de avanzar con eficacia y discreción hacia un hecho cumplido, mientras que una fase pública gravita en torno a cons</w:t>
      </w:r>
      <w:r w:rsidRPr="005A2345">
        <w:rPr>
          <w:rFonts w:ascii="Times New Roman" w:eastAsia="Calibri" w:hAnsi="Times New Roman" w:cs="Times New Roman"/>
          <w:lang w:eastAsia="en-US"/>
        </w:rPr>
        <w:t>truir la mayor legitimidad posible para lo acordado. Es como una ecuación: uno arranca con una confidencialidad alta -que permite lograr efectividad- y luego va subiendo el nivel de importancia de la publicidad para lograr legitimidad».</w:t>
      </w:r>
    </w:p>
    <w:p w:rsidR="008200E6" w:rsidRPr="005A2345" w:rsidRDefault="005A2345" w:rsidP="008200E6">
      <w:pPr>
        <w:pStyle w:val="Prrafodelista"/>
        <w:rPr>
          <w:rFonts w:ascii="Times New Roman" w:eastAsia="Calibri" w:hAnsi="Times New Roman" w:cs="Times New Roman"/>
          <w:lang w:eastAsia="en-US"/>
        </w:rPr>
      </w:pPr>
    </w:p>
    <w:p w:rsidR="008200E6"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Con base en eso, se asumió una estrategia de inclusión gradual de la participación ciudadana. Una vez se definió un acuerdo marco y una agenda conjunta entre las partes negociantes, se publicaban los avances a través de comunicados, cuyos borradores de acu</w:t>
      </w:r>
      <w:r w:rsidRPr="005A2345">
        <w:rPr>
          <w:rFonts w:ascii="Times New Roman" w:eastAsia="Calibri" w:hAnsi="Times New Roman" w:cs="Times New Roman"/>
          <w:lang w:eastAsia="en-US"/>
        </w:rPr>
        <w:t xml:space="preserve">erdos parciales se mantenían en la confidencialidad; pero a la vez, para llegar a estos acuerdos parciales se invitó a diferentes actores de la sociedad civil. Es decir, la apertura de la información a la opinión pública fue gradual por dos vías; </w:t>
      </w:r>
      <w:r w:rsidRPr="005A2345">
        <w:rPr>
          <w:rFonts w:ascii="Times New Roman" w:eastAsia="Calibri" w:hAnsi="Times New Roman" w:cs="Times New Roman"/>
          <w:lang w:eastAsia="en-US"/>
        </w:rPr>
        <w:t xml:space="preserve">(a) </w:t>
      </w:r>
      <w:r w:rsidRPr="005A2345">
        <w:rPr>
          <w:rFonts w:ascii="Times New Roman" w:eastAsia="Calibri" w:hAnsi="Times New Roman" w:cs="Times New Roman"/>
          <w:lang w:eastAsia="en-US"/>
        </w:rPr>
        <w:t xml:space="preserve">la participación de diferentes actores en el ámbito de la negociación de los puntos de la agenda y </w:t>
      </w:r>
      <w:r w:rsidRPr="005A2345">
        <w:rPr>
          <w:rFonts w:ascii="Times New Roman" w:eastAsia="Calibri" w:hAnsi="Times New Roman" w:cs="Times New Roman"/>
          <w:lang w:eastAsia="en-US"/>
        </w:rPr>
        <w:t xml:space="preserve">(b) </w:t>
      </w:r>
      <w:r w:rsidRPr="005A2345">
        <w:rPr>
          <w:rFonts w:ascii="Times New Roman" w:eastAsia="Calibri" w:hAnsi="Times New Roman" w:cs="Times New Roman"/>
          <w:lang w:eastAsia="en-US"/>
        </w:rPr>
        <w:t>la emisión de comunicados en los que se informaban los avances. Al respecto, se dice en el informe de IFIT, que en el acuerdo marco quedó plasmado un mod</w:t>
      </w:r>
      <w:r w:rsidRPr="005A2345">
        <w:rPr>
          <w:rFonts w:ascii="Times New Roman" w:eastAsia="Calibri" w:hAnsi="Times New Roman" w:cs="Times New Roman"/>
          <w:lang w:eastAsia="en-US"/>
        </w:rPr>
        <w:t>elo básico de tres tipos de participación ciudadana en la fase pública: «una en la mesa (a través de consultas directas a personas invitadas por las dos partes), otra fuera de la mesa (mediante foros organizados por un tercero) y una última de carácter per</w:t>
      </w:r>
      <w:r w:rsidRPr="005A2345">
        <w:rPr>
          <w:rFonts w:ascii="Times New Roman" w:eastAsia="Calibri" w:hAnsi="Times New Roman" w:cs="Times New Roman"/>
          <w:lang w:eastAsia="en-US"/>
        </w:rPr>
        <w:t>manente (materializada en unos formularios de propuestas que cualquier ciudadano podría enviar por correo o internet)».</w:t>
      </w:r>
      <w:r w:rsidRPr="005A2345">
        <w:rPr>
          <w:rFonts w:ascii="Times New Roman" w:eastAsia="Calibri" w:hAnsi="Times New Roman" w:cs="Times New Roman"/>
          <w:vertAlign w:val="superscript"/>
        </w:rPr>
        <w:footnoteReference w:id="72"/>
      </w:r>
    </w:p>
    <w:p w:rsidR="008200E6" w:rsidRPr="005A2345" w:rsidRDefault="005A2345" w:rsidP="008200E6">
      <w:pPr>
        <w:pStyle w:val="Prrafodelista"/>
        <w:tabs>
          <w:tab w:val="left" w:pos="426"/>
        </w:tabs>
        <w:spacing w:after="0" w:line="240" w:lineRule="auto"/>
        <w:ind w:left="0"/>
        <w:jc w:val="both"/>
        <w:rPr>
          <w:rFonts w:ascii="Times New Roman" w:eastAsia="Calibri" w:hAnsi="Times New Roman" w:cs="Times New Roman"/>
          <w:lang w:eastAsia="en-US"/>
        </w:rPr>
      </w:pPr>
    </w:p>
    <w:p w:rsidR="00666798"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lang w:eastAsia="en-US"/>
        </w:rPr>
      </w:pPr>
      <w:r w:rsidRPr="005A2345">
        <w:rPr>
          <w:rFonts w:ascii="Times New Roman" w:eastAsia="Calibri" w:hAnsi="Times New Roman" w:cs="Times New Roman"/>
          <w:lang w:eastAsia="en-US"/>
        </w:rPr>
        <w:t>De esa manera, bajo la experiencia del proceso con las FARC-EP, la apertura de la información fue gradual, según como iban avanzando l</w:t>
      </w:r>
      <w:r w:rsidRPr="005A2345">
        <w:rPr>
          <w:rFonts w:ascii="Times New Roman" w:eastAsia="Calibri" w:hAnsi="Times New Roman" w:cs="Times New Roman"/>
          <w:lang w:eastAsia="en-US"/>
        </w:rPr>
        <w:t>as etapas de las negociaciones. Esto también es corroborado por otros documentos y organizaciones que han estudiado la materia.</w:t>
      </w:r>
      <w:r w:rsidRPr="005A2345">
        <w:rPr>
          <w:rFonts w:ascii="Times New Roman" w:eastAsia="Calibri" w:hAnsi="Times New Roman" w:cs="Times New Roman"/>
          <w:vertAlign w:val="superscript"/>
        </w:rPr>
        <w:footnoteReference w:id="73"/>
      </w:r>
      <w:r w:rsidRPr="005A2345">
        <w:rPr>
          <w:rFonts w:ascii="Times New Roman" w:eastAsia="Calibri" w:hAnsi="Times New Roman" w:cs="Times New Roman"/>
          <w:lang w:eastAsia="en-US"/>
        </w:rPr>
        <w:t xml:space="preserve"> Por ejemplo, el informe escrito por varias entidades denominado </w:t>
      </w:r>
      <w:bookmarkStart w:id="26" w:name="_Hlk169161345"/>
      <w:r w:rsidRPr="005A2345">
        <w:rPr>
          <w:rFonts w:ascii="Times New Roman" w:eastAsia="Calibri" w:hAnsi="Times New Roman" w:cs="Times New Roman"/>
          <w:lang w:eastAsia="en-US"/>
        </w:rPr>
        <w:t>“Lecciones para los diálogos de paz en Oslo y La Habana”</w:t>
      </w:r>
      <w:bookmarkEnd w:id="26"/>
      <w:r w:rsidRPr="005A2345">
        <w:rPr>
          <w:rFonts w:ascii="Times New Roman" w:eastAsia="Calibri" w:hAnsi="Times New Roman" w:cs="Times New Roman"/>
          <w:lang w:eastAsia="en-US"/>
        </w:rPr>
        <w:t>, sugir</w:t>
      </w:r>
      <w:r w:rsidRPr="005A2345">
        <w:rPr>
          <w:rFonts w:ascii="Times New Roman" w:eastAsia="Calibri" w:hAnsi="Times New Roman" w:cs="Times New Roman"/>
          <w:lang w:eastAsia="en-US"/>
        </w:rPr>
        <w:t xml:space="preserve">ió lo siguiente: </w:t>
      </w:r>
    </w:p>
    <w:p w:rsidR="00666798" w:rsidRPr="005A2345" w:rsidRDefault="005A2345" w:rsidP="00666798">
      <w:pPr>
        <w:jc w:val="both"/>
        <w:rPr>
          <w:rFonts w:ascii="Times New Roman" w:eastAsia="Calibri" w:hAnsi="Times New Roman" w:cs="Times New Roman"/>
          <w:sz w:val="28"/>
          <w:szCs w:val="28"/>
          <w:lang w:eastAsia="en-US"/>
        </w:rPr>
      </w:pPr>
    </w:p>
    <w:p w:rsidR="00666798" w:rsidRPr="005A2345" w:rsidRDefault="005A2345" w:rsidP="00666798">
      <w:pPr>
        <w:ind w:left="851" w:right="616"/>
        <w:jc w:val="both"/>
        <w:rPr>
          <w:rFonts w:ascii="Times New Roman" w:eastAsia="Calibri" w:hAnsi="Times New Roman" w:cs="Times New Roman"/>
          <w:sz w:val="28"/>
          <w:szCs w:val="26"/>
          <w:lang w:eastAsia="en-US"/>
        </w:rPr>
      </w:pPr>
      <w:r w:rsidRPr="005A2345">
        <w:rPr>
          <w:rFonts w:ascii="Times New Roman" w:eastAsia="Calibri" w:hAnsi="Times New Roman" w:cs="Times New Roman"/>
          <w:sz w:val="28"/>
          <w:szCs w:val="26"/>
          <w:lang w:eastAsia="en-US"/>
        </w:rPr>
        <w:t>«La necesidad de una estrategia de comunicación que busque proteger al proceso tanto como informar al público. Se ha aprendido que en una etapa inicial la construcción de confianza entre las partes requiere aislarse de los medios de comu</w:t>
      </w:r>
      <w:r w:rsidRPr="005A2345">
        <w:rPr>
          <w:rFonts w:ascii="Times New Roman" w:eastAsia="Calibri" w:hAnsi="Times New Roman" w:cs="Times New Roman"/>
          <w:sz w:val="28"/>
          <w:szCs w:val="26"/>
          <w:lang w:eastAsia="en-US"/>
        </w:rPr>
        <w:t xml:space="preserve">nicación y el debate público. Hace falta discreción para explorar las áreas de concesiones cruciales para ambas partes y así poder avanzar hacia los consensos mínimos que sirvan de base a los acuerdos posibles. Dados los intereses profundos de algunos que </w:t>
      </w:r>
      <w:r w:rsidRPr="005A2345">
        <w:rPr>
          <w:rFonts w:ascii="Times New Roman" w:eastAsia="Calibri" w:hAnsi="Times New Roman" w:cs="Times New Roman"/>
          <w:sz w:val="28"/>
          <w:szCs w:val="26"/>
          <w:lang w:eastAsia="en-US"/>
        </w:rPr>
        <w:t>se han beneficiado de la guerra y del estatus quo, se ha buscado establecer un proceso sólido y relaciones estables antes de exponer el proceso a la luz pública. Se ha aprendido que las expectativas de información del público y de los medios de comunicació</w:t>
      </w:r>
      <w:r w:rsidRPr="005A2345">
        <w:rPr>
          <w:rFonts w:ascii="Times New Roman" w:eastAsia="Calibri" w:hAnsi="Times New Roman" w:cs="Times New Roman"/>
          <w:sz w:val="28"/>
          <w:szCs w:val="26"/>
          <w:lang w:eastAsia="en-US"/>
        </w:rPr>
        <w:t>n durante un proceso de paz crean presiones que a veces pueden interrumpir o distorsionar los debates en la mesa. El gobierno Santos protegió el proceso durante la fase exploratoria en La Habana. Sin embargo, es importante reconocer también la necesidad de</w:t>
      </w:r>
      <w:r w:rsidRPr="005A2345">
        <w:rPr>
          <w:rFonts w:ascii="Times New Roman" w:eastAsia="Calibri" w:hAnsi="Times New Roman" w:cs="Times New Roman"/>
          <w:sz w:val="28"/>
          <w:szCs w:val="26"/>
          <w:lang w:eastAsia="en-US"/>
        </w:rPr>
        <w:t xml:space="preserve"> una estrategia de comunicación que ofrezca un adecuado nivel de información al público para que éste pueda acompañar y apoyar el proceso».</w:t>
      </w:r>
      <w:r w:rsidRPr="005A2345">
        <w:rPr>
          <w:rFonts w:ascii="Times New Roman" w:eastAsia="Calibri" w:hAnsi="Times New Roman" w:cs="Times New Roman"/>
          <w:sz w:val="28"/>
          <w:szCs w:val="26"/>
          <w:vertAlign w:val="superscript"/>
          <w:lang w:eastAsia="en-US"/>
        </w:rPr>
        <w:footnoteReference w:id="74"/>
      </w:r>
    </w:p>
    <w:p w:rsidR="00666798" w:rsidRPr="005A2345" w:rsidRDefault="005A2345" w:rsidP="000F2761">
      <w:pPr>
        <w:jc w:val="both"/>
        <w:rPr>
          <w:rFonts w:ascii="Times New Roman" w:eastAsia="Calibri" w:hAnsi="Times New Roman" w:cs="Times New Roman"/>
          <w:sz w:val="28"/>
          <w:szCs w:val="28"/>
          <w:lang w:eastAsia="en-US"/>
        </w:rPr>
      </w:pPr>
    </w:p>
    <w:p w:rsidR="000F2761"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En el mismo sentido, la Fundación Ideas para la Paz, refiriéndose particularmente al acceso a la información de in</w:t>
      </w:r>
      <w:r w:rsidRPr="005A2345">
        <w:rPr>
          <w:rFonts w:ascii="Times New Roman" w:eastAsia="Calibri" w:hAnsi="Times New Roman" w:cs="Times New Roman"/>
          <w:lang w:eastAsia="en-US"/>
        </w:rPr>
        <w:t>terés público sobre los procesos de paz, afirmó que es un reto para la prensa el acceso a la información en contextos de procesos de paz, toda vez que a pesar de que los medios de comunicación tienen la responsabilidad de informar de forma clara y transpar</w:t>
      </w:r>
      <w:r w:rsidRPr="005A2345">
        <w:rPr>
          <w:rFonts w:ascii="Times New Roman" w:eastAsia="Calibri" w:hAnsi="Times New Roman" w:cs="Times New Roman"/>
          <w:lang w:eastAsia="en-US"/>
        </w:rPr>
        <w:t>ente a la opinión pública, al solicitar información, muchas veces se encuentran con argumentos descontextualizados de autoridades públicas para negar el acceso a la información. En palabras del informe: «[l]a práctica según la cual la fuerza pública, la of</w:t>
      </w:r>
      <w:r w:rsidRPr="005A2345">
        <w:rPr>
          <w:rFonts w:ascii="Times New Roman" w:eastAsia="Calibri" w:hAnsi="Times New Roman" w:cs="Times New Roman"/>
          <w:lang w:eastAsia="en-US"/>
        </w:rPr>
        <w:t xml:space="preserve">icina del Alto Comisionado de Paz y otras entidades relevantes niegan acceso a la información ya es reiterada y se amparan en las distintas reservas que existen sobre los temas atenientes a la seguridad nacional. Aun así, como lo señala la misma Ley 1712, </w:t>
      </w:r>
      <w:r w:rsidRPr="005A2345">
        <w:rPr>
          <w:rFonts w:ascii="Times New Roman" w:eastAsia="Calibri" w:hAnsi="Times New Roman" w:cs="Times New Roman"/>
          <w:lang w:eastAsia="en-US"/>
        </w:rPr>
        <w:t>la reserva debe ser específica y justificada legalmente, por tanto, cualquier información sobre la que no recaiga reserva legal debe ser entregada al público».</w:t>
      </w:r>
      <w:r w:rsidRPr="005A2345">
        <w:rPr>
          <w:rFonts w:ascii="Times New Roman" w:eastAsia="Calibri" w:hAnsi="Times New Roman" w:cs="Times New Roman"/>
          <w:vertAlign w:val="superscript"/>
        </w:rPr>
        <w:footnoteReference w:id="75"/>
      </w:r>
    </w:p>
    <w:p w:rsidR="000F2761" w:rsidRPr="005A2345" w:rsidRDefault="005A2345" w:rsidP="000F2761">
      <w:pPr>
        <w:pStyle w:val="Prrafodelista"/>
        <w:tabs>
          <w:tab w:val="left" w:pos="426"/>
        </w:tabs>
        <w:spacing w:after="0" w:line="240" w:lineRule="auto"/>
        <w:ind w:left="0"/>
        <w:jc w:val="both"/>
        <w:rPr>
          <w:rFonts w:ascii="Times New Roman" w:eastAsia="Calibri" w:hAnsi="Times New Roman" w:cs="Times New Roman"/>
          <w:i/>
          <w:lang w:eastAsia="en-US"/>
        </w:rPr>
      </w:pPr>
    </w:p>
    <w:p w:rsidR="000F2761"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Con base en lo anterior, se reconoce que en unas primeras etapas de los procesos de paz se req</w:t>
      </w:r>
      <w:r w:rsidRPr="005A2345">
        <w:rPr>
          <w:rFonts w:ascii="Times New Roman" w:eastAsia="Calibri" w:hAnsi="Times New Roman" w:cs="Times New Roman"/>
          <w:lang w:eastAsia="en-US"/>
        </w:rPr>
        <w:t xml:space="preserve">uiere de confidencialidad y reserva, pero el </w:t>
      </w:r>
      <w:r w:rsidRPr="005A2345">
        <w:rPr>
          <w:rFonts w:ascii="Times New Roman" w:eastAsia="Calibri" w:hAnsi="Times New Roman" w:cs="Times New Roman"/>
          <w:lang w:eastAsia="en-US"/>
        </w:rPr>
        <w:t>informe citado</w:t>
      </w:r>
      <w:r w:rsidRPr="005A2345">
        <w:rPr>
          <w:rFonts w:ascii="Times New Roman" w:eastAsia="Calibri" w:hAnsi="Times New Roman" w:cs="Times New Roman"/>
          <w:lang w:eastAsia="en-US"/>
        </w:rPr>
        <w:t xml:space="preserve"> sugiere un fortalecimiento de las comunicaciones entre la prensa y las entidades «por medio de briefings con información clave sobre los avances y novedades de las negociaciones y la implementació</w:t>
      </w:r>
      <w:r w:rsidRPr="005A2345">
        <w:rPr>
          <w:rFonts w:ascii="Times New Roman" w:eastAsia="Calibri" w:hAnsi="Times New Roman" w:cs="Times New Roman"/>
          <w:lang w:eastAsia="en-US"/>
        </w:rPr>
        <w:t>n de los acuerdos e información publicada clara y accesible sobre conceptos y procesos».</w:t>
      </w:r>
      <w:r w:rsidRPr="005A2345">
        <w:rPr>
          <w:rFonts w:ascii="Times New Roman" w:eastAsia="Calibri" w:hAnsi="Times New Roman" w:cs="Times New Roman"/>
          <w:vertAlign w:val="superscript"/>
        </w:rPr>
        <w:footnoteReference w:id="76"/>
      </w:r>
    </w:p>
    <w:p w:rsidR="000F2761" w:rsidRPr="005A2345" w:rsidRDefault="005A2345" w:rsidP="000F2761">
      <w:pPr>
        <w:pStyle w:val="Prrafodelista"/>
        <w:rPr>
          <w:rFonts w:ascii="Times New Roman" w:eastAsia="Calibri" w:hAnsi="Times New Roman" w:cs="Times New Roman"/>
          <w:lang w:eastAsia="en-US"/>
        </w:rPr>
      </w:pPr>
    </w:p>
    <w:p w:rsidR="000F2761"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Por su parte, la Comisión Colombiana de Juristas en su intervención adujo que en los casos de acceso a la información, la política de paz del Estado tiene una correl</w:t>
      </w:r>
      <w:r w:rsidRPr="005A2345">
        <w:rPr>
          <w:rFonts w:ascii="Times New Roman" w:eastAsia="Calibri" w:hAnsi="Times New Roman" w:cs="Times New Roman"/>
          <w:lang w:eastAsia="en-US"/>
        </w:rPr>
        <w:t>ación directa con categorías de seguridad y defensa nacional, toda vez que implica  llevar a cabo procesos de acercamiento, conversación y negociación con grupos armados organizados o estructuras armadas organizadas de crimen de alto impacto, con el fin de</w:t>
      </w:r>
      <w:r w:rsidRPr="005A2345">
        <w:rPr>
          <w:rFonts w:ascii="Times New Roman" w:eastAsia="Calibri" w:hAnsi="Times New Roman" w:cs="Times New Roman"/>
          <w:lang w:eastAsia="en-US"/>
        </w:rPr>
        <w:t xml:space="preserve"> lograr su sometimiento a la justicia y desmantelamiento (el artículo 2 de la Ley 2272 de 2022). Por tanto, la CCJ reconoce que estos procesos puedan generar circunstancias que justifiquen la reserva de información, pero en todo caso, esta debe observar lo</w:t>
      </w:r>
      <w:r w:rsidRPr="005A2345">
        <w:rPr>
          <w:rFonts w:ascii="Times New Roman" w:eastAsia="Calibri" w:hAnsi="Times New Roman" w:cs="Times New Roman"/>
          <w:lang w:eastAsia="en-US"/>
        </w:rPr>
        <w:t xml:space="preserve">s límites constitucionales y legales. </w:t>
      </w:r>
    </w:p>
    <w:p w:rsidR="000F2761" w:rsidRPr="005A2345" w:rsidRDefault="005A2345" w:rsidP="000F2761">
      <w:pPr>
        <w:pStyle w:val="Prrafodelista"/>
        <w:rPr>
          <w:rFonts w:ascii="Times New Roman" w:eastAsia="Calibri" w:hAnsi="Times New Roman" w:cs="Times New Roman"/>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Hasta este punto, la Sala observa que en el marco de las negociaciones, acercamientos y conversaciones entre el Estado y los diferentes grupos armados, las primeras etapas requieren de un mayor grado de confidenciali</w:t>
      </w:r>
      <w:r w:rsidRPr="005A2345">
        <w:rPr>
          <w:rFonts w:ascii="Times New Roman" w:eastAsia="Calibri" w:hAnsi="Times New Roman" w:cs="Times New Roman"/>
          <w:lang w:eastAsia="en-US"/>
        </w:rPr>
        <w:t>dad con miras a generar confianza entre las partes negociantes y blindar asuntos de importancia para la construcción de la agenda de paz. Al mismo tiempo, a medida que va avanzando el proceso, la reserva suele disminuir y se amplía el acceso a la informaci</w:t>
      </w:r>
      <w:r w:rsidRPr="005A2345">
        <w:rPr>
          <w:rFonts w:ascii="Times New Roman" w:eastAsia="Calibri" w:hAnsi="Times New Roman" w:cs="Times New Roman"/>
          <w:lang w:eastAsia="en-US"/>
        </w:rPr>
        <w:t xml:space="preserve">ón y los mecanismos de participación ciudadana, todo ello, atendiendo al compromiso de máxima divulgación de la información que se reconoce en la Constitución Política y en la ley estatutaria vigente. </w:t>
      </w:r>
    </w:p>
    <w:p w:rsidR="00F413DB" w:rsidRPr="005A2345" w:rsidRDefault="005A2345" w:rsidP="00F413DB">
      <w:pPr>
        <w:pStyle w:val="Prrafodelista"/>
        <w:rPr>
          <w:rFonts w:ascii="Times New Roman" w:eastAsia="Calibri" w:hAnsi="Times New Roman" w:cs="Times New Roman"/>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De ese modo, en un proceso de paz o de acercamientos con grupos armados, pueden existir innumerables temáticas que estén relacionadas con asuntos de interés público, como lo son, por ejemplo, situaciones de graves violaciones a derechos humanos y al derech</w:t>
      </w:r>
      <w:r w:rsidRPr="005A2345">
        <w:rPr>
          <w:rFonts w:ascii="Times New Roman" w:eastAsia="Calibri" w:hAnsi="Times New Roman" w:cs="Times New Roman"/>
          <w:lang w:eastAsia="en-US"/>
        </w:rPr>
        <w:t>o internacional humanitario, que no pueden estar sometidos a reserva (art. 21 de la Ley 1712 de 2014). Sin embargo, estas circunstancias pueden contener datos sensibles de víctimas y victimarios, operaciones militares y de inteligencia, así como otros tema</w:t>
      </w:r>
      <w:r w:rsidRPr="005A2345">
        <w:rPr>
          <w:rFonts w:ascii="Times New Roman" w:eastAsia="Calibri" w:hAnsi="Times New Roman" w:cs="Times New Roman"/>
          <w:lang w:eastAsia="en-US"/>
        </w:rPr>
        <w:t xml:space="preserve">s que requieran de reserva para avanzar en los objetivos que se estén negociando. En estos casos, las entidades deben asegurar el acceso de información parcial, </w:t>
      </w:r>
      <w:r w:rsidRPr="005A2345">
        <w:rPr>
          <w:rFonts w:ascii="Times New Roman" w:eastAsia="Calibri" w:hAnsi="Times New Roman" w:cs="Times New Roman"/>
          <w:lang w:eastAsia="en-US"/>
        </w:rPr>
        <w:t xml:space="preserve">por ejemplo, </w:t>
      </w:r>
      <w:r w:rsidRPr="005A2345">
        <w:rPr>
          <w:rFonts w:ascii="Times New Roman" w:eastAsia="Calibri" w:hAnsi="Times New Roman" w:cs="Times New Roman"/>
          <w:lang w:eastAsia="en-US"/>
        </w:rPr>
        <w:t xml:space="preserve">motivando la respectiva reserva y demostrando su necesidad. </w:t>
      </w:r>
    </w:p>
    <w:p w:rsidR="00F413DB" w:rsidRPr="005A2345" w:rsidRDefault="005A2345" w:rsidP="00F413DB">
      <w:pPr>
        <w:pStyle w:val="Prrafodelista"/>
        <w:rPr>
          <w:rFonts w:ascii="Times New Roman" w:eastAsia="Calibri" w:hAnsi="Times New Roman" w:cs="Times New Roman"/>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Ahora bien, la jurisprudencia constitucional ha tenido la oportunidad de abordar el derecho al acceso a la información pública en contextos de justicia transicional, por un parte, con el estudio de la Ley de Justicia y Paz, y particularmente con la revisió</w:t>
      </w:r>
      <w:r w:rsidRPr="005A2345">
        <w:rPr>
          <w:rFonts w:ascii="Times New Roman" w:eastAsia="Calibri" w:hAnsi="Times New Roman" w:cs="Times New Roman"/>
          <w:lang w:eastAsia="en-US"/>
        </w:rPr>
        <w:t xml:space="preserve">n que le correspondió hacer a los proyectos de decretos ley que fueron tramitados con ocasión del proceso de paz con las extintas FARC-EP. </w:t>
      </w:r>
      <w:r w:rsidRPr="005A2345">
        <w:rPr>
          <w:rFonts w:ascii="Times New Roman" w:eastAsia="Calibri" w:hAnsi="Times New Roman" w:cs="Times New Roman"/>
          <w:lang w:eastAsia="en-US"/>
        </w:rPr>
        <w:t xml:space="preserve">Sin embargo, se hace importante </w:t>
      </w:r>
      <w:r w:rsidRPr="005A2345">
        <w:rPr>
          <w:rFonts w:ascii="Times New Roman" w:eastAsia="Calibri" w:hAnsi="Times New Roman" w:cs="Times New Roman"/>
          <w:bCs/>
          <w:iCs/>
          <w:color w:val="000000"/>
          <w:lang w:eastAsia="en-US"/>
        </w:rPr>
        <w:t>precisar que estas providencias a las que se va hacer mención, en estricto sentido, n</w:t>
      </w:r>
      <w:r w:rsidRPr="005A2345">
        <w:rPr>
          <w:rFonts w:ascii="Times New Roman" w:eastAsia="Calibri" w:hAnsi="Times New Roman" w:cs="Times New Roman"/>
          <w:bCs/>
          <w:iCs/>
          <w:color w:val="000000"/>
          <w:lang w:eastAsia="en-US"/>
        </w:rPr>
        <w:t>o hacen referencia al momento en el que la disposición ahora demandada prevé la reserva</w:t>
      </w:r>
      <w:r w:rsidRPr="005A2345">
        <w:rPr>
          <w:rFonts w:ascii="Times New Roman" w:eastAsia="Calibri" w:hAnsi="Times New Roman" w:cs="Times New Roman"/>
          <w:bCs/>
          <w:iCs/>
          <w:color w:val="000000"/>
          <w:lang w:eastAsia="en-US"/>
        </w:rPr>
        <w:t>, la cual pareciera ser al inicio de las conversaciones con grupos armados</w:t>
      </w:r>
      <w:r w:rsidRPr="005A2345">
        <w:rPr>
          <w:rFonts w:ascii="Times New Roman" w:eastAsia="Calibri" w:hAnsi="Times New Roman" w:cs="Times New Roman"/>
          <w:bCs/>
          <w:iCs/>
          <w:color w:val="000000"/>
          <w:lang w:eastAsia="en-US"/>
        </w:rPr>
        <w:t>. Por ejemplo, de los decretos leyes que configuraron la Comisión de la Verdad y la Unidad de B</w:t>
      </w:r>
      <w:r w:rsidRPr="005A2345">
        <w:rPr>
          <w:rFonts w:ascii="Times New Roman" w:eastAsia="Calibri" w:hAnsi="Times New Roman" w:cs="Times New Roman"/>
          <w:bCs/>
          <w:iCs/>
          <w:color w:val="000000"/>
          <w:lang w:eastAsia="en-US"/>
        </w:rPr>
        <w:t xml:space="preserve">úsqueda de Personas, el examen sobre el derecho a la información se inscribe en momentos en los que, tras procesos de paz, se procede a materializar medidas para la consecución de la verdad y la memoria histórica. </w:t>
      </w:r>
    </w:p>
    <w:p w:rsidR="00F413DB" w:rsidRPr="005A2345" w:rsidRDefault="005A2345" w:rsidP="00F413DB">
      <w:pPr>
        <w:pStyle w:val="Prrafodelista"/>
        <w:rPr>
          <w:rFonts w:ascii="Times New Roman" w:eastAsia="Calibri" w:hAnsi="Times New Roman" w:cs="Times New Roman"/>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En la Sentencia C-370 de 2006, la Sala e</w:t>
      </w:r>
      <w:r w:rsidRPr="005A2345">
        <w:rPr>
          <w:rFonts w:ascii="Times New Roman" w:eastAsia="Calibri" w:hAnsi="Times New Roman" w:cs="Times New Roman"/>
          <w:lang w:eastAsia="en-US"/>
        </w:rPr>
        <w:t>xaminó una demanda, entre otros, contra el artículo 58 de la Ley 975 de 2005, «</w:t>
      </w:r>
      <w:r w:rsidRPr="005A2345">
        <w:rPr>
          <w:rFonts w:ascii="Times New Roman" w:eastAsia="Calibri" w:hAnsi="Times New Roman" w:cs="Times New Roman"/>
          <w:iCs/>
          <w:lang w:eastAsia="en-US"/>
        </w:rPr>
        <w:t xml:space="preserve">[p]or la cual se dictan disposiciones para la reincorporación de miembros de grupos armados organizados al margen de la ley, que contribuyan de manera efectiva a la consecución </w:t>
      </w:r>
      <w:r w:rsidRPr="005A2345">
        <w:rPr>
          <w:rFonts w:ascii="Times New Roman" w:eastAsia="Calibri" w:hAnsi="Times New Roman" w:cs="Times New Roman"/>
          <w:iCs/>
          <w:lang w:eastAsia="en-US"/>
        </w:rPr>
        <w:t>de la paz nacional y se dictan otras disposiciones para acuerdos humanitarios»</w:t>
      </w:r>
      <w:r w:rsidRPr="005A2345">
        <w:rPr>
          <w:rFonts w:ascii="Times New Roman" w:eastAsia="Calibri" w:hAnsi="Times New Roman" w:cs="Times New Roman"/>
          <w:lang w:eastAsia="en-US"/>
        </w:rPr>
        <w:t>. Este artículo consagra el deber de facilitar el acceso a los archivos en interés de las víctimas y sus parientes y, entre otras medidas, prevé que cuando sean requeridos en int</w:t>
      </w:r>
      <w:r w:rsidRPr="005A2345">
        <w:rPr>
          <w:rFonts w:ascii="Times New Roman" w:eastAsia="Calibri" w:hAnsi="Times New Roman" w:cs="Times New Roman"/>
          <w:lang w:eastAsia="en-US"/>
        </w:rPr>
        <w:t>erés de la </w:t>
      </w:r>
      <w:r w:rsidRPr="005A2345">
        <w:rPr>
          <w:rFonts w:ascii="Times New Roman" w:eastAsia="Calibri" w:hAnsi="Times New Roman" w:cs="Times New Roman"/>
          <w:lang w:val="es-ES_tradnl" w:eastAsia="en-US"/>
        </w:rPr>
        <w:t>investigación histórica, las formalidades de autorización sólo tendrán el propósito del control de acceso, custodia y adecuado mantenimiento del material, no con fines de censura. La norma también establece que, en todo caso, se deben adoptar me</w:t>
      </w:r>
      <w:r w:rsidRPr="005A2345">
        <w:rPr>
          <w:rFonts w:ascii="Times New Roman" w:eastAsia="Calibri" w:hAnsi="Times New Roman" w:cs="Times New Roman"/>
          <w:lang w:val="es-ES_tradnl" w:eastAsia="en-US"/>
        </w:rPr>
        <w:t>didas para resguardar el derecho </w:t>
      </w:r>
      <w:r w:rsidRPr="005A2345">
        <w:rPr>
          <w:rFonts w:ascii="Times New Roman" w:eastAsia="Calibri" w:hAnsi="Times New Roman" w:cs="Times New Roman"/>
          <w:lang w:eastAsia="en-US"/>
        </w:rPr>
        <w:t>a la intimidad de las víctimas de violencia sexual y de las niñas, niños y adolescentes víctimas de los grupos armados al margen de la ley, y para no provocar más daños innecesarios a la víctima, los testigos u </w:t>
      </w:r>
      <w:r w:rsidRPr="005A2345">
        <w:rPr>
          <w:rFonts w:ascii="Times New Roman" w:eastAsia="Calibri" w:hAnsi="Times New Roman" w:cs="Times New Roman"/>
          <w:b/>
          <w:bCs/>
          <w:i/>
          <w:iCs/>
          <w:lang w:eastAsia="en-US"/>
        </w:rPr>
        <w:t>otras person</w:t>
      </w:r>
      <w:r w:rsidRPr="005A2345">
        <w:rPr>
          <w:rFonts w:ascii="Times New Roman" w:eastAsia="Calibri" w:hAnsi="Times New Roman" w:cs="Times New Roman"/>
          <w:b/>
          <w:bCs/>
          <w:i/>
          <w:iCs/>
          <w:lang w:eastAsia="en-US"/>
        </w:rPr>
        <w:t>as</w:t>
      </w:r>
      <w:r w:rsidRPr="005A2345">
        <w:rPr>
          <w:rFonts w:ascii="Times New Roman" w:eastAsia="Calibri" w:hAnsi="Times New Roman" w:cs="Times New Roman"/>
          <w:lang w:eastAsia="en-US"/>
        </w:rPr>
        <w:t xml:space="preserve">, ni crear un peligro para su seguridad. Los demandantes aseguraban que las palabras en negrilla configuraban una reserva indeterminada para las autoridades. </w:t>
      </w:r>
    </w:p>
    <w:p w:rsidR="00F413DB" w:rsidRPr="005A2345" w:rsidRDefault="005A2345" w:rsidP="00F413DB">
      <w:pPr>
        <w:pStyle w:val="Prrafodelista"/>
        <w:tabs>
          <w:tab w:val="left" w:pos="426"/>
        </w:tabs>
        <w:spacing w:after="0" w:line="240" w:lineRule="auto"/>
        <w:ind w:left="0"/>
        <w:jc w:val="both"/>
        <w:rPr>
          <w:rFonts w:ascii="Times New Roman" w:eastAsia="Calibri" w:hAnsi="Times New Roman" w:cs="Times New Roman"/>
          <w:i/>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La Sala Plena en esta ocasión precisó que la norma debía ser interpretada a la luz de la Const</w:t>
      </w:r>
      <w:r w:rsidRPr="005A2345">
        <w:rPr>
          <w:rFonts w:ascii="Times New Roman" w:eastAsia="Calibri" w:hAnsi="Times New Roman" w:cs="Times New Roman"/>
          <w:lang w:eastAsia="en-US"/>
        </w:rPr>
        <w:t>itución y en aplicación del principio democrático de máxima divulgación de la información pública. Afirmó que debía interpretarse «en el sentido de entender que se trata de una norma que remite a las disposiciones legales que, en cumplimiento de los requis</w:t>
      </w:r>
      <w:r w:rsidRPr="005A2345">
        <w:rPr>
          <w:rFonts w:ascii="Times New Roman" w:eastAsia="Calibri" w:hAnsi="Times New Roman" w:cs="Times New Roman"/>
          <w:lang w:eastAsia="en-US"/>
        </w:rPr>
        <w:t>itos mencionados, consagran la posibilidad de la reserva, pues la Constitución no admite la existencia de cláusulas abiertas que establezcan restricciones genéricas o indeterminadas del derecho de acceso a los documentos y la información pública. En efecto</w:t>
      </w:r>
      <w:r w:rsidRPr="005A2345">
        <w:rPr>
          <w:rFonts w:ascii="Times New Roman" w:eastAsia="Calibri" w:hAnsi="Times New Roman" w:cs="Times New Roman"/>
          <w:lang w:eastAsia="en-US"/>
        </w:rPr>
        <w:t xml:space="preserve">, la Carta sólo autoriza restricciones taxativas, plenamente justificadas y cuya aplicación no lesione el contenido esencial de otros derechos constitucionales, en especial el derecho que tienen las víctimas y la sociedad a conocer la verdad». </w:t>
      </w:r>
    </w:p>
    <w:p w:rsidR="00F413DB" w:rsidRPr="005A2345" w:rsidRDefault="005A2345" w:rsidP="00F413DB">
      <w:pPr>
        <w:pStyle w:val="Prrafodelista"/>
        <w:rPr>
          <w:rFonts w:ascii="Times New Roman" w:eastAsia="Calibri" w:hAnsi="Times New Roman" w:cs="Times New Roman"/>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En ese sen</w:t>
      </w:r>
      <w:r w:rsidRPr="005A2345">
        <w:rPr>
          <w:rFonts w:ascii="Times New Roman" w:eastAsia="Calibri" w:hAnsi="Times New Roman" w:cs="Times New Roman"/>
          <w:lang w:eastAsia="en-US"/>
        </w:rPr>
        <w:t>tido</w:t>
      </w:r>
      <w:r w:rsidRPr="005A2345">
        <w:rPr>
          <w:rFonts w:ascii="Times New Roman" w:eastAsia="Calibri" w:hAnsi="Times New Roman" w:cs="Times New Roman"/>
          <w:lang w:eastAsia="en-US"/>
        </w:rPr>
        <w:t xml:space="preserve">, sostuvo que el espíritu de la Ley 975 de 2005 tiene como propósito promover la reconciliación sobre la base de la «reducción de la pena efectiva a cumplir, pero con la condición de que se garanticen los derechos mínimos a la verdad, la justicia y la </w:t>
      </w:r>
      <w:r w:rsidRPr="005A2345">
        <w:rPr>
          <w:rFonts w:ascii="Times New Roman" w:eastAsia="Calibri" w:hAnsi="Times New Roman" w:cs="Times New Roman"/>
          <w:lang w:eastAsia="en-US"/>
        </w:rPr>
        <w:t>reparación». Con base en ello, la norma atacada no establece una discrecionalidad de la aplicación de la reserva de información, sino que solo se admite la reserva de cierta información cuando se deba</w:t>
      </w:r>
      <w:r w:rsidRPr="005A2345">
        <w:rPr>
          <w:rFonts w:ascii="Times New Roman" w:eastAsia="Calibri" w:hAnsi="Times New Roman" w:cs="Times New Roman"/>
          <w:lang w:eastAsia="en-US"/>
        </w:rPr>
        <w:t>n</w:t>
      </w:r>
      <w:r w:rsidRPr="005A2345">
        <w:rPr>
          <w:rFonts w:ascii="Times New Roman" w:eastAsia="Calibri" w:hAnsi="Times New Roman" w:cs="Times New Roman"/>
          <w:lang w:eastAsia="en-US"/>
        </w:rPr>
        <w:t xml:space="preserve"> proteger los derechos de las víctimas a la vida, integ</w:t>
      </w:r>
      <w:r w:rsidRPr="005A2345">
        <w:rPr>
          <w:rFonts w:ascii="Times New Roman" w:eastAsia="Calibri" w:hAnsi="Times New Roman" w:cs="Times New Roman"/>
          <w:lang w:eastAsia="en-US"/>
        </w:rPr>
        <w:t>ridad física y seguridad personal.</w:t>
      </w:r>
      <w:r w:rsidRPr="005A2345">
        <w:rPr>
          <w:rFonts w:ascii="Times New Roman" w:eastAsia="Calibri" w:hAnsi="Times New Roman" w:cs="Times New Roman"/>
          <w:lang w:eastAsia="en-US"/>
        </w:rPr>
        <w:t xml:space="preserve"> Así, la Sala declaró la exequibilidad de las expresiones «en el entendido que no excluye como víctima a otros familiares que hubieren sufrido un daño como consecuencia de cualquier otra conducta violatoria de la ley penal</w:t>
      </w:r>
      <w:r w:rsidRPr="005A2345">
        <w:rPr>
          <w:rFonts w:ascii="Times New Roman" w:eastAsia="Calibri" w:hAnsi="Times New Roman" w:cs="Times New Roman"/>
          <w:lang w:eastAsia="en-US"/>
        </w:rPr>
        <w:t xml:space="preserve"> cometida por miembros de grupos armados al margen de la ley». </w:t>
      </w:r>
      <w:r w:rsidRPr="005A2345">
        <w:rPr>
          <w:rFonts w:ascii="Times New Roman" w:eastAsia="Calibri" w:hAnsi="Times New Roman" w:cs="Times New Roman"/>
          <w:lang w:eastAsia="en-US"/>
        </w:rPr>
        <w:t>Con este condicionamiento, la Corte acotó la interpretación del vocablo que parecía abierto y discrecional.</w:t>
      </w:r>
    </w:p>
    <w:p w:rsidR="00F413DB" w:rsidRPr="005A2345" w:rsidRDefault="005A2345" w:rsidP="00F413DB">
      <w:pPr>
        <w:pStyle w:val="Prrafodelista"/>
        <w:rPr>
          <w:rFonts w:ascii="Times New Roman" w:eastAsia="Calibri" w:hAnsi="Times New Roman" w:cs="Times New Roman"/>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En la sentencia C-017 de 2018 la Corte estudió la constitucionalidad del Decreto Ley</w:t>
      </w:r>
      <w:r w:rsidRPr="005A2345">
        <w:rPr>
          <w:rFonts w:ascii="Times New Roman" w:eastAsia="Calibri" w:hAnsi="Times New Roman" w:cs="Times New Roman"/>
          <w:lang w:eastAsia="en-US"/>
        </w:rPr>
        <w:t xml:space="preserve"> 588 de 2017, por medio del cual se organizó </w:t>
      </w:r>
      <w:r w:rsidRPr="005A2345">
        <w:rPr>
          <w:rFonts w:ascii="Times New Roman" w:eastAsia="Calibri" w:hAnsi="Times New Roman" w:cs="Times New Roman"/>
          <w:iCs/>
          <w:lang w:eastAsia="en-US"/>
        </w:rPr>
        <w:t>la Comisión para el Esclarecimiento de la Verdad, la Convivencia y la No Repetición</w:t>
      </w:r>
      <w:r w:rsidRPr="005A2345">
        <w:rPr>
          <w:rFonts w:ascii="Times New Roman" w:eastAsia="Calibri" w:hAnsi="Times New Roman" w:cs="Times New Roman"/>
          <w:lang w:eastAsia="en-US"/>
        </w:rPr>
        <w:t xml:space="preserve">”. En esta providencia, la Sala reiteró las reglas jurisprudenciales sobre el contenido y alcance de los derechos al acceso a la información pública y a los documentos públicos. Luego, advirtió que «uno de los problemas serios que han tenido muchas de las </w:t>
      </w:r>
      <w:r w:rsidRPr="005A2345">
        <w:rPr>
          <w:rFonts w:ascii="Times New Roman" w:eastAsia="Calibri" w:hAnsi="Times New Roman" w:cs="Times New Roman"/>
          <w:lang w:eastAsia="en-US"/>
        </w:rPr>
        <w:t xml:space="preserve">comisiones de la verdad han sido los obstáculos para acceder a documentos o información». Por esto, es clave que las actuaciones y respuestas de entidades estatales para esta institución se rijan del principio de máxima divulgación y en atención a que las </w:t>
      </w:r>
      <w:r w:rsidRPr="005A2345">
        <w:rPr>
          <w:rFonts w:ascii="Times New Roman" w:eastAsia="Calibri" w:hAnsi="Times New Roman" w:cs="Times New Roman"/>
          <w:iCs/>
          <w:lang w:eastAsia="en-US"/>
        </w:rPr>
        <w:t>excepciones de acceso a la información contenidas en la Ley 1712 no aplican en casos de violación de derechos humanos o delitos de lesa humanidad, y en todo caso deberán protegerse los derechos de las víctimas de dichas violaciones</w:t>
      </w:r>
      <w:r w:rsidRPr="005A2345">
        <w:rPr>
          <w:rFonts w:ascii="Times New Roman" w:eastAsia="Calibri" w:hAnsi="Times New Roman" w:cs="Times New Roman"/>
          <w:lang w:eastAsia="en-US"/>
        </w:rPr>
        <w:t xml:space="preserve">. </w:t>
      </w:r>
    </w:p>
    <w:p w:rsidR="00F413DB" w:rsidRPr="005A2345" w:rsidRDefault="005A2345" w:rsidP="00F413DB">
      <w:pPr>
        <w:pStyle w:val="Prrafodelista"/>
        <w:rPr>
          <w:rFonts w:ascii="Times New Roman" w:eastAsia="Calibri" w:hAnsi="Times New Roman" w:cs="Times New Roman"/>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 xml:space="preserve">La Corte resaltó que </w:t>
      </w:r>
      <w:r w:rsidRPr="005A2345">
        <w:rPr>
          <w:rFonts w:ascii="Times New Roman" w:eastAsia="Calibri" w:hAnsi="Times New Roman" w:cs="Times New Roman"/>
          <w:lang w:eastAsia="en-US"/>
        </w:rPr>
        <w:t>«el acceso a los documentos en poder del Estado tiene, en efecto, una importancia crucial en los procesos de búsqueda de la verdad y de esclarecimiento de violaciones a los derechos humanos, así como en la investigación y revelación de otros crímenes grave</w:t>
      </w:r>
      <w:r w:rsidRPr="005A2345">
        <w:rPr>
          <w:rFonts w:ascii="Times New Roman" w:eastAsia="Calibri" w:hAnsi="Times New Roman" w:cs="Times New Roman"/>
          <w:lang w:eastAsia="en-US"/>
        </w:rPr>
        <w:t>s». Con sustento en ello, recalcó la relación inescindible entre el derecho al acceso a la información pública, a conocer la verdad</w:t>
      </w:r>
      <w:r w:rsidRPr="005A2345">
        <w:rPr>
          <w:rFonts w:ascii="Times New Roman" w:eastAsia="Calibri" w:hAnsi="Times New Roman" w:cs="Times New Roman"/>
          <w:lang w:eastAsia="en-US"/>
        </w:rPr>
        <w:t xml:space="preserve"> y</w:t>
      </w:r>
      <w:r w:rsidRPr="005A2345">
        <w:rPr>
          <w:rFonts w:ascii="Times New Roman" w:eastAsia="Calibri" w:hAnsi="Times New Roman" w:cs="Times New Roman"/>
          <w:szCs w:val="24"/>
          <w:lang w:eastAsia="en-US"/>
        </w:rPr>
        <w:t xml:space="preserve"> </w:t>
      </w:r>
      <w:r w:rsidRPr="005A2345">
        <w:rPr>
          <w:rFonts w:ascii="Times New Roman" w:eastAsia="Calibri" w:hAnsi="Times New Roman" w:cs="Times New Roman"/>
          <w:lang w:eastAsia="en-US"/>
        </w:rPr>
        <w:t>la memoria histórica</w:t>
      </w:r>
      <w:r w:rsidRPr="005A2345">
        <w:rPr>
          <w:rFonts w:ascii="Times New Roman" w:eastAsia="Calibri" w:hAnsi="Times New Roman" w:cs="Times New Roman"/>
          <w:lang w:eastAsia="en-US"/>
        </w:rPr>
        <w:t>. Concluyó que «</w:t>
      </w:r>
      <w:r w:rsidRPr="005A2345">
        <w:rPr>
          <w:rFonts w:ascii="Times New Roman" w:eastAsia="Calibri" w:hAnsi="Times New Roman" w:cs="Times New Roman"/>
          <w:color w:val="2D2D2D"/>
          <w:shd w:val="clear" w:color="auto" w:fill="FFFFFF"/>
          <w:lang w:eastAsia="en-US"/>
        </w:rPr>
        <w:t>l</w:t>
      </w:r>
      <w:r w:rsidRPr="005A2345">
        <w:rPr>
          <w:rFonts w:ascii="Times New Roman" w:eastAsia="Calibri" w:hAnsi="Times New Roman" w:cs="Times New Roman"/>
          <w:lang w:eastAsia="en-US"/>
        </w:rPr>
        <w:t>os órganos judiciales y extrajudiciales de investigación oficial de la verdad y recon</w:t>
      </w:r>
      <w:r w:rsidRPr="005A2345">
        <w:rPr>
          <w:rFonts w:ascii="Times New Roman" w:eastAsia="Calibri" w:hAnsi="Times New Roman" w:cs="Times New Roman"/>
          <w:lang w:eastAsia="en-US"/>
        </w:rPr>
        <w:t>strucción de la memoria, en escenarios de transición, deben tener acceso pleno a toda la información pública, con independencia de su contenido o de que pueda ser reservada o clasificada, siempre que sea necesaria para el cumplimiento de sus objetivos, man</w:t>
      </w:r>
      <w:r w:rsidRPr="005A2345">
        <w:rPr>
          <w:rFonts w:ascii="Times New Roman" w:eastAsia="Calibri" w:hAnsi="Times New Roman" w:cs="Times New Roman"/>
          <w:lang w:eastAsia="en-US"/>
        </w:rPr>
        <w:t xml:space="preserve">dato y/o funciones, dada su intrínseca relación con la garantía del derecho de las víctimas y la sociedad a conocer la verdad. En todo caso, deberán protegerse los derechos los derechos de las propias víctimas». </w:t>
      </w:r>
    </w:p>
    <w:p w:rsidR="00F413DB" w:rsidRPr="005A2345" w:rsidRDefault="005A2345" w:rsidP="00F413DB">
      <w:pPr>
        <w:pStyle w:val="Prrafodelista"/>
        <w:rPr>
          <w:rFonts w:ascii="Times New Roman" w:eastAsia="Calibri" w:hAnsi="Times New Roman" w:cs="Times New Roman"/>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En la sentencia C-067 de 2018 la Corte rev</w:t>
      </w:r>
      <w:r w:rsidRPr="005A2345">
        <w:rPr>
          <w:rFonts w:ascii="Times New Roman" w:eastAsia="Calibri" w:hAnsi="Times New Roman" w:cs="Times New Roman"/>
          <w:lang w:eastAsia="en-US"/>
        </w:rPr>
        <w:t>isó la constitucionalidad de Decreto Ley 589 de 2017, </w:t>
      </w:r>
      <w:r w:rsidRPr="005A2345">
        <w:rPr>
          <w:rFonts w:ascii="Times New Roman" w:eastAsia="Calibri" w:hAnsi="Times New Roman" w:cs="Times New Roman"/>
          <w:iCs/>
          <w:lang w:eastAsia="en-US"/>
        </w:rPr>
        <w:t>“Por el cual se organiza la Unidad de Búsqueda de Personas dadas por desaparecidas en el contexto y en razón del conflicto armado”. En esta providencia la Sala subrayó la importancia de colaboración ent</w:t>
      </w:r>
      <w:r w:rsidRPr="005A2345">
        <w:rPr>
          <w:rFonts w:ascii="Times New Roman" w:eastAsia="Calibri" w:hAnsi="Times New Roman" w:cs="Times New Roman"/>
          <w:iCs/>
          <w:lang w:eastAsia="en-US"/>
        </w:rPr>
        <w:t>re entidades estatales de naturaleza judicial y extrajudicial en la búsqueda de la verdad y la garantía de los derechos de las víctimas. La Corte señaló que existen al menos tres razones por las cuales el Estado no puede mantener reservada la información a</w:t>
      </w:r>
      <w:r w:rsidRPr="005A2345">
        <w:rPr>
          <w:rFonts w:ascii="Times New Roman" w:eastAsia="Calibri" w:hAnsi="Times New Roman" w:cs="Times New Roman"/>
          <w:iCs/>
          <w:lang w:eastAsia="en-US"/>
        </w:rPr>
        <w:t>sociada con casos de graves violaciones a los derechos humanos y los delitos de les</w:t>
      </w:r>
      <w:r w:rsidRPr="005A2345">
        <w:rPr>
          <w:rFonts w:ascii="Times New Roman" w:eastAsia="Calibri" w:hAnsi="Times New Roman" w:cs="Times New Roman"/>
          <w:iCs/>
          <w:lang w:eastAsia="en-US"/>
        </w:rPr>
        <w:t>a</w:t>
      </w:r>
      <w:r w:rsidRPr="005A2345">
        <w:rPr>
          <w:rFonts w:ascii="Times New Roman" w:eastAsia="Calibri" w:hAnsi="Times New Roman" w:cs="Times New Roman"/>
          <w:iCs/>
          <w:lang w:eastAsia="en-US"/>
        </w:rPr>
        <w:t xml:space="preserve"> humanidad, en especial cuando se trata de desapariciones forzadas de personas: (i) esta información es necesaria para garantizar los derechos a la verdad y la reparación i</w:t>
      </w:r>
      <w:r w:rsidRPr="005A2345">
        <w:rPr>
          <w:rFonts w:ascii="Times New Roman" w:eastAsia="Calibri" w:hAnsi="Times New Roman" w:cs="Times New Roman"/>
          <w:iCs/>
          <w:lang w:eastAsia="en-US"/>
        </w:rPr>
        <w:t>ntegral de las víctimas; (ii) la «imposición de barreras» para conocer dónde se encuentra una persona desaparecida constituye una forma de tortura o trato cruel, inhumano y degradante para sus familiares; y (iii) «</w:t>
      </w:r>
      <w:r w:rsidRPr="005A2345">
        <w:rPr>
          <w:rFonts w:ascii="Times New Roman" w:eastAsia="Calibri" w:hAnsi="Times New Roman" w:cs="Times New Roman"/>
          <w:color w:val="000000"/>
          <w:shd w:val="clear" w:color="auto" w:fill="FFFFFF"/>
          <w:lang w:eastAsia="en-US"/>
        </w:rPr>
        <w:t>e</w:t>
      </w:r>
      <w:r w:rsidRPr="005A2345">
        <w:rPr>
          <w:rFonts w:ascii="Times New Roman" w:eastAsia="Calibri" w:hAnsi="Times New Roman" w:cs="Times New Roman"/>
          <w:iCs/>
          <w:lang w:eastAsia="en-US"/>
        </w:rPr>
        <w:t>l derecho de acceso a la información es u</w:t>
      </w:r>
      <w:r w:rsidRPr="005A2345">
        <w:rPr>
          <w:rFonts w:ascii="Times New Roman" w:eastAsia="Calibri" w:hAnsi="Times New Roman" w:cs="Times New Roman"/>
          <w:iCs/>
          <w:lang w:eastAsia="en-US"/>
        </w:rPr>
        <w:t xml:space="preserve">n derecho trascendental para lograr el éxito en procesos de transición, al impulsar el esclarecimiento de las atrocidades del pasado, reparar a las víctimas y asegurar la implementación de medidas de no repetición, así como contribuir a la formación de la </w:t>
      </w:r>
      <w:r w:rsidRPr="005A2345">
        <w:rPr>
          <w:rFonts w:ascii="Times New Roman" w:eastAsia="Calibri" w:hAnsi="Times New Roman" w:cs="Times New Roman"/>
          <w:iCs/>
          <w:lang w:eastAsia="en-US"/>
        </w:rPr>
        <w:t>opinión pública».</w:t>
      </w:r>
    </w:p>
    <w:p w:rsidR="00F413DB" w:rsidRPr="005A2345" w:rsidRDefault="005A2345" w:rsidP="00F413DB">
      <w:pPr>
        <w:pStyle w:val="Prrafodelista"/>
        <w:tabs>
          <w:tab w:val="left" w:pos="426"/>
        </w:tabs>
        <w:spacing w:after="0" w:line="240" w:lineRule="auto"/>
        <w:ind w:left="0"/>
        <w:jc w:val="both"/>
        <w:rPr>
          <w:rFonts w:ascii="Times New Roman" w:eastAsia="Calibri" w:hAnsi="Times New Roman" w:cs="Times New Roman"/>
          <w:i/>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 xml:space="preserve">Para sustentar esta última afirmación, la Corte recordó lo establecido por la CIDH sobre la misma materia, la cual ha sostenido que en los procesos transicionales «el respeto pleno por el derecho a la libertad de expresión y el acceso a </w:t>
      </w:r>
      <w:r w:rsidRPr="005A2345">
        <w:rPr>
          <w:rFonts w:ascii="Times New Roman" w:eastAsia="Calibri" w:hAnsi="Times New Roman" w:cs="Times New Roman"/>
          <w:lang w:eastAsia="en-US"/>
        </w:rPr>
        <w:t xml:space="preserve">la información contribuye como pocos a garantizar los derechos de las víctimas a la verdad, la justicia y la reparación. En particular, el derecho a conocer la verdad sobre lo ocurrido en materia de desapariciones forzadas sólo es posible de satisfacer si </w:t>
      </w:r>
      <w:r w:rsidRPr="005A2345">
        <w:rPr>
          <w:rFonts w:ascii="Times New Roman" w:eastAsia="Calibri" w:hAnsi="Times New Roman" w:cs="Times New Roman"/>
          <w:lang w:eastAsia="en-US"/>
        </w:rPr>
        <w:t>se adoptan mecanismos adecuados de acceso a la correspondiente información. Igualmente, el derecho de acceso a la información constituye una garantía indispensable para asegurar la implementación de medidas de no repetición de los hechos de pasado: el cono</w:t>
      </w:r>
      <w:r w:rsidRPr="005A2345">
        <w:rPr>
          <w:rFonts w:ascii="Times New Roman" w:eastAsia="Calibri" w:hAnsi="Times New Roman" w:cs="Times New Roman"/>
          <w:lang w:eastAsia="en-US"/>
        </w:rPr>
        <w:t>cimiento de las atrocidades cometidas es una condición necesaria para evitar que se repitan los abusos cometidos, promover la rendición de cuentas y la transparencia en la gestión estatal […]».</w:t>
      </w:r>
      <w:r w:rsidRPr="005A2345">
        <w:rPr>
          <w:rFonts w:ascii="Times New Roman" w:eastAsia="Calibri" w:hAnsi="Times New Roman" w:cs="Times New Roman"/>
          <w:vertAlign w:val="superscript"/>
        </w:rPr>
        <w:footnoteReference w:id="77"/>
      </w:r>
    </w:p>
    <w:p w:rsidR="00F413DB" w:rsidRPr="005A2345" w:rsidRDefault="005A2345" w:rsidP="00F413DB">
      <w:pPr>
        <w:pStyle w:val="Prrafodelista"/>
        <w:rPr>
          <w:rFonts w:ascii="Times New Roman" w:eastAsia="Calibri" w:hAnsi="Times New Roman" w:cs="Times New Roman"/>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Con todo lo anterior, es posible concluir que la jurispruden</w:t>
      </w:r>
      <w:r w:rsidRPr="005A2345">
        <w:rPr>
          <w:rFonts w:ascii="Times New Roman" w:eastAsia="Calibri" w:hAnsi="Times New Roman" w:cs="Times New Roman"/>
          <w:lang w:eastAsia="en-US"/>
        </w:rPr>
        <w:t>cia constitucional ha sido enfática en señalar que, con el fin de garantizar el derecho a conocer la verdad de las víctimas de graves violaciones a los derechos humanos, es necesario establecer mecanismos de naturaleza administrativa o extrajudicial, que s</w:t>
      </w:r>
      <w:r w:rsidRPr="005A2345">
        <w:rPr>
          <w:rFonts w:ascii="Times New Roman" w:eastAsia="Calibri" w:hAnsi="Times New Roman" w:cs="Times New Roman"/>
          <w:lang w:eastAsia="en-US"/>
        </w:rPr>
        <w:t xml:space="preserve">e dediquen a investigar y construir memoria sobre los hechos del conflicto armado. Lo anterior, implica que las entidades estatales que tengan bajo su custodia información necesaria para el efecto, deben colaborar armónicamente, tanto con otras entidades, </w:t>
      </w:r>
      <w:r w:rsidRPr="005A2345">
        <w:rPr>
          <w:rFonts w:ascii="Times New Roman" w:eastAsia="Calibri" w:hAnsi="Times New Roman" w:cs="Times New Roman"/>
          <w:lang w:eastAsia="en-US"/>
        </w:rPr>
        <w:t xml:space="preserve">como con la ciudadanía, con el acceso a la información que sea de interés público. </w:t>
      </w:r>
    </w:p>
    <w:p w:rsidR="00F413DB" w:rsidRPr="005A2345" w:rsidRDefault="005A2345" w:rsidP="00F413DB">
      <w:pPr>
        <w:pStyle w:val="Prrafodelista"/>
        <w:rPr>
          <w:rFonts w:ascii="Times New Roman" w:eastAsia="Calibri" w:hAnsi="Times New Roman" w:cs="Times New Roman"/>
          <w:lang w:eastAsia="en-US"/>
        </w:rPr>
      </w:pPr>
    </w:p>
    <w:p w:rsidR="00F413DB"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 xml:space="preserve">Igualmente, como fue mencionado al principio de este acápite, los acercamientos, negociaciones o acuerdos </w:t>
      </w:r>
      <w:r w:rsidRPr="005A2345">
        <w:rPr>
          <w:rFonts w:ascii="Times New Roman" w:eastAsia="Calibri" w:hAnsi="Times New Roman" w:cs="Times New Roman"/>
          <w:lang w:eastAsia="en-US"/>
        </w:rPr>
        <w:t>entre el Estado y los</w:t>
      </w:r>
      <w:r w:rsidRPr="005A2345">
        <w:rPr>
          <w:rFonts w:ascii="Times New Roman" w:eastAsia="Calibri" w:hAnsi="Times New Roman" w:cs="Times New Roman"/>
          <w:lang w:eastAsia="en-US"/>
        </w:rPr>
        <w:t xml:space="preserve"> grupos armados pueden contar con una amplia</w:t>
      </w:r>
      <w:r w:rsidRPr="005A2345">
        <w:rPr>
          <w:rFonts w:ascii="Times New Roman" w:eastAsia="Calibri" w:hAnsi="Times New Roman" w:cs="Times New Roman"/>
          <w:lang w:eastAsia="en-US"/>
        </w:rPr>
        <w:t xml:space="preserve"> dosis de reserva en sus fases preparatorias y exploratorias. Sin embargo, este amplio margen de reserva debe gradualmente disminuirse mientras se acerca a las fases públicas de las negociaciones. Esto último implica aumentar la participación de diferentes</w:t>
      </w:r>
      <w:r w:rsidRPr="005A2345">
        <w:rPr>
          <w:rFonts w:ascii="Times New Roman" w:eastAsia="Calibri" w:hAnsi="Times New Roman" w:cs="Times New Roman"/>
          <w:lang w:eastAsia="en-US"/>
        </w:rPr>
        <w:t xml:space="preserve"> sectores a través de distintos mecanismos; pero a la vez, garantizar el acceso a la información pública de interés general, así como a los documentos públicos. Lo anterior puede hacerse a través de comunicados a la opinión pública y dando respuesta a dere</w:t>
      </w:r>
      <w:r w:rsidRPr="005A2345">
        <w:rPr>
          <w:rFonts w:ascii="Times New Roman" w:eastAsia="Calibri" w:hAnsi="Times New Roman" w:cs="Times New Roman"/>
          <w:lang w:eastAsia="en-US"/>
        </w:rPr>
        <w:t xml:space="preserve">chos de petición conforme a las reglas de la ley estatutaria. </w:t>
      </w:r>
    </w:p>
    <w:p w:rsidR="00F413DB" w:rsidRPr="005A2345" w:rsidRDefault="005A2345" w:rsidP="00F413DB">
      <w:pPr>
        <w:pStyle w:val="Prrafodelista"/>
        <w:rPr>
          <w:rFonts w:ascii="Times New Roman" w:eastAsia="Calibri" w:hAnsi="Times New Roman" w:cs="Times New Roman"/>
          <w:lang w:eastAsia="en-US"/>
        </w:rPr>
      </w:pPr>
    </w:p>
    <w:p w:rsidR="00666798" w:rsidRPr="005A2345" w:rsidRDefault="005A2345" w:rsidP="00076595">
      <w:pPr>
        <w:pStyle w:val="Prrafodelista"/>
        <w:numPr>
          <w:ilvl w:val="0"/>
          <w:numId w:val="5"/>
        </w:numPr>
        <w:tabs>
          <w:tab w:val="left" w:pos="426"/>
        </w:tabs>
        <w:spacing w:after="0" w:line="240" w:lineRule="auto"/>
        <w:ind w:left="0" w:firstLine="0"/>
        <w:jc w:val="both"/>
        <w:rPr>
          <w:rFonts w:ascii="Times New Roman" w:eastAsia="Calibri" w:hAnsi="Times New Roman" w:cs="Times New Roman"/>
          <w:i/>
          <w:lang w:eastAsia="en-US"/>
        </w:rPr>
      </w:pPr>
      <w:r w:rsidRPr="005A2345">
        <w:rPr>
          <w:rFonts w:ascii="Times New Roman" w:eastAsia="Calibri" w:hAnsi="Times New Roman" w:cs="Times New Roman"/>
          <w:lang w:eastAsia="en-US"/>
        </w:rPr>
        <w:t xml:space="preserve">Finalmente, es necesario contemplar, una vez se culmine un proceso de negociación para alcanzar la paz, mecanismos que aseguren la publicidad y transparencia de las actividades, decisiones y </w:t>
      </w:r>
      <w:r w:rsidRPr="005A2345">
        <w:rPr>
          <w:rFonts w:ascii="Times New Roman" w:eastAsia="Calibri" w:hAnsi="Times New Roman" w:cs="Times New Roman"/>
          <w:lang w:eastAsia="en-US"/>
        </w:rPr>
        <w:t>actos que fueron adelantadas en su marco y que lo hicieron posible. Es decir, la reserva no puede ser ilimitada, y para ello pueden implementarse sistemas de información pública como lo es hoy en día, por ejemplo, el Sistema Integrado de Información para e</w:t>
      </w:r>
      <w:r w:rsidRPr="005A2345">
        <w:rPr>
          <w:rFonts w:ascii="Times New Roman" w:eastAsia="Calibri" w:hAnsi="Times New Roman" w:cs="Times New Roman"/>
          <w:lang w:eastAsia="en-US"/>
        </w:rPr>
        <w:t>l Posconflicto (SIPO) o la biblioteca de los tomos del Acuerdo Final de Paz con las FARC-EP.</w:t>
      </w:r>
      <w:r w:rsidRPr="005A2345">
        <w:rPr>
          <w:rFonts w:ascii="Times New Roman" w:eastAsia="Calibri" w:hAnsi="Times New Roman" w:cs="Times New Roman"/>
          <w:vertAlign w:val="superscript"/>
        </w:rPr>
        <w:footnoteReference w:id="78"/>
      </w:r>
    </w:p>
    <w:p w:rsidR="00A641E4" w:rsidRPr="005A2345" w:rsidRDefault="005A2345" w:rsidP="00224451">
      <w:pPr>
        <w:pStyle w:val="Prrafodelista"/>
        <w:spacing w:after="0" w:line="240" w:lineRule="auto"/>
        <w:ind w:left="0"/>
        <w:jc w:val="both"/>
        <w:rPr>
          <w:rFonts w:ascii="Times New Roman" w:hAnsi="Times New Roman" w:cs="Times New Roman"/>
          <w:iCs/>
          <w:lang w:val="es-ES"/>
        </w:rPr>
      </w:pPr>
    </w:p>
    <w:p w:rsidR="0022006C" w:rsidRPr="005A2345" w:rsidRDefault="005A2345" w:rsidP="00782CC9">
      <w:pPr>
        <w:pStyle w:val="Ttulo1"/>
        <w:spacing w:before="0" w:after="0" w:line="240" w:lineRule="auto"/>
        <w:jc w:val="both"/>
        <w:rPr>
          <w:rFonts w:ascii="Times New Roman" w:hAnsi="Times New Roman" w:cs="Times New Roman"/>
          <w:color w:val="000000" w:themeColor="text1"/>
          <w:sz w:val="28"/>
          <w:szCs w:val="28"/>
          <w:lang w:val="es-ES_tradnl"/>
        </w:rPr>
      </w:pPr>
      <w:r w:rsidRPr="005A2345">
        <w:rPr>
          <w:rFonts w:ascii="Times New Roman" w:hAnsi="Times New Roman" w:cs="Times New Roman"/>
          <w:color w:val="000000" w:themeColor="text1"/>
          <w:sz w:val="28"/>
          <w:szCs w:val="28"/>
          <w:lang w:val="es-ES_tradnl"/>
        </w:rPr>
        <w:t xml:space="preserve">Solución </w:t>
      </w:r>
      <w:r w:rsidRPr="005A2345">
        <w:rPr>
          <w:rFonts w:ascii="Times New Roman" w:hAnsi="Times New Roman" w:cs="Times New Roman"/>
          <w:color w:val="000000" w:themeColor="text1"/>
          <w:sz w:val="28"/>
          <w:szCs w:val="28"/>
          <w:lang w:val="es-ES_tradnl"/>
        </w:rPr>
        <w:t>del cargo admitido: el parágrafo 1º del artículo 6 de la Ley 2272 de 2022 es constitucional</w:t>
      </w:r>
      <w:r w:rsidRPr="005A2345">
        <w:rPr>
          <w:rFonts w:ascii="Times New Roman" w:hAnsi="Times New Roman" w:cs="Times New Roman"/>
          <w:color w:val="000000" w:themeColor="text1"/>
          <w:sz w:val="28"/>
          <w:szCs w:val="28"/>
          <w:lang w:val="es-ES_tradnl"/>
        </w:rPr>
        <w:t xml:space="preserve"> tratándose de las conversaciones y las negociaciones con grupos armados. </w:t>
      </w:r>
    </w:p>
    <w:p w:rsidR="0022006C" w:rsidRPr="005A2345" w:rsidRDefault="005A2345" w:rsidP="0022006C">
      <w:pPr>
        <w:rPr>
          <w:rFonts w:ascii="Times New Roman" w:hAnsi="Times New Roman" w:cs="Times New Roman"/>
          <w:sz w:val="28"/>
          <w:lang w:val="es-ES_tradnl" w:eastAsia="es-ES"/>
        </w:rPr>
      </w:pPr>
    </w:p>
    <w:p w:rsidR="0022006C"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lang w:val="es-ES"/>
        </w:rPr>
      </w:pPr>
      <w:r w:rsidRPr="005A2345">
        <w:rPr>
          <w:rFonts w:ascii="Times New Roman" w:hAnsi="Times New Roman" w:cs="Times New Roman"/>
          <w:lang w:val="es-ES"/>
        </w:rPr>
        <w:t xml:space="preserve"> </w:t>
      </w:r>
      <w:r w:rsidRPr="005A2345">
        <w:rPr>
          <w:rFonts w:ascii="Times New Roman" w:hAnsi="Times New Roman" w:cs="Times New Roman"/>
          <w:i/>
          <w:iCs/>
          <w:lang w:val="es-ES"/>
        </w:rPr>
        <w:t>Antecedentes legislativos del parágrafo 1 del artículo 6 de la Ley 2272 de 2022.</w:t>
      </w:r>
      <w:r w:rsidRPr="005A2345">
        <w:rPr>
          <w:rFonts w:ascii="Times New Roman" w:hAnsi="Times New Roman" w:cs="Times New Roman"/>
          <w:lang w:val="es-ES"/>
        </w:rPr>
        <w:t xml:space="preserve"> </w:t>
      </w:r>
      <w:r w:rsidRPr="005A2345">
        <w:rPr>
          <w:rFonts w:ascii="Times New Roman" w:hAnsi="Times New Roman" w:cs="Times New Roman"/>
          <w:lang w:val="es-ES"/>
        </w:rPr>
        <w:t xml:space="preserve">Cabe precisar que la Ley 2272 tiene por objeto </w:t>
      </w:r>
      <w:r w:rsidRPr="005A2345">
        <w:rPr>
          <w:rFonts w:ascii="Times New Roman" w:hAnsi="Times New Roman" w:cs="Times New Roman"/>
        </w:rPr>
        <w:t>definir la política de paz como una política de Est</w:t>
      </w:r>
      <w:r w:rsidRPr="005A2345">
        <w:rPr>
          <w:rFonts w:ascii="Times New Roman" w:hAnsi="Times New Roman" w:cs="Times New Roman"/>
        </w:rPr>
        <w:t xml:space="preserve">ado (art. 1). </w:t>
      </w:r>
      <w:r w:rsidRPr="005A2345">
        <w:rPr>
          <w:rFonts w:ascii="Times New Roman" w:hAnsi="Times New Roman" w:cs="Times New Roman"/>
        </w:rPr>
        <w:t xml:space="preserve">El proyecto fue presentado por iniciativa gubernamental a través de los ministros del </w:t>
      </w:r>
      <w:r w:rsidRPr="005A2345">
        <w:rPr>
          <w:rFonts w:ascii="Times New Roman" w:hAnsi="Times New Roman" w:cs="Times New Roman"/>
        </w:rPr>
        <w:t>I</w:t>
      </w:r>
      <w:r w:rsidRPr="005A2345">
        <w:rPr>
          <w:rFonts w:ascii="Times New Roman" w:hAnsi="Times New Roman" w:cs="Times New Roman"/>
        </w:rPr>
        <w:t xml:space="preserve">nterior y </w:t>
      </w:r>
      <w:r w:rsidRPr="005A2345">
        <w:rPr>
          <w:rFonts w:ascii="Times New Roman" w:hAnsi="Times New Roman" w:cs="Times New Roman"/>
        </w:rPr>
        <w:t>de D</w:t>
      </w:r>
      <w:r w:rsidRPr="005A2345">
        <w:rPr>
          <w:rFonts w:ascii="Times New Roman" w:hAnsi="Times New Roman" w:cs="Times New Roman"/>
        </w:rPr>
        <w:t xml:space="preserve">efensa y </w:t>
      </w:r>
      <w:r w:rsidRPr="005A2345">
        <w:rPr>
          <w:rFonts w:ascii="Times New Roman" w:hAnsi="Times New Roman" w:cs="Times New Roman"/>
        </w:rPr>
        <w:t>S</w:t>
      </w:r>
      <w:r w:rsidRPr="005A2345">
        <w:rPr>
          <w:rFonts w:ascii="Times New Roman" w:hAnsi="Times New Roman" w:cs="Times New Roman"/>
        </w:rPr>
        <w:t xml:space="preserve">eguridad </w:t>
      </w:r>
      <w:r w:rsidRPr="005A2345">
        <w:rPr>
          <w:rFonts w:ascii="Times New Roman" w:hAnsi="Times New Roman" w:cs="Times New Roman"/>
        </w:rPr>
        <w:t>N</w:t>
      </w:r>
      <w:r w:rsidRPr="005A2345">
        <w:rPr>
          <w:rFonts w:ascii="Times New Roman" w:hAnsi="Times New Roman" w:cs="Times New Roman"/>
        </w:rPr>
        <w:t xml:space="preserve">acional. </w:t>
      </w:r>
      <w:r w:rsidRPr="005A2345">
        <w:rPr>
          <w:rFonts w:ascii="Times New Roman" w:hAnsi="Times New Roman" w:cs="Times New Roman"/>
        </w:rPr>
        <w:t xml:space="preserve">En la exposición de motivos del proyecto de ley </w:t>
      </w:r>
      <w:r w:rsidRPr="005A2345">
        <w:rPr>
          <w:rFonts w:ascii="Times New Roman" w:hAnsi="Times New Roman" w:cs="Times New Roman"/>
        </w:rPr>
        <w:t>se reconoció la importancia de garantizar la paz como un derecho no solo individual sino colectivo que se encuentra asociado con la seguridad humana. Para el efecto, se recordaron los estándares internacionales y nacionales sobre los mecanismos con los que</w:t>
      </w:r>
      <w:r w:rsidRPr="005A2345">
        <w:rPr>
          <w:rFonts w:ascii="Times New Roman" w:hAnsi="Times New Roman" w:cs="Times New Roman"/>
        </w:rPr>
        <w:t xml:space="preserve"> cuenta el Estado para garantizar la salida del conflicto armado interno y se hizo un recuento de los diferentes procesos de paz que se han implementado en Colombia. Se afirmó que «[l]os diálogos, negociaciones y acercamientos que el Estado lleve a cabo co</w:t>
      </w:r>
      <w:r w:rsidRPr="005A2345">
        <w:rPr>
          <w:rFonts w:ascii="Times New Roman" w:hAnsi="Times New Roman" w:cs="Times New Roman"/>
        </w:rPr>
        <w:t>n grupos armados ilegales, con el fin de buscar el cese de conflictos armados internos, constituyen instrumentos legalmente reconocidos que buscan darle una salida pacífica a la confrontación y, en consecuencia, garantizar el derecho a la paz y a la tranqu</w:t>
      </w:r>
      <w:r w:rsidRPr="005A2345">
        <w:rPr>
          <w:rFonts w:ascii="Times New Roman" w:hAnsi="Times New Roman" w:cs="Times New Roman"/>
        </w:rPr>
        <w:t>ilidad pública</w:t>
      </w:r>
      <w:r w:rsidRPr="005A2345">
        <w:rPr>
          <w:rFonts w:ascii="Times New Roman" w:hAnsi="Times New Roman" w:cs="Times New Roman"/>
        </w:rPr>
        <w:t>».</w:t>
      </w:r>
      <w:r w:rsidRPr="005A2345">
        <w:rPr>
          <w:rStyle w:val="Refdenotaalpie"/>
          <w:rFonts w:ascii="Times New Roman" w:hAnsi="Times New Roman" w:cs="Times New Roman"/>
        </w:rPr>
        <w:footnoteReference w:id="79"/>
      </w:r>
    </w:p>
    <w:p w:rsidR="00912C25" w:rsidRPr="005A2345" w:rsidRDefault="005A2345" w:rsidP="00912C25">
      <w:pPr>
        <w:pStyle w:val="Prrafodelista"/>
        <w:tabs>
          <w:tab w:val="left" w:pos="284"/>
          <w:tab w:val="left" w:pos="426"/>
        </w:tabs>
        <w:spacing w:after="0" w:line="240" w:lineRule="auto"/>
        <w:ind w:left="0"/>
        <w:jc w:val="both"/>
        <w:rPr>
          <w:rFonts w:ascii="Times New Roman" w:hAnsi="Times New Roman" w:cs="Times New Roman"/>
          <w:lang w:val="es-ES"/>
        </w:rPr>
      </w:pPr>
    </w:p>
    <w:p w:rsidR="000450D9"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lang w:val="es-ES"/>
        </w:rPr>
      </w:pPr>
      <w:r w:rsidRPr="005A2345">
        <w:rPr>
          <w:rFonts w:ascii="Times New Roman" w:hAnsi="Times New Roman" w:cs="Times New Roman"/>
        </w:rPr>
        <w:t xml:space="preserve">Conforme a lo anterior, la Ley 2272 de 2022 </w:t>
      </w:r>
      <w:r w:rsidRPr="005A2345">
        <w:rPr>
          <w:rFonts w:ascii="Times New Roman" w:hAnsi="Times New Roman" w:cs="Times New Roman"/>
        </w:rPr>
        <w:t>adicionó, modificó y prorrogó disposiciones contenidas en la Ley 418 de 1997 “Por la cual se consagran unos instrumentos para la búsqueda de la convivencia, la eficacia de la justicia y se dict</w:t>
      </w:r>
      <w:r w:rsidRPr="005A2345">
        <w:rPr>
          <w:rFonts w:ascii="Times New Roman" w:hAnsi="Times New Roman" w:cs="Times New Roman"/>
        </w:rPr>
        <w:t xml:space="preserve">an otras disposiciones”, creó el servicio social para la Paz y el Fondo para la Paz, entre otras disposiciones. En ese sentido, regula mecanismos a través de los cuales el gobierno Nacional puede iniciar diálogos, conversaciones y acercamientos con grupos </w:t>
      </w:r>
      <w:r w:rsidRPr="005A2345">
        <w:rPr>
          <w:rFonts w:ascii="Times New Roman" w:hAnsi="Times New Roman" w:cs="Times New Roman"/>
        </w:rPr>
        <w:t>armados al margen de la ley o estructuras armadas organizadas de crimen de alto impacto.</w:t>
      </w:r>
      <w:r w:rsidRPr="005A2345">
        <w:rPr>
          <w:rStyle w:val="Refdenotaalpie"/>
          <w:rFonts w:ascii="Times New Roman" w:hAnsi="Times New Roman" w:cs="Times New Roman"/>
        </w:rPr>
        <w:footnoteReference w:id="80"/>
      </w:r>
      <w:r w:rsidRPr="005A2345">
        <w:rPr>
          <w:rFonts w:ascii="Times New Roman" w:hAnsi="Times New Roman" w:cs="Times New Roman"/>
        </w:rPr>
        <w:t xml:space="preserve"> Especialmente, en la sentencia C-525 de 2023 la Corte fue enfática en señalar que aunque la Constitución permite que el Gobierno nacional inicie acercamientos y conve</w:t>
      </w:r>
      <w:r w:rsidRPr="005A2345">
        <w:rPr>
          <w:rFonts w:ascii="Times New Roman" w:hAnsi="Times New Roman" w:cs="Times New Roman"/>
        </w:rPr>
        <w:t>rsaciones con estructuras armadas organizadas de crimen de alto impacto para procurar su sometimiento a la justicia, esa función, y las autorizaciones que la norma acusada otorga al Gobierno para tales efectos, deben enmarcarse dentro de los límites que im</w:t>
      </w:r>
      <w:r w:rsidRPr="005A2345">
        <w:rPr>
          <w:rFonts w:ascii="Times New Roman" w:hAnsi="Times New Roman" w:cs="Times New Roman"/>
        </w:rPr>
        <w:t>pone la Carta Política, como lo es el principio de separación de poderes.</w:t>
      </w:r>
    </w:p>
    <w:p w:rsidR="008041BB" w:rsidRPr="005A2345" w:rsidRDefault="005A2345" w:rsidP="008041BB">
      <w:pPr>
        <w:pStyle w:val="Prrafodelista"/>
        <w:tabs>
          <w:tab w:val="left" w:pos="284"/>
          <w:tab w:val="left" w:pos="426"/>
        </w:tabs>
        <w:spacing w:after="0" w:line="240" w:lineRule="auto"/>
        <w:ind w:left="0"/>
        <w:jc w:val="both"/>
        <w:rPr>
          <w:rFonts w:ascii="Times New Roman" w:hAnsi="Times New Roman" w:cs="Times New Roman"/>
          <w:lang w:val="es-ES"/>
        </w:rPr>
      </w:pPr>
    </w:p>
    <w:p w:rsidR="006D67FF"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lang w:val="es-ES"/>
        </w:rPr>
      </w:pPr>
      <w:r w:rsidRPr="005A2345">
        <w:rPr>
          <w:rFonts w:ascii="Times New Roman" w:hAnsi="Times New Roman" w:cs="Times New Roman"/>
          <w:lang w:val="es-ES"/>
        </w:rPr>
        <w:t>En</w:t>
      </w:r>
      <w:r w:rsidRPr="005A2345">
        <w:rPr>
          <w:rFonts w:ascii="Times New Roman" w:hAnsi="Times New Roman" w:cs="Times New Roman"/>
          <w:lang w:val="es-ES"/>
        </w:rPr>
        <w:t xml:space="preserve"> lo que concierne a la norma demandada, en la ponencia para primer debate </w:t>
      </w:r>
      <w:r w:rsidRPr="005A2345">
        <w:rPr>
          <w:rFonts w:ascii="Times New Roman" w:hAnsi="Times New Roman" w:cs="Times New Roman"/>
          <w:lang w:val="es-ES"/>
        </w:rPr>
        <w:t xml:space="preserve">el texto </w:t>
      </w:r>
      <w:r w:rsidRPr="005A2345">
        <w:rPr>
          <w:rFonts w:ascii="Times New Roman" w:hAnsi="Times New Roman" w:cs="Times New Roman"/>
          <w:lang w:val="es-ES"/>
        </w:rPr>
        <w:t>incorporaba un artículo nuevo a la Ley 418 de 1997. Se formuló de la siguiente forma</w:t>
      </w:r>
      <w:r w:rsidRPr="005A2345">
        <w:rPr>
          <w:rFonts w:ascii="Times New Roman" w:hAnsi="Times New Roman" w:cs="Times New Roman"/>
          <w:lang w:val="es-ES"/>
        </w:rPr>
        <w:t>: «</w:t>
      </w:r>
      <w:r w:rsidRPr="005A2345">
        <w:rPr>
          <w:rFonts w:ascii="Times New Roman" w:hAnsi="Times New Roman" w:cs="Times New Roman"/>
          <w:lang w:val="es-ES"/>
        </w:rPr>
        <w:t xml:space="preserve">Artículo </w:t>
      </w:r>
      <w:r w:rsidRPr="005A2345">
        <w:rPr>
          <w:rFonts w:ascii="Times New Roman" w:hAnsi="Times New Roman" w:cs="Times New Roman"/>
          <w:lang w:val="es-ES"/>
        </w:rPr>
        <w:t xml:space="preserve">8A. Gabinete de Paz […] Parágrafo 1º. </w:t>
      </w:r>
      <w:r w:rsidRPr="005A2345">
        <w:rPr>
          <w:rFonts w:ascii="Times New Roman" w:hAnsi="Times New Roman" w:cs="Times New Roman"/>
        </w:rPr>
        <w:t xml:space="preserve">El Gabinete de Paz será convocado por el Presidente de la República o por quien él designe, y </w:t>
      </w:r>
      <w:r w:rsidRPr="005A2345">
        <w:rPr>
          <w:rFonts w:ascii="Times New Roman" w:hAnsi="Times New Roman" w:cs="Times New Roman"/>
          <w:u w:val="single"/>
        </w:rPr>
        <w:t xml:space="preserve">los asuntos que se traten en desarrollo de sus sesiones </w:t>
      </w:r>
      <w:r w:rsidRPr="005A2345">
        <w:rPr>
          <w:rFonts w:ascii="Times New Roman" w:hAnsi="Times New Roman" w:cs="Times New Roman"/>
          <w:i/>
          <w:iCs/>
          <w:u w:val="single"/>
        </w:rPr>
        <w:t>tendrán el carácter de reservados</w:t>
      </w:r>
      <w:r w:rsidRPr="005A2345">
        <w:rPr>
          <w:rFonts w:ascii="Times New Roman" w:hAnsi="Times New Roman" w:cs="Times New Roman"/>
          <w:u w:val="single"/>
        </w:rPr>
        <w:t>, así como la información y documen</w:t>
      </w:r>
      <w:r w:rsidRPr="005A2345">
        <w:rPr>
          <w:rFonts w:ascii="Times New Roman" w:hAnsi="Times New Roman" w:cs="Times New Roman"/>
          <w:u w:val="single"/>
        </w:rPr>
        <w:t>tos que se expidan en desarrollo de las mismas</w:t>
      </w:r>
      <w:r w:rsidRPr="005A2345">
        <w:rPr>
          <w:rFonts w:ascii="Times New Roman" w:hAnsi="Times New Roman" w:cs="Times New Roman"/>
        </w:rPr>
        <w:t>, y a sus sesiones podrán ser invitadas las autoridades que definan el Presidente de la República»</w:t>
      </w:r>
      <w:r w:rsidRPr="005A2345">
        <w:rPr>
          <w:rFonts w:ascii="Times New Roman" w:hAnsi="Times New Roman" w:cs="Times New Roman"/>
        </w:rPr>
        <w:t xml:space="preserve"> (énfasis propio)</w:t>
      </w:r>
      <w:r w:rsidRPr="005A2345">
        <w:rPr>
          <w:rFonts w:ascii="Times New Roman" w:hAnsi="Times New Roman" w:cs="Times New Roman"/>
        </w:rPr>
        <w:t>.</w:t>
      </w:r>
      <w:r w:rsidRPr="005A2345">
        <w:rPr>
          <w:rStyle w:val="Refdenotaalpie"/>
          <w:rFonts w:ascii="Times New Roman" w:hAnsi="Times New Roman" w:cs="Times New Roman"/>
        </w:rPr>
        <w:footnoteReference w:id="81"/>
      </w:r>
    </w:p>
    <w:p w:rsidR="006D67FF" w:rsidRPr="005A2345" w:rsidRDefault="005A2345" w:rsidP="006D67FF">
      <w:pPr>
        <w:pStyle w:val="Prrafodelista"/>
        <w:rPr>
          <w:rFonts w:ascii="Times New Roman" w:hAnsi="Times New Roman" w:cs="Times New Roman"/>
          <w:lang w:val="es-ES"/>
        </w:rPr>
      </w:pPr>
    </w:p>
    <w:p w:rsidR="003906FD"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lang w:val="es-ES"/>
        </w:rPr>
      </w:pPr>
      <w:r w:rsidRPr="005A2345">
        <w:rPr>
          <w:rFonts w:ascii="Times New Roman" w:hAnsi="Times New Roman" w:cs="Times New Roman"/>
          <w:lang w:val="es-ES"/>
        </w:rPr>
        <w:t>Luego, en la Gaceta No. 11</w:t>
      </w:r>
      <w:r w:rsidRPr="005A2345">
        <w:rPr>
          <w:rFonts w:ascii="Times New Roman" w:hAnsi="Times New Roman" w:cs="Times New Roman"/>
          <w:lang w:val="es-ES"/>
        </w:rPr>
        <w:t>9</w:t>
      </w:r>
      <w:r w:rsidRPr="005A2345">
        <w:rPr>
          <w:rFonts w:ascii="Times New Roman" w:hAnsi="Times New Roman" w:cs="Times New Roman"/>
          <w:lang w:val="es-ES"/>
        </w:rPr>
        <w:t xml:space="preserve">2 de 2022, en la que se consignó el Informe de Ponencia para Primer Debate y el pliego de modificaciones al Proyecto de Ley 160/2022 en Cámara y 181/2022 en Senado, </w:t>
      </w:r>
      <w:r w:rsidRPr="005A2345">
        <w:rPr>
          <w:rFonts w:ascii="Times New Roman" w:hAnsi="Times New Roman" w:cs="Times New Roman"/>
          <w:lang w:val="es-ES"/>
        </w:rPr>
        <w:t>la redacción del parágrafo fue modificada con el fin de atender los mandatos constitucional</w:t>
      </w:r>
      <w:r w:rsidRPr="005A2345">
        <w:rPr>
          <w:rFonts w:ascii="Times New Roman" w:hAnsi="Times New Roman" w:cs="Times New Roman"/>
          <w:lang w:val="es-ES"/>
        </w:rPr>
        <w:t xml:space="preserve">es y la Ley Estatutaria 1712 de 2014. Se transcribe el cuadro publicado en la Gaceta: </w:t>
      </w:r>
    </w:p>
    <w:p w:rsidR="00DE4A0C" w:rsidRPr="005A2345" w:rsidRDefault="005A2345" w:rsidP="0022006C">
      <w:pPr>
        <w:pStyle w:val="Prrafodelista"/>
        <w:spacing w:after="0" w:line="240" w:lineRule="auto"/>
        <w:ind w:left="0"/>
        <w:jc w:val="both"/>
        <w:rPr>
          <w:rFonts w:ascii="Times New Roman" w:hAnsi="Times New Roman" w:cs="Times New Roman"/>
          <w:lang w:val="es-ES"/>
        </w:rPr>
      </w:pPr>
    </w:p>
    <w:tbl>
      <w:tblPr>
        <w:tblStyle w:val="Tablaconcuadrcula"/>
        <w:tblW w:w="0" w:type="auto"/>
        <w:tblLook w:val="04A0" w:firstRow="1" w:lastRow="0" w:firstColumn="1" w:lastColumn="0" w:noHBand="0" w:noVBand="1"/>
      </w:tblPr>
      <w:tblGrid>
        <w:gridCol w:w="2943"/>
        <w:gridCol w:w="2943"/>
        <w:gridCol w:w="2944"/>
      </w:tblGrid>
      <w:tr w:rsidR="00DE4A0C" w:rsidRPr="005A2345" w:rsidTr="00DE4A0C">
        <w:tc>
          <w:tcPr>
            <w:tcW w:w="2943" w:type="dxa"/>
          </w:tcPr>
          <w:p w:rsidR="00DE4A0C" w:rsidRPr="005A2345" w:rsidRDefault="005A2345" w:rsidP="00DE4A0C">
            <w:pPr>
              <w:pStyle w:val="Pa19"/>
              <w:jc w:val="both"/>
              <w:rPr>
                <w:color w:val="000000"/>
                <w:sz w:val="28"/>
                <w:szCs w:val="20"/>
              </w:rPr>
            </w:pPr>
            <w:r w:rsidRPr="005A2345">
              <w:rPr>
                <w:b/>
                <w:bCs/>
                <w:color w:val="000000"/>
                <w:sz w:val="28"/>
                <w:szCs w:val="20"/>
              </w:rPr>
              <w:t xml:space="preserve">PROYECTO DE LEY ORIGINAL </w:t>
            </w:r>
          </w:p>
          <w:p w:rsidR="00DE4A0C" w:rsidRPr="005A2345" w:rsidRDefault="005A2345" w:rsidP="0022006C">
            <w:pPr>
              <w:pStyle w:val="Prrafodelista"/>
              <w:spacing w:after="0" w:line="240" w:lineRule="auto"/>
              <w:ind w:left="0"/>
              <w:jc w:val="both"/>
              <w:rPr>
                <w:rFonts w:ascii="Times New Roman" w:hAnsi="Times New Roman" w:cs="Times New Roman"/>
                <w:lang w:val="es-ES"/>
              </w:rPr>
            </w:pPr>
          </w:p>
        </w:tc>
        <w:tc>
          <w:tcPr>
            <w:tcW w:w="2943" w:type="dxa"/>
          </w:tcPr>
          <w:p w:rsidR="00DE4A0C" w:rsidRPr="005A2345" w:rsidRDefault="005A2345" w:rsidP="00DE4A0C">
            <w:pPr>
              <w:pStyle w:val="Pa19"/>
              <w:jc w:val="both"/>
              <w:rPr>
                <w:color w:val="000000"/>
                <w:sz w:val="28"/>
                <w:szCs w:val="20"/>
              </w:rPr>
            </w:pPr>
            <w:r w:rsidRPr="005A2345">
              <w:rPr>
                <w:b/>
                <w:bCs/>
                <w:color w:val="000000"/>
                <w:sz w:val="28"/>
                <w:szCs w:val="20"/>
              </w:rPr>
              <w:t xml:space="preserve">PROPUESTA PLIEGO MODIFICATORIO </w:t>
            </w:r>
          </w:p>
          <w:p w:rsidR="00DE4A0C" w:rsidRPr="005A2345" w:rsidRDefault="005A2345" w:rsidP="0022006C">
            <w:pPr>
              <w:pStyle w:val="Prrafodelista"/>
              <w:spacing w:after="0" w:line="240" w:lineRule="auto"/>
              <w:ind w:left="0"/>
              <w:jc w:val="both"/>
              <w:rPr>
                <w:rFonts w:ascii="Times New Roman" w:hAnsi="Times New Roman" w:cs="Times New Roman"/>
                <w:lang w:val="es-ES"/>
              </w:rPr>
            </w:pPr>
          </w:p>
        </w:tc>
        <w:tc>
          <w:tcPr>
            <w:tcW w:w="2944" w:type="dxa"/>
          </w:tcPr>
          <w:tbl>
            <w:tblPr>
              <w:tblW w:w="0" w:type="auto"/>
              <w:tblBorders>
                <w:top w:val="nil"/>
                <w:left w:val="nil"/>
                <w:bottom w:val="nil"/>
                <w:right w:val="nil"/>
              </w:tblBorders>
              <w:tblLook w:val="0000" w:firstRow="0" w:lastRow="0" w:firstColumn="0" w:lastColumn="0" w:noHBand="0" w:noVBand="0"/>
            </w:tblPr>
            <w:tblGrid>
              <w:gridCol w:w="2728"/>
            </w:tblGrid>
            <w:tr w:rsidR="00DE4A0C" w:rsidRPr="005A2345">
              <w:trPr>
                <w:trHeight w:val="258"/>
              </w:trPr>
              <w:tc>
                <w:tcPr>
                  <w:tcW w:w="0" w:type="auto"/>
                </w:tcPr>
                <w:p w:rsidR="00DE4A0C" w:rsidRPr="005A2345" w:rsidRDefault="005A2345" w:rsidP="00DE4A0C">
                  <w:pPr>
                    <w:pStyle w:val="Pa19"/>
                    <w:jc w:val="center"/>
                    <w:rPr>
                      <w:color w:val="000000"/>
                      <w:sz w:val="28"/>
                      <w:szCs w:val="20"/>
                    </w:rPr>
                  </w:pPr>
                  <w:r w:rsidRPr="005A2345">
                    <w:rPr>
                      <w:b/>
                      <w:bCs/>
                      <w:color w:val="000000"/>
                      <w:sz w:val="28"/>
                      <w:szCs w:val="20"/>
                    </w:rPr>
                    <w:t xml:space="preserve">JUSTIFICACIÓN DE LAS MODIFICACIONES PROPUESTAS </w:t>
                  </w:r>
                </w:p>
              </w:tc>
            </w:tr>
          </w:tbl>
          <w:p w:rsidR="00DE4A0C" w:rsidRPr="005A2345" w:rsidRDefault="005A2345" w:rsidP="0022006C">
            <w:pPr>
              <w:pStyle w:val="Prrafodelista"/>
              <w:spacing w:after="0" w:line="240" w:lineRule="auto"/>
              <w:ind w:left="0"/>
              <w:jc w:val="both"/>
              <w:rPr>
                <w:rFonts w:ascii="Times New Roman" w:hAnsi="Times New Roman" w:cs="Times New Roman"/>
                <w:lang w:val="es-ES"/>
              </w:rPr>
            </w:pPr>
          </w:p>
        </w:tc>
      </w:tr>
      <w:tr w:rsidR="00DE4A0C" w:rsidRPr="005A2345" w:rsidTr="00DE4A0C">
        <w:tc>
          <w:tcPr>
            <w:tcW w:w="2943" w:type="dxa"/>
          </w:tcPr>
          <w:p w:rsidR="00DE4A0C" w:rsidRPr="005A2345" w:rsidRDefault="005A2345" w:rsidP="00DE4A0C">
            <w:pPr>
              <w:pStyle w:val="Pa17"/>
              <w:jc w:val="both"/>
              <w:rPr>
                <w:color w:val="000000"/>
                <w:sz w:val="28"/>
                <w:szCs w:val="20"/>
              </w:rPr>
            </w:pPr>
            <w:r w:rsidRPr="005A2345">
              <w:rPr>
                <w:b/>
                <w:bCs/>
                <w:color w:val="000000"/>
                <w:sz w:val="28"/>
                <w:szCs w:val="20"/>
              </w:rPr>
              <w:t xml:space="preserve">Artículo 5°. </w:t>
            </w:r>
            <w:r w:rsidRPr="005A2345">
              <w:rPr>
                <w:color w:val="000000"/>
                <w:sz w:val="28"/>
                <w:szCs w:val="20"/>
              </w:rPr>
              <w:t xml:space="preserve">Incorpórese un artículo nuevo a la Ley 418 de 1997, del siguiente tenor: </w:t>
            </w:r>
          </w:p>
          <w:p w:rsidR="00DE4A0C" w:rsidRPr="005A2345" w:rsidRDefault="005A2345" w:rsidP="00DE4A0C">
            <w:pPr>
              <w:pStyle w:val="Default"/>
              <w:rPr>
                <w:rFonts w:ascii="Times New Roman" w:hAnsi="Times New Roman" w:cs="Times New Roman"/>
                <w:sz w:val="28"/>
              </w:rPr>
            </w:pPr>
          </w:p>
          <w:p w:rsidR="00DE4A0C" w:rsidRPr="005A2345" w:rsidRDefault="005A2345" w:rsidP="00DE4A0C">
            <w:pPr>
              <w:pStyle w:val="Pa17"/>
              <w:jc w:val="both"/>
              <w:rPr>
                <w:color w:val="000000"/>
                <w:sz w:val="28"/>
                <w:szCs w:val="20"/>
              </w:rPr>
            </w:pPr>
            <w:r w:rsidRPr="005A2345">
              <w:rPr>
                <w:b/>
                <w:bCs/>
                <w:color w:val="000000"/>
                <w:sz w:val="28"/>
                <w:szCs w:val="20"/>
              </w:rPr>
              <w:t xml:space="preserve">“Artículo 8 A. </w:t>
            </w:r>
            <w:r w:rsidRPr="005A2345">
              <w:rPr>
                <w:b/>
                <w:bCs/>
                <w:i/>
                <w:iCs/>
                <w:color w:val="000000"/>
                <w:sz w:val="28"/>
                <w:szCs w:val="20"/>
              </w:rPr>
              <w:t xml:space="preserve">Gabinete de Paz. </w:t>
            </w:r>
            <w:r w:rsidRPr="005A2345">
              <w:rPr>
                <w:color w:val="000000"/>
                <w:sz w:val="28"/>
                <w:szCs w:val="20"/>
              </w:rPr>
              <w:t>Cada uno de los Ministerios que conforman el Gobierno nacional deberá definir los componentes de la política pú</w:t>
            </w:r>
            <w:r w:rsidRPr="005A2345">
              <w:rPr>
                <w:color w:val="000000"/>
                <w:sz w:val="28"/>
                <w:szCs w:val="20"/>
              </w:rPr>
              <w:softHyphen/>
              <w:t xml:space="preserve">blica de paz que hagan parte de su </w:t>
            </w:r>
            <w:r w:rsidRPr="005A2345">
              <w:rPr>
                <w:color w:val="000000"/>
                <w:sz w:val="28"/>
                <w:szCs w:val="20"/>
              </w:rPr>
              <w:t>competencia. En sesiones bimestrales o cuando así lo determine el Presidente de la República, el Gabinete Minis</w:t>
            </w:r>
            <w:r w:rsidRPr="005A2345">
              <w:rPr>
                <w:color w:val="000000"/>
                <w:sz w:val="28"/>
                <w:szCs w:val="20"/>
              </w:rPr>
              <w:softHyphen/>
              <w:t>terial sesionará como Gabinete de Paz. En esas se</w:t>
            </w:r>
            <w:r w:rsidRPr="005A2345">
              <w:rPr>
                <w:color w:val="000000"/>
                <w:sz w:val="28"/>
                <w:szCs w:val="20"/>
              </w:rPr>
              <w:softHyphen/>
              <w:t xml:space="preserve">siones los Ministerios presentarán informes sobre los asuntos a su cargo en esta materia. </w:t>
            </w:r>
          </w:p>
          <w:p w:rsidR="00DE4A0C" w:rsidRPr="005A2345" w:rsidRDefault="005A2345" w:rsidP="00DE4A0C">
            <w:pPr>
              <w:pStyle w:val="Default"/>
              <w:rPr>
                <w:rFonts w:ascii="Times New Roman" w:hAnsi="Times New Roman" w:cs="Times New Roman"/>
                <w:sz w:val="28"/>
              </w:rPr>
            </w:pPr>
          </w:p>
          <w:p w:rsidR="00DE4A0C" w:rsidRPr="005A2345" w:rsidRDefault="005A2345" w:rsidP="00DE4A0C">
            <w:pPr>
              <w:pStyle w:val="Pa17"/>
              <w:jc w:val="both"/>
              <w:rPr>
                <w:color w:val="000000"/>
                <w:sz w:val="28"/>
                <w:szCs w:val="20"/>
              </w:rPr>
            </w:pPr>
            <w:r w:rsidRPr="005A2345">
              <w:rPr>
                <w:b/>
                <w:bCs/>
                <w:color w:val="000000"/>
                <w:sz w:val="28"/>
                <w:szCs w:val="20"/>
              </w:rPr>
              <w:t>Pa</w:t>
            </w:r>
            <w:r w:rsidRPr="005A2345">
              <w:rPr>
                <w:b/>
                <w:bCs/>
                <w:color w:val="000000"/>
                <w:sz w:val="28"/>
                <w:szCs w:val="20"/>
              </w:rPr>
              <w:t xml:space="preserve">rágrafo 1°. </w:t>
            </w:r>
            <w:r w:rsidRPr="005A2345">
              <w:rPr>
                <w:color w:val="000000"/>
                <w:sz w:val="28"/>
                <w:szCs w:val="20"/>
              </w:rPr>
              <w:t xml:space="preserve">El Gabinete de Paz será convocado por el Presidente de la República o por quien él designe, </w:t>
            </w:r>
            <w:r w:rsidRPr="005A2345">
              <w:rPr>
                <w:b/>
                <w:bCs/>
                <w:color w:val="000000"/>
                <w:sz w:val="28"/>
                <w:szCs w:val="20"/>
              </w:rPr>
              <w:t>y los asuntos que se traten en desarrollo de sus sesiones tendrán el carácter de reservados, así como la información y documentos que se ex</w:t>
            </w:r>
            <w:r w:rsidRPr="005A2345">
              <w:rPr>
                <w:b/>
                <w:bCs/>
                <w:color w:val="000000"/>
                <w:sz w:val="28"/>
                <w:szCs w:val="20"/>
              </w:rPr>
              <w:softHyphen/>
              <w:t>pidan en des</w:t>
            </w:r>
            <w:r w:rsidRPr="005A2345">
              <w:rPr>
                <w:b/>
                <w:bCs/>
                <w:color w:val="000000"/>
                <w:sz w:val="28"/>
                <w:szCs w:val="20"/>
              </w:rPr>
              <w:t>arrollo de las mismas,</w:t>
            </w:r>
            <w:r w:rsidRPr="005A2345">
              <w:rPr>
                <w:color w:val="000000"/>
                <w:sz w:val="28"/>
                <w:szCs w:val="20"/>
              </w:rPr>
              <w:t xml:space="preserve"> y a sus sesiones podrán ser invitadas las autoridades que definan el Presidente de la República. </w:t>
            </w:r>
          </w:p>
          <w:p w:rsidR="00DE4A0C" w:rsidRPr="005A2345" w:rsidRDefault="005A2345" w:rsidP="00DE4A0C">
            <w:pPr>
              <w:pStyle w:val="Default"/>
              <w:rPr>
                <w:rFonts w:ascii="Times New Roman" w:hAnsi="Times New Roman" w:cs="Times New Roman"/>
                <w:sz w:val="28"/>
              </w:rPr>
            </w:pPr>
          </w:p>
          <w:p w:rsidR="00DE4A0C" w:rsidRPr="005A2345" w:rsidRDefault="005A2345" w:rsidP="0022006C">
            <w:pPr>
              <w:pStyle w:val="Prrafodelista"/>
              <w:spacing w:after="0" w:line="240" w:lineRule="auto"/>
              <w:ind w:left="0"/>
              <w:jc w:val="both"/>
              <w:rPr>
                <w:rFonts w:ascii="Times New Roman" w:hAnsi="Times New Roman" w:cs="Times New Roman"/>
                <w:lang w:val="es-ES"/>
              </w:rPr>
            </w:pPr>
            <w:r w:rsidRPr="005A2345">
              <w:rPr>
                <w:rFonts w:ascii="Times New Roman" w:hAnsi="Times New Roman" w:cs="Times New Roman"/>
                <w:b/>
                <w:bCs/>
                <w:color w:val="000000"/>
                <w:szCs w:val="20"/>
              </w:rPr>
              <w:t xml:space="preserve">Parágrafo 2°. </w:t>
            </w:r>
            <w:r w:rsidRPr="005A2345">
              <w:rPr>
                <w:rFonts w:ascii="Times New Roman" w:hAnsi="Times New Roman" w:cs="Times New Roman"/>
                <w:color w:val="000000"/>
                <w:szCs w:val="20"/>
              </w:rPr>
              <w:t xml:space="preserve">El Presidente de la República podrá convocar a las sesiones del Gabinete de Paz a los representantes autorizados por el </w:t>
            </w:r>
            <w:r w:rsidRPr="005A2345">
              <w:rPr>
                <w:rFonts w:ascii="Times New Roman" w:hAnsi="Times New Roman" w:cs="Times New Roman"/>
                <w:color w:val="000000"/>
                <w:szCs w:val="20"/>
              </w:rPr>
              <w:t>Gobierno na</w:t>
            </w:r>
            <w:r w:rsidRPr="005A2345">
              <w:rPr>
                <w:rFonts w:ascii="Times New Roman" w:hAnsi="Times New Roman" w:cs="Times New Roman"/>
                <w:color w:val="000000"/>
                <w:szCs w:val="20"/>
              </w:rPr>
              <w:softHyphen/>
              <w:t>cional que participen de diálogos, acercamientos, negociaciones o firma de acuerdos de paz con los voceros o miembros de representantes de grupos armados al margen de la ley. Así como a otros ser</w:t>
            </w:r>
            <w:r w:rsidRPr="005A2345">
              <w:rPr>
                <w:rFonts w:ascii="Times New Roman" w:hAnsi="Times New Roman" w:cs="Times New Roman"/>
                <w:color w:val="000000"/>
                <w:szCs w:val="20"/>
              </w:rPr>
              <w:softHyphen/>
              <w:t>vidores públicos o representantes de la sociedad</w:t>
            </w:r>
            <w:r w:rsidRPr="005A2345">
              <w:rPr>
                <w:rFonts w:ascii="Times New Roman" w:hAnsi="Times New Roman" w:cs="Times New Roman"/>
                <w:color w:val="000000"/>
                <w:szCs w:val="20"/>
              </w:rPr>
              <w:t xml:space="preserve"> civil que, por autorización del Presidente de la Re</w:t>
            </w:r>
            <w:r w:rsidRPr="005A2345">
              <w:rPr>
                <w:rFonts w:ascii="Times New Roman" w:hAnsi="Times New Roman" w:cs="Times New Roman"/>
                <w:color w:val="000000"/>
                <w:szCs w:val="20"/>
              </w:rPr>
              <w:softHyphen/>
              <w:t xml:space="preserve">pública, participen de los mismos. </w:t>
            </w:r>
          </w:p>
          <w:p w:rsidR="00DE4A0C" w:rsidRPr="005A2345" w:rsidRDefault="005A2345" w:rsidP="0022006C">
            <w:pPr>
              <w:pStyle w:val="Prrafodelista"/>
              <w:spacing w:after="0" w:line="240" w:lineRule="auto"/>
              <w:ind w:left="0"/>
              <w:jc w:val="both"/>
              <w:rPr>
                <w:rFonts w:ascii="Times New Roman" w:hAnsi="Times New Roman" w:cs="Times New Roman"/>
                <w:lang w:val="es-ES"/>
              </w:rPr>
            </w:pPr>
          </w:p>
        </w:tc>
        <w:tc>
          <w:tcPr>
            <w:tcW w:w="2943" w:type="dxa"/>
          </w:tcPr>
          <w:p w:rsidR="00DE4A0C" w:rsidRPr="005A2345" w:rsidRDefault="005A2345" w:rsidP="00DE4A0C">
            <w:pPr>
              <w:pStyle w:val="Pa17"/>
              <w:jc w:val="both"/>
              <w:rPr>
                <w:color w:val="000000"/>
                <w:sz w:val="28"/>
                <w:szCs w:val="20"/>
              </w:rPr>
            </w:pPr>
            <w:r w:rsidRPr="005A2345">
              <w:rPr>
                <w:b/>
                <w:bCs/>
                <w:color w:val="000000"/>
                <w:sz w:val="28"/>
                <w:szCs w:val="20"/>
              </w:rPr>
              <w:t xml:space="preserve">Artículo </w:t>
            </w:r>
            <w:r w:rsidRPr="005A2345">
              <w:rPr>
                <w:rStyle w:val="A11"/>
                <w:sz w:val="28"/>
              </w:rPr>
              <w:t>6</w:t>
            </w:r>
            <w:r w:rsidRPr="005A2345">
              <w:rPr>
                <w:color w:val="000000"/>
                <w:sz w:val="28"/>
                <w:szCs w:val="20"/>
              </w:rPr>
              <w:t xml:space="preserve">°. Incorpórese un artículo nuevo a la Ley 418 de 1997, del siguiente tenor: </w:t>
            </w:r>
          </w:p>
          <w:p w:rsidR="00DE4A0C" w:rsidRPr="005A2345" w:rsidRDefault="005A2345" w:rsidP="00DE4A0C">
            <w:pPr>
              <w:pStyle w:val="Default"/>
              <w:rPr>
                <w:rFonts w:ascii="Times New Roman" w:hAnsi="Times New Roman" w:cs="Times New Roman"/>
                <w:sz w:val="28"/>
              </w:rPr>
            </w:pPr>
          </w:p>
          <w:p w:rsidR="00DE4A0C" w:rsidRPr="005A2345" w:rsidRDefault="005A2345" w:rsidP="00DE4A0C">
            <w:pPr>
              <w:pStyle w:val="Pa17"/>
              <w:jc w:val="both"/>
              <w:rPr>
                <w:color w:val="000000"/>
                <w:sz w:val="28"/>
                <w:szCs w:val="20"/>
              </w:rPr>
            </w:pPr>
            <w:r w:rsidRPr="005A2345">
              <w:rPr>
                <w:rStyle w:val="A11"/>
                <w:sz w:val="28"/>
              </w:rPr>
              <w:t xml:space="preserve">Artículo </w:t>
            </w:r>
            <w:r w:rsidRPr="005A2345">
              <w:rPr>
                <w:b/>
                <w:bCs/>
                <w:color w:val="000000"/>
                <w:sz w:val="28"/>
                <w:szCs w:val="20"/>
              </w:rPr>
              <w:t xml:space="preserve">8 A. </w:t>
            </w:r>
            <w:r w:rsidRPr="005A2345">
              <w:rPr>
                <w:b/>
                <w:bCs/>
                <w:i/>
                <w:iCs/>
                <w:color w:val="000000"/>
                <w:sz w:val="28"/>
                <w:szCs w:val="20"/>
              </w:rPr>
              <w:t xml:space="preserve">Gabinete de Paz. </w:t>
            </w:r>
            <w:r w:rsidRPr="005A2345">
              <w:rPr>
                <w:color w:val="000000"/>
                <w:sz w:val="28"/>
                <w:szCs w:val="20"/>
              </w:rPr>
              <w:t>Cada uno de los Ministerios que conforman el Gobierno nacional deberá definir los componentes de la política pú</w:t>
            </w:r>
            <w:r w:rsidRPr="005A2345">
              <w:rPr>
                <w:color w:val="000000"/>
                <w:sz w:val="28"/>
                <w:szCs w:val="20"/>
              </w:rPr>
              <w:softHyphen/>
              <w:t>blica de paz que hagan parte de su competencia. En sesiones bimestrales o cuando así lo determine el Presidente de la República, el Gabinete Min</w:t>
            </w:r>
            <w:r w:rsidRPr="005A2345">
              <w:rPr>
                <w:color w:val="000000"/>
                <w:sz w:val="28"/>
                <w:szCs w:val="20"/>
              </w:rPr>
              <w:t>is</w:t>
            </w:r>
            <w:r w:rsidRPr="005A2345">
              <w:rPr>
                <w:color w:val="000000"/>
                <w:sz w:val="28"/>
                <w:szCs w:val="20"/>
              </w:rPr>
              <w:softHyphen/>
              <w:t>terial sesionará como Gabinete de Paz. En esas se</w:t>
            </w:r>
            <w:r w:rsidRPr="005A2345">
              <w:rPr>
                <w:color w:val="000000"/>
                <w:sz w:val="28"/>
                <w:szCs w:val="20"/>
              </w:rPr>
              <w:softHyphen/>
              <w:t>siones los Ministerios presentarán informes sobre los asuntos a su cargo en esta materia.</w:t>
            </w:r>
          </w:p>
          <w:p w:rsidR="00DE4A0C" w:rsidRPr="005A2345" w:rsidRDefault="005A2345" w:rsidP="00DE4A0C">
            <w:pPr>
              <w:pStyle w:val="Pa17"/>
              <w:jc w:val="both"/>
              <w:rPr>
                <w:color w:val="000000"/>
                <w:sz w:val="28"/>
                <w:szCs w:val="20"/>
              </w:rPr>
            </w:pPr>
            <w:r w:rsidRPr="005A2345">
              <w:rPr>
                <w:color w:val="000000"/>
                <w:sz w:val="28"/>
                <w:szCs w:val="20"/>
              </w:rPr>
              <w:t xml:space="preserve"> </w:t>
            </w:r>
          </w:p>
          <w:p w:rsidR="00DE4A0C" w:rsidRPr="005A2345" w:rsidRDefault="005A2345" w:rsidP="00DE4A0C">
            <w:pPr>
              <w:pStyle w:val="Pa17"/>
              <w:jc w:val="both"/>
              <w:rPr>
                <w:color w:val="000000"/>
                <w:sz w:val="28"/>
                <w:szCs w:val="20"/>
              </w:rPr>
            </w:pPr>
            <w:r w:rsidRPr="005A2345">
              <w:rPr>
                <w:rStyle w:val="A11"/>
                <w:sz w:val="28"/>
              </w:rPr>
              <w:t xml:space="preserve">Parágrafo </w:t>
            </w:r>
            <w:r w:rsidRPr="005A2345">
              <w:rPr>
                <w:b/>
                <w:bCs/>
                <w:color w:val="000000"/>
                <w:sz w:val="28"/>
                <w:szCs w:val="20"/>
              </w:rPr>
              <w:t xml:space="preserve">1°. </w:t>
            </w:r>
            <w:r w:rsidRPr="005A2345">
              <w:rPr>
                <w:color w:val="000000"/>
                <w:sz w:val="28"/>
                <w:szCs w:val="20"/>
              </w:rPr>
              <w:t>El Gabinete de Paz será convocado por el Presidente de la República o por quien él designe, y los</w:t>
            </w:r>
            <w:r w:rsidRPr="005A2345">
              <w:rPr>
                <w:color w:val="000000"/>
                <w:sz w:val="28"/>
                <w:szCs w:val="20"/>
              </w:rPr>
              <w:t xml:space="preserve"> asuntos </w:t>
            </w:r>
            <w:r w:rsidRPr="005A2345">
              <w:rPr>
                <w:rStyle w:val="A11"/>
                <w:sz w:val="28"/>
              </w:rPr>
              <w:t>referidos a conversacio</w:t>
            </w:r>
            <w:r w:rsidRPr="005A2345">
              <w:rPr>
                <w:rStyle w:val="A11"/>
                <w:sz w:val="28"/>
              </w:rPr>
              <w:softHyphen/>
              <w:t>nes, acuerdos y negociaciones con actores ar</w:t>
            </w:r>
            <w:r w:rsidRPr="005A2345">
              <w:rPr>
                <w:rStyle w:val="A11"/>
                <w:sz w:val="28"/>
              </w:rPr>
              <w:softHyphen/>
              <w:t xml:space="preserve">mados </w:t>
            </w:r>
            <w:r w:rsidRPr="005A2345">
              <w:rPr>
                <w:color w:val="000000"/>
                <w:sz w:val="28"/>
                <w:szCs w:val="20"/>
              </w:rPr>
              <w:t xml:space="preserve">que se traten en </w:t>
            </w:r>
            <w:r w:rsidRPr="005A2345">
              <w:rPr>
                <w:rStyle w:val="A12"/>
                <w:sz w:val="28"/>
              </w:rPr>
              <w:t xml:space="preserve">desarrollo de </w:t>
            </w:r>
            <w:r w:rsidRPr="005A2345">
              <w:rPr>
                <w:color w:val="000000"/>
                <w:sz w:val="28"/>
                <w:szCs w:val="20"/>
              </w:rPr>
              <w:t xml:space="preserve">sus sesiones </w:t>
            </w:r>
            <w:r w:rsidRPr="005A2345">
              <w:rPr>
                <w:rStyle w:val="A12"/>
                <w:sz w:val="28"/>
              </w:rPr>
              <w:t>tendrán el carácter de reservados</w:t>
            </w:r>
            <w:r w:rsidRPr="005A2345">
              <w:rPr>
                <w:color w:val="000000"/>
                <w:sz w:val="28"/>
                <w:szCs w:val="20"/>
              </w:rPr>
              <w:t xml:space="preserve">, así como la información y documentos que se expidan en </w:t>
            </w:r>
            <w:r w:rsidRPr="005A2345">
              <w:rPr>
                <w:rStyle w:val="A11"/>
                <w:sz w:val="28"/>
              </w:rPr>
              <w:t xml:space="preserve">esta materia, </w:t>
            </w:r>
            <w:r w:rsidRPr="005A2345">
              <w:rPr>
                <w:rStyle w:val="A12"/>
                <w:sz w:val="28"/>
              </w:rPr>
              <w:t>desarrollo de las mismas</w:t>
            </w:r>
            <w:r w:rsidRPr="005A2345">
              <w:rPr>
                <w:rStyle w:val="A12"/>
                <w:sz w:val="28"/>
              </w:rPr>
              <w:t xml:space="preserve">, </w:t>
            </w:r>
            <w:r w:rsidRPr="005A2345">
              <w:rPr>
                <w:rStyle w:val="A11"/>
                <w:sz w:val="28"/>
              </w:rPr>
              <w:t>podrán te</w:t>
            </w:r>
            <w:r w:rsidRPr="005A2345">
              <w:rPr>
                <w:rStyle w:val="A11"/>
                <w:sz w:val="28"/>
              </w:rPr>
              <w:softHyphen/>
              <w:t>ner el carácter de reservados</w:t>
            </w:r>
            <w:r w:rsidRPr="005A2345">
              <w:rPr>
                <w:b/>
                <w:bCs/>
                <w:color w:val="000000"/>
                <w:sz w:val="28"/>
                <w:szCs w:val="20"/>
              </w:rPr>
              <w:t xml:space="preserve">. </w:t>
            </w:r>
            <w:r w:rsidRPr="005A2345">
              <w:rPr>
                <w:rStyle w:val="A12"/>
                <w:sz w:val="28"/>
              </w:rPr>
              <w:t xml:space="preserve">y a </w:t>
            </w:r>
            <w:r w:rsidRPr="005A2345">
              <w:rPr>
                <w:rStyle w:val="A11"/>
                <w:sz w:val="28"/>
              </w:rPr>
              <w:t xml:space="preserve">A </w:t>
            </w:r>
            <w:r w:rsidRPr="005A2345">
              <w:rPr>
                <w:color w:val="000000"/>
                <w:sz w:val="28"/>
                <w:szCs w:val="20"/>
              </w:rPr>
              <w:t>sus sesiones podrán ser invitadas las autoridades que defina</w:t>
            </w:r>
            <w:r w:rsidRPr="005A2345">
              <w:rPr>
                <w:rStyle w:val="A12"/>
                <w:sz w:val="28"/>
              </w:rPr>
              <w:t xml:space="preserve">n </w:t>
            </w:r>
            <w:r w:rsidRPr="005A2345">
              <w:rPr>
                <w:color w:val="000000"/>
                <w:sz w:val="28"/>
                <w:szCs w:val="20"/>
              </w:rPr>
              <w:t xml:space="preserve">el Presidente de la República. </w:t>
            </w:r>
          </w:p>
          <w:p w:rsidR="00DE4A0C" w:rsidRPr="005A2345" w:rsidRDefault="005A2345" w:rsidP="00DE4A0C">
            <w:pPr>
              <w:pStyle w:val="Default"/>
              <w:rPr>
                <w:rFonts w:ascii="Times New Roman" w:hAnsi="Times New Roman" w:cs="Times New Roman"/>
                <w:sz w:val="28"/>
              </w:rPr>
            </w:pPr>
          </w:p>
          <w:p w:rsidR="00DE4A0C" w:rsidRPr="005A2345" w:rsidRDefault="005A2345" w:rsidP="00DE4A0C">
            <w:pPr>
              <w:pStyle w:val="Prrafodelista"/>
              <w:spacing w:after="0" w:line="240" w:lineRule="auto"/>
              <w:ind w:left="0"/>
              <w:jc w:val="both"/>
              <w:rPr>
                <w:rFonts w:ascii="Times New Roman" w:hAnsi="Times New Roman" w:cs="Times New Roman"/>
                <w:lang w:val="es-ES"/>
              </w:rPr>
            </w:pPr>
            <w:r w:rsidRPr="005A2345">
              <w:rPr>
                <w:rStyle w:val="A11"/>
                <w:rFonts w:ascii="Times New Roman" w:hAnsi="Times New Roman" w:cs="Times New Roman"/>
                <w:sz w:val="28"/>
              </w:rPr>
              <w:t xml:space="preserve">Parágrafo </w:t>
            </w:r>
            <w:r w:rsidRPr="005A2345">
              <w:rPr>
                <w:rFonts w:ascii="Times New Roman" w:hAnsi="Times New Roman" w:cs="Times New Roman"/>
                <w:color w:val="000000"/>
                <w:szCs w:val="20"/>
              </w:rPr>
              <w:t>2°. El Presidente de la República podrá convocar a las sesiones del Gabinete de Paz a los representant</w:t>
            </w:r>
            <w:r w:rsidRPr="005A2345">
              <w:rPr>
                <w:rFonts w:ascii="Times New Roman" w:hAnsi="Times New Roman" w:cs="Times New Roman"/>
                <w:color w:val="000000"/>
                <w:szCs w:val="20"/>
              </w:rPr>
              <w:t>es autorizados por el Gobierno na</w:t>
            </w:r>
            <w:r w:rsidRPr="005A2345">
              <w:rPr>
                <w:rFonts w:ascii="Times New Roman" w:hAnsi="Times New Roman" w:cs="Times New Roman"/>
                <w:color w:val="000000"/>
                <w:szCs w:val="20"/>
              </w:rPr>
              <w:softHyphen/>
              <w:t xml:space="preserve">cional que participen de diálogos, acercamientos, negociaciones o firma de acuerdos de paz </w:t>
            </w:r>
            <w:r w:rsidRPr="005A2345">
              <w:rPr>
                <w:rStyle w:val="A12"/>
                <w:rFonts w:ascii="Times New Roman" w:hAnsi="Times New Roman" w:cs="Times New Roman"/>
                <w:sz w:val="28"/>
              </w:rPr>
              <w:t>con los voceros o miembros de representantes de gru</w:t>
            </w:r>
            <w:r w:rsidRPr="005A2345">
              <w:rPr>
                <w:rStyle w:val="A12"/>
                <w:rFonts w:ascii="Times New Roman" w:hAnsi="Times New Roman" w:cs="Times New Roman"/>
                <w:sz w:val="28"/>
              </w:rPr>
              <w:softHyphen/>
              <w:t xml:space="preserve">pos armados al margen de la ley. </w:t>
            </w:r>
            <w:r w:rsidRPr="005A2345">
              <w:rPr>
                <w:rStyle w:val="A11"/>
                <w:rFonts w:ascii="Times New Roman" w:hAnsi="Times New Roman" w:cs="Times New Roman"/>
                <w:sz w:val="28"/>
              </w:rPr>
              <w:t xml:space="preserve">, </w:t>
            </w:r>
            <w:r w:rsidRPr="005A2345">
              <w:rPr>
                <w:rStyle w:val="A12"/>
                <w:rFonts w:ascii="Times New Roman" w:hAnsi="Times New Roman" w:cs="Times New Roman"/>
                <w:sz w:val="28"/>
              </w:rPr>
              <w:t>A</w:t>
            </w:r>
            <w:r w:rsidRPr="005A2345">
              <w:rPr>
                <w:rStyle w:val="A11"/>
                <w:rFonts w:ascii="Times New Roman" w:hAnsi="Times New Roman" w:cs="Times New Roman"/>
                <w:sz w:val="28"/>
              </w:rPr>
              <w:t>a</w:t>
            </w:r>
            <w:r w:rsidRPr="005A2345">
              <w:rPr>
                <w:rFonts w:ascii="Times New Roman" w:hAnsi="Times New Roman" w:cs="Times New Roman"/>
                <w:color w:val="000000"/>
                <w:szCs w:val="20"/>
              </w:rPr>
              <w:t>sí como a otros servidores públicos</w:t>
            </w:r>
            <w:r w:rsidRPr="005A2345">
              <w:rPr>
                <w:rStyle w:val="A11"/>
                <w:rFonts w:ascii="Times New Roman" w:hAnsi="Times New Roman" w:cs="Times New Roman"/>
                <w:sz w:val="28"/>
              </w:rPr>
              <w:t>, integ</w:t>
            </w:r>
            <w:r w:rsidRPr="005A2345">
              <w:rPr>
                <w:rStyle w:val="A11"/>
                <w:rFonts w:ascii="Times New Roman" w:hAnsi="Times New Roman" w:cs="Times New Roman"/>
                <w:sz w:val="28"/>
              </w:rPr>
              <w:t>rantes de las Co</w:t>
            </w:r>
            <w:r w:rsidRPr="005A2345">
              <w:rPr>
                <w:rStyle w:val="A11"/>
                <w:rFonts w:ascii="Times New Roman" w:hAnsi="Times New Roman" w:cs="Times New Roman"/>
                <w:sz w:val="28"/>
              </w:rPr>
              <w:softHyphen/>
              <w:t xml:space="preserve">misiones de Paz del Congreso de la República </w:t>
            </w:r>
            <w:r w:rsidRPr="005A2345">
              <w:rPr>
                <w:rFonts w:ascii="Times New Roman" w:hAnsi="Times New Roman" w:cs="Times New Roman"/>
                <w:color w:val="000000"/>
                <w:szCs w:val="20"/>
              </w:rPr>
              <w:t>o representantes de la sociedad civil que, por auto</w:t>
            </w:r>
            <w:r w:rsidRPr="005A2345">
              <w:rPr>
                <w:rFonts w:ascii="Times New Roman" w:hAnsi="Times New Roman" w:cs="Times New Roman"/>
                <w:color w:val="000000"/>
                <w:szCs w:val="20"/>
              </w:rPr>
              <w:softHyphen/>
              <w:t xml:space="preserve">rización del Presidente de la República, participen de los mismos. </w:t>
            </w:r>
            <w:r w:rsidRPr="005A2345">
              <w:rPr>
                <w:rStyle w:val="A11"/>
                <w:rFonts w:ascii="Times New Roman" w:hAnsi="Times New Roman" w:cs="Times New Roman"/>
                <w:sz w:val="28"/>
              </w:rPr>
              <w:t>Asimismo, cuando se encuentren en un estado avanzado los procesos de paz, e</w:t>
            </w:r>
            <w:r w:rsidRPr="005A2345">
              <w:rPr>
                <w:rStyle w:val="A11"/>
                <w:rFonts w:ascii="Times New Roman" w:hAnsi="Times New Roman" w:cs="Times New Roman"/>
                <w:sz w:val="28"/>
              </w:rPr>
              <w:t xml:space="preserve">l Presidente de la República podrá invitar a los voceros o miembros representantes de grupos armados organizados al margen de la ley, para discutir asuntos relacionados únicamente con estos diálogos. </w:t>
            </w:r>
          </w:p>
        </w:tc>
        <w:tc>
          <w:tcPr>
            <w:tcW w:w="2944" w:type="dxa"/>
          </w:tcPr>
          <w:p w:rsidR="00DE4A0C" w:rsidRPr="005A2345" w:rsidRDefault="005A2345" w:rsidP="00DE4A0C">
            <w:pPr>
              <w:pStyle w:val="Pa17"/>
              <w:jc w:val="both"/>
              <w:rPr>
                <w:color w:val="000000"/>
                <w:sz w:val="28"/>
                <w:szCs w:val="20"/>
              </w:rPr>
            </w:pPr>
            <w:r w:rsidRPr="005A2345">
              <w:rPr>
                <w:color w:val="000000"/>
                <w:sz w:val="28"/>
                <w:szCs w:val="20"/>
              </w:rPr>
              <w:t>«Se reenumera y se propone una modificación en el senti</w:t>
            </w:r>
            <w:r w:rsidRPr="005A2345">
              <w:rPr>
                <w:color w:val="000000"/>
                <w:sz w:val="28"/>
                <w:szCs w:val="20"/>
              </w:rPr>
              <w:t>do de establecer que podrán tener el carácter de reservados los asuntos relacionados con con</w:t>
            </w:r>
            <w:r w:rsidRPr="005A2345">
              <w:rPr>
                <w:color w:val="000000"/>
                <w:sz w:val="28"/>
                <w:szCs w:val="20"/>
              </w:rPr>
              <w:softHyphen/>
              <w:t xml:space="preserve">versaciones, acuerdos y negociaciones con actores armados que se traten en las sesiones del Gabinete de Paz. Lo anterior, por tres razones: primero, </w:t>
            </w:r>
            <w:bookmarkStart w:id="28" w:name="_Hlk170140058"/>
            <w:r w:rsidRPr="005A2345">
              <w:rPr>
                <w:color w:val="000000"/>
                <w:sz w:val="28"/>
                <w:szCs w:val="20"/>
              </w:rPr>
              <w:t>no todos los a</w:t>
            </w:r>
            <w:r w:rsidRPr="005A2345">
              <w:rPr>
                <w:color w:val="000000"/>
                <w:sz w:val="28"/>
                <w:szCs w:val="20"/>
              </w:rPr>
              <w:t>suntos que allí se traten tendrán dicho carácter; segundo, para garantizar el acceso a la información pública, en términos de lo dispuesto en la ley 1712 de 2014; y, tercero, en los asuntos que específicamente se refieran a conversaciones, acuerdos y negoc</w:t>
            </w:r>
            <w:r w:rsidRPr="005A2345">
              <w:rPr>
                <w:color w:val="000000"/>
                <w:sz w:val="28"/>
                <w:szCs w:val="20"/>
              </w:rPr>
              <w:t>iaciones</w:t>
            </w:r>
            <w:bookmarkEnd w:id="28"/>
            <w:r w:rsidRPr="005A2345">
              <w:rPr>
                <w:color w:val="000000"/>
                <w:sz w:val="28"/>
                <w:szCs w:val="20"/>
              </w:rPr>
              <w:t>. El Presidente de la Re</w:t>
            </w:r>
            <w:r w:rsidRPr="005A2345">
              <w:rPr>
                <w:color w:val="000000"/>
                <w:sz w:val="28"/>
                <w:szCs w:val="20"/>
              </w:rPr>
              <w:softHyphen/>
              <w:t xml:space="preserve">pública puede en todo momento determinar qué información tiene el carácter de reservada, y cuál se hace pública y en qué momento. </w:t>
            </w:r>
          </w:p>
          <w:p w:rsidR="00DE4A0C" w:rsidRPr="005A2345" w:rsidRDefault="005A2345" w:rsidP="00DE4A0C">
            <w:pPr>
              <w:pStyle w:val="Default"/>
              <w:rPr>
                <w:rFonts w:ascii="Times New Roman" w:hAnsi="Times New Roman" w:cs="Times New Roman"/>
                <w:sz w:val="28"/>
              </w:rPr>
            </w:pPr>
          </w:p>
          <w:p w:rsidR="00DE4A0C" w:rsidRPr="005A2345" w:rsidRDefault="005A2345" w:rsidP="00DE4A0C">
            <w:pPr>
              <w:pStyle w:val="Prrafodelista"/>
              <w:spacing w:after="0" w:line="240" w:lineRule="auto"/>
              <w:ind w:left="0"/>
              <w:jc w:val="both"/>
              <w:rPr>
                <w:rFonts w:ascii="Times New Roman" w:hAnsi="Times New Roman" w:cs="Times New Roman"/>
                <w:lang w:val="es-ES"/>
              </w:rPr>
            </w:pPr>
            <w:r w:rsidRPr="005A2345">
              <w:rPr>
                <w:rFonts w:ascii="Times New Roman" w:hAnsi="Times New Roman" w:cs="Times New Roman"/>
                <w:color w:val="000000"/>
                <w:szCs w:val="20"/>
              </w:rPr>
              <w:t>En el parágrafo segundo se establece que a estas sesiones también podrá invitarse a los int</w:t>
            </w:r>
            <w:r w:rsidRPr="005A2345">
              <w:rPr>
                <w:rFonts w:ascii="Times New Roman" w:hAnsi="Times New Roman" w:cs="Times New Roman"/>
                <w:color w:val="000000"/>
                <w:szCs w:val="20"/>
              </w:rPr>
              <w:t>egrantes de las Comisiones de Paz del Congreso de la Re</w:t>
            </w:r>
            <w:r w:rsidRPr="005A2345">
              <w:rPr>
                <w:rFonts w:ascii="Times New Roman" w:hAnsi="Times New Roman" w:cs="Times New Roman"/>
                <w:color w:val="000000"/>
                <w:szCs w:val="20"/>
              </w:rPr>
              <w:softHyphen/>
              <w:t>pública, y se aclara que en un estado avanzado de los procesos de paz podrá invitarse a los voceros o miembros de representantes de grupos arma</w:t>
            </w:r>
            <w:r w:rsidRPr="005A2345">
              <w:rPr>
                <w:rFonts w:ascii="Times New Roman" w:hAnsi="Times New Roman" w:cs="Times New Roman"/>
                <w:color w:val="000000"/>
                <w:szCs w:val="20"/>
              </w:rPr>
              <w:softHyphen/>
              <w:t>dos organizados al margen de la ley, para discutir asunt</w:t>
            </w:r>
            <w:r w:rsidRPr="005A2345">
              <w:rPr>
                <w:rFonts w:ascii="Times New Roman" w:hAnsi="Times New Roman" w:cs="Times New Roman"/>
                <w:color w:val="000000"/>
                <w:szCs w:val="20"/>
              </w:rPr>
              <w:t>os relacionados únicamente con estos diálo</w:t>
            </w:r>
            <w:r w:rsidRPr="005A2345">
              <w:rPr>
                <w:rFonts w:ascii="Times New Roman" w:hAnsi="Times New Roman" w:cs="Times New Roman"/>
                <w:color w:val="000000"/>
                <w:szCs w:val="20"/>
              </w:rPr>
              <w:softHyphen/>
              <w:t xml:space="preserve">gos». </w:t>
            </w:r>
          </w:p>
        </w:tc>
      </w:tr>
    </w:tbl>
    <w:p w:rsidR="00DE4A0C" w:rsidRPr="005A2345" w:rsidRDefault="005A2345" w:rsidP="0022006C">
      <w:pPr>
        <w:pStyle w:val="Prrafodelista"/>
        <w:spacing w:after="0" w:line="240" w:lineRule="auto"/>
        <w:ind w:left="0"/>
        <w:jc w:val="both"/>
        <w:rPr>
          <w:rFonts w:ascii="Times New Roman" w:hAnsi="Times New Roman" w:cs="Times New Roman"/>
          <w:lang w:val="es-ES"/>
        </w:rPr>
      </w:pPr>
    </w:p>
    <w:p w:rsidR="006D67FF"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lang w:val="es-ES"/>
        </w:rPr>
        <w:t xml:space="preserve">Como se puede evidenciar, el legislador modificó el imperativo de la reserva de la información, por una decisión facultativa del </w:t>
      </w:r>
      <w:r w:rsidRPr="005A2345">
        <w:rPr>
          <w:rFonts w:ascii="Times New Roman" w:hAnsi="Times New Roman" w:cs="Times New Roman"/>
          <w:lang w:val="es-ES"/>
        </w:rPr>
        <w:t>presidente</w:t>
      </w:r>
      <w:r w:rsidRPr="005A2345">
        <w:rPr>
          <w:rFonts w:ascii="Times New Roman" w:hAnsi="Times New Roman" w:cs="Times New Roman"/>
          <w:lang w:val="es-ES"/>
        </w:rPr>
        <w:t xml:space="preserve"> de la República, pues no toda información es reservada, sino solo aquella que tenga relación con </w:t>
      </w:r>
      <w:r w:rsidRPr="005A2345">
        <w:rPr>
          <w:rFonts w:ascii="Times New Roman" w:hAnsi="Times New Roman" w:cs="Times New Roman"/>
        </w:rPr>
        <w:t xml:space="preserve">los asuntos que específicamente se refieran a conversaciones, acuerdos y negociaciones. </w:t>
      </w:r>
    </w:p>
    <w:p w:rsidR="006D67FF" w:rsidRPr="005A2345" w:rsidRDefault="005A2345" w:rsidP="006D67FF">
      <w:pPr>
        <w:pStyle w:val="Prrafodelista"/>
        <w:tabs>
          <w:tab w:val="left" w:pos="426"/>
        </w:tabs>
        <w:spacing w:after="0" w:line="240" w:lineRule="auto"/>
        <w:ind w:left="0"/>
        <w:jc w:val="both"/>
        <w:rPr>
          <w:rFonts w:ascii="Times New Roman" w:hAnsi="Times New Roman" w:cs="Times New Roman"/>
        </w:rPr>
      </w:pPr>
    </w:p>
    <w:p w:rsidR="002034A6"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Posteriormente</w:t>
      </w:r>
      <w:r w:rsidRPr="005A2345">
        <w:rPr>
          <w:rFonts w:ascii="Times New Roman" w:hAnsi="Times New Roman" w:cs="Times New Roman"/>
        </w:rPr>
        <w:t xml:space="preserve">, </w:t>
      </w:r>
      <w:r w:rsidRPr="005A2345">
        <w:rPr>
          <w:rFonts w:ascii="Times New Roman" w:hAnsi="Times New Roman" w:cs="Times New Roman"/>
        </w:rPr>
        <w:t xml:space="preserve">en el marco del debate llevado a cabo en las </w:t>
      </w:r>
      <w:r w:rsidRPr="005A2345">
        <w:rPr>
          <w:rFonts w:ascii="Times New Roman" w:hAnsi="Times New Roman" w:cs="Times New Roman"/>
        </w:rPr>
        <w:t>Comisiones Primeras del Senado de la República y la Cámara de Representantes se presentaron 142 proposiciones, de las cuales se acogieron las siguientes respecto del artículo objeto de estudio.</w:t>
      </w:r>
      <w:r w:rsidRPr="005A2345">
        <w:rPr>
          <w:rStyle w:val="Refdenotaalpie"/>
          <w:rFonts w:ascii="Times New Roman" w:hAnsi="Times New Roman" w:cs="Times New Roman"/>
        </w:rPr>
        <w:footnoteReference w:id="82"/>
      </w:r>
      <w:r w:rsidRPr="005A2345">
        <w:rPr>
          <w:rFonts w:ascii="Times New Roman" w:hAnsi="Times New Roman" w:cs="Times New Roman"/>
        </w:rPr>
        <w:t xml:space="preserve"> Frente al parágrafo 1º el Partido Verde propuso establecer qu</w:t>
      </w:r>
      <w:r w:rsidRPr="005A2345">
        <w:rPr>
          <w:rFonts w:ascii="Times New Roman" w:hAnsi="Times New Roman" w:cs="Times New Roman"/>
        </w:rPr>
        <w:t>e se except</w:t>
      </w:r>
      <w:r w:rsidRPr="005A2345">
        <w:rPr>
          <w:rFonts w:ascii="Times New Roman" w:hAnsi="Times New Roman" w:cs="Times New Roman"/>
        </w:rPr>
        <w:t>uara</w:t>
      </w:r>
      <w:r w:rsidRPr="005A2345">
        <w:rPr>
          <w:rFonts w:ascii="Times New Roman" w:hAnsi="Times New Roman" w:cs="Times New Roman"/>
        </w:rPr>
        <w:t xml:space="preserve"> de la reserva de información todo lo relacionado con la ejecución presupuestal de los ministerios.</w:t>
      </w:r>
      <w:r w:rsidRPr="005A2345">
        <w:rPr>
          <w:rFonts w:ascii="Times New Roman" w:hAnsi="Times New Roman" w:cs="Times New Roman"/>
        </w:rPr>
        <w:t xml:space="preserve"> El partido Centro Democrático propuso: (i) </w:t>
      </w:r>
      <w:r w:rsidRPr="005A2345">
        <w:rPr>
          <w:rFonts w:ascii="Times New Roman" w:hAnsi="Times New Roman" w:cs="Times New Roman"/>
          <w:lang w:val="es-ES"/>
        </w:rPr>
        <w:t xml:space="preserve">incluir </w:t>
      </w:r>
      <w:r w:rsidRPr="005A2345">
        <w:rPr>
          <w:rFonts w:ascii="Times New Roman" w:hAnsi="Times New Roman" w:cs="Times New Roman"/>
        </w:rPr>
        <w:t>en el parágrafo 1, que el Gabinete de Paz, deberá rendir un informe a la Nación con la inf</w:t>
      </w:r>
      <w:r w:rsidRPr="005A2345">
        <w:rPr>
          <w:rFonts w:ascii="Times New Roman" w:hAnsi="Times New Roman" w:cs="Times New Roman"/>
        </w:rPr>
        <w:t>ormación suficiente sobre el desarrollo de los diálogos o acercamientos, sin vulnerar los compromisos de reserva pactados en los procesos</w:t>
      </w:r>
      <w:r w:rsidRPr="005A2345">
        <w:rPr>
          <w:rFonts w:ascii="Times New Roman" w:hAnsi="Times New Roman" w:cs="Times New Roman"/>
        </w:rPr>
        <w:t>; y (ii) eliminar</w:t>
      </w:r>
      <w:r w:rsidRPr="005A2345">
        <w:rPr>
          <w:rFonts w:ascii="Times New Roman" w:hAnsi="Times New Roman" w:cs="Times New Roman"/>
        </w:rPr>
        <w:t xml:space="preserve"> la posibilidad</w:t>
      </w:r>
      <w:r w:rsidRPr="005A2345">
        <w:rPr>
          <w:rFonts w:ascii="Times New Roman" w:hAnsi="Times New Roman" w:cs="Times New Roman"/>
        </w:rPr>
        <w:t xml:space="preserve"> de</w:t>
      </w:r>
      <w:r w:rsidRPr="005A2345">
        <w:rPr>
          <w:rFonts w:ascii="Times New Roman" w:hAnsi="Times New Roman" w:cs="Times New Roman"/>
        </w:rPr>
        <w:t xml:space="preserve"> que el Presidente de la República pueda invitar a los voceros o miembros representa</w:t>
      </w:r>
      <w:r w:rsidRPr="005A2345">
        <w:rPr>
          <w:rFonts w:ascii="Times New Roman" w:hAnsi="Times New Roman" w:cs="Times New Roman"/>
        </w:rPr>
        <w:t>ntes de grupos armados organizados al margen de la ley, para discutir asuntos relacionados con los procesos de paz.</w:t>
      </w:r>
      <w:r w:rsidRPr="005A2345">
        <w:rPr>
          <w:rStyle w:val="Refdenotaalpie"/>
          <w:rFonts w:ascii="Times New Roman" w:hAnsi="Times New Roman" w:cs="Times New Roman"/>
        </w:rPr>
        <w:footnoteReference w:id="83"/>
      </w:r>
      <w:r w:rsidRPr="005A2345">
        <w:rPr>
          <w:rFonts w:ascii="Times New Roman" w:hAnsi="Times New Roman" w:cs="Times New Roman"/>
        </w:rPr>
        <w:t xml:space="preserve"> </w:t>
      </w:r>
      <w:r w:rsidRPr="005A2345">
        <w:rPr>
          <w:rFonts w:ascii="Times New Roman" w:hAnsi="Times New Roman" w:cs="Times New Roman"/>
        </w:rPr>
        <w:t xml:space="preserve">De acuerdo con estas proposiciones acogidas, el texto del parágrafo quedó de la siguiente forma: </w:t>
      </w:r>
    </w:p>
    <w:p w:rsidR="002034A6" w:rsidRPr="005A2345" w:rsidRDefault="005A2345" w:rsidP="002034A6">
      <w:pPr>
        <w:pStyle w:val="Prrafodelista"/>
        <w:spacing w:after="0" w:line="240" w:lineRule="auto"/>
        <w:ind w:left="0"/>
        <w:jc w:val="both"/>
        <w:rPr>
          <w:rFonts w:ascii="Times New Roman" w:hAnsi="Times New Roman" w:cs="Times New Roman"/>
        </w:rPr>
      </w:pPr>
    </w:p>
    <w:p w:rsidR="002034A6" w:rsidRPr="005A2345" w:rsidRDefault="005A2345" w:rsidP="006D67FF">
      <w:pPr>
        <w:pStyle w:val="Prrafodelista"/>
        <w:spacing w:after="0" w:line="240" w:lineRule="auto"/>
        <w:ind w:left="567" w:right="618"/>
        <w:jc w:val="both"/>
        <w:rPr>
          <w:rFonts w:ascii="Times New Roman" w:hAnsi="Times New Roman" w:cs="Times New Roman"/>
          <w:szCs w:val="26"/>
        </w:rPr>
      </w:pPr>
      <w:r w:rsidRPr="005A2345">
        <w:rPr>
          <w:rFonts w:ascii="Times New Roman" w:hAnsi="Times New Roman" w:cs="Times New Roman"/>
          <w:szCs w:val="26"/>
        </w:rPr>
        <w:t>«PARÁGRAFO 1°. El Gabinete de Paz será c</w:t>
      </w:r>
      <w:r w:rsidRPr="005A2345">
        <w:rPr>
          <w:rFonts w:ascii="Times New Roman" w:hAnsi="Times New Roman" w:cs="Times New Roman"/>
          <w:szCs w:val="26"/>
        </w:rPr>
        <w:t xml:space="preserve">onvocado por el Presidente de la República o por quien él designe, y los asuntos referidos a </w:t>
      </w:r>
      <w:bookmarkStart w:id="29" w:name="_Hlk169619233"/>
      <w:r w:rsidRPr="005A2345">
        <w:rPr>
          <w:rFonts w:ascii="Times New Roman" w:hAnsi="Times New Roman" w:cs="Times New Roman"/>
          <w:szCs w:val="26"/>
        </w:rPr>
        <w:t xml:space="preserve">conversaciones, acuerdos y negociaciones con actores armados que se traten en sus sesiones, así como la información y documentos que se expidan en esta materia, </w:t>
      </w:r>
      <w:bookmarkEnd w:id="29"/>
      <w:r w:rsidRPr="005A2345">
        <w:rPr>
          <w:rFonts w:ascii="Times New Roman" w:hAnsi="Times New Roman" w:cs="Times New Roman"/>
          <w:szCs w:val="26"/>
        </w:rPr>
        <w:t>po</w:t>
      </w:r>
      <w:r w:rsidRPr="005A2345">
        <w:rPr>
          <w:rFonts w:ascii="Times New Roman" w:hAnsi="Times New Roman" w:cs="Times New Roman"/>
          <w:szCs w:val="26"/>
        </w:rPr>
        <w:t xml:space="preserve">drán tener el carácter de reservados, </w:t>
      </w:r>
      <w:r w:rsidRPr="005A2345">
        <w:rPr>
          <w:rFonts w:ascii="Times New Roman" w:hAnsi="Times New Roman" w:cs="Times New Roman"/>
          <w:szCs w:val="26"/>
          <w:u w:val="single"/>
        </w:rPr>
        <w:t>exceptuando la información relativa relacionada con a la ejecución presupuestal de los Ministerios</w:t>
      </w:r>
      <w:r w:rsidRPr="005A2345">
        <w:rPr>
          <w:rFonts w:ascii="Times New Roman" w:hAnsi="Times New Roman" w:cs="Times New Roman"/>
          <w:szCs w:val="26"/>
        </w:rPr>
        <w:t xml:space="preserve">. </w:t>
      </w:r>
      <w:r w:rsidRPr="005A2345">
        <w:rPr>
          <w:rFonts w:ascii="Times New Roman" w:hAnsi="Times New Roman" w:cs="Times New Roman"/>
          <w:szCs w:val="26"/>
          <w:u w:val="single"/>
        </w:rPr>
        <w:t>A sus sesiones podrán ser invitadas las autoridades que defina el Presidente de la República. Deberá rendir un informe</w:t>
      </w:r>
      <w:r w:rsidRPr="005A2345">
        <w:rPr>
          <w:rFonts w:ascii="Times New Roman" w:hAnsi="Times New Roman" w:cs="Times New Roman"/>
          <w:szCs w:val="26"/>
          <w:u w:val="single"/>
        </w:rPr>
        <w:t xml:space="preserve"> a la Nación con la </w:t>
      </w:r>
      <w:r w:rsidRPr="005A2345">
        <w:rPr>
          <w:rFonts w:ascii="Times New Roman" w:hAnsi="Times New Roman" w:cs="Times New Roman"/>
          <w:b/>
          <w:bCs/>
          <w:szCs w:val="26"/>
          <w:u w:val="single"/>
        </w:rPr>
        <w:t>información suficiente sobre acerca</w:t>
      </w:r>
      <w:r w:rsidRPr="005A2345">
        <w:rPr>
          <w:rFonts w:ascii="Times New Roman" w:hAnsi="Times New Roman" w:cs="Times New Roman"/>
          <w:szCs w:val="26"/>
          <w:u w:val="single"/>
        </w:rPr>
        <w:t xml:space="preserve"> del desarrollo de los diálogos o acercamientos, sin vulnerar los compromisos de reserva pactados en los procesos</w:t>
      </w:r>
      <w:r w:rsidRPr="005A2345">
        <w:rPr>
          <w:rFonts w:ascii="Times New Roman" w:hAnsi="Times New Roman" w:cs="Times New Roman"/>
          <w:szCs w:val="26"/>
        </w:rPr>
        <w:t>».</w:t>
      </w:r>
    </w:p>
    <w:p w:rsidR="002034A6" w:rsidRPr="005A2345" w:rsidRDefault="005A2345" w:rsidP="00BA7BE9">
      <w:pPr>
        <w:pStyle w:val="Prrafodelista"/>
        <w:tabs>
          <w:tab w:val="left" w:pos="426"/>
        </w:tabs>
        <w:spacing w:after="0" w:line="240" w:lineRule="auto"/>
        <w:ind w:left="0"/>
        <w:jc w:val="both"/>
        <w:rPr>
          <w:rFonts w:ascii="Times New Roman" w:hAnsi="Times New Roman" w:cs="Times New Roman"/>
        </w:rPr>
      </w:pPr>
    </w:p>
    <w:p w:rsidR="00BA7BE9"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 </w:t>
      </w:r>
      <w:r w:rsidRPr="005A2345">
        <w:rPr>
          <w:rFonts w:ascii="Times New Roman" w:hAnsi="Times New Roman" w:cs="Times New Roman"/>
        </w:rPr>
        <w:t>Finalmente, el texto del parágrafo 1º del artículo 6 tal como se encuentra vigente,</w:t>
      </w:r>
      <w:r w:rsidRPr="005A2345">
        <w:rPr>
          <w:rFonts w:ascii="Times New Roman" w:hAnsi="Times New Roman" w:cs="Times New Roman"/>
        </w:rPr>
        <w:t xml:space="preserve"> fue aprobado en </w:t>
      </w:r>
      <w:r w:rsidRPr="005A2345">
        <w:rPr>
          <w:rFonts w:ascii="Times New Roman" w:hAnsi="Times New Roman" w:cs="Times New Roman"/>
        </w:rPr>
        <w:t>segundo</w:t>
      </w:r>
      <w:r w:rsidRPr="005A2345">
        <w:rPr>
          <w:rFonts w:ascii="Times New Roman" w:hAnsi="Times New Roman" w:cs="Times New Roman"/>
        </w:rPr>
        <w:t xml:space="preserve"> debate sin tener modificaciones</w:t>
      </w:r>
      <w:r w:rsidRPr="005A2345">
        <w:rPr>
          <w:rFonts w:ascii="Times New Roman" w:hAnsi="Times New Roman" w:cs="Times New Roman"/>
        </w:rPr>
        <w:t xml:space="preserve"> en los siguientes debates y</w:t>
      </w:r>
      <w:r w:rsidRPr="005A2345">
        <w:rPr>
          <w:rFonts w:ascii="Times New Roman" w:hAnsi="Times New Roman" w:cs="Times New Roman"/>
        </w:rPr>
        <w:t xml:space="preserve"> en el informe de conciliación: «PARÁGRAFO 1°. El Gabinete de Paz será convocado por el Presidente de la República o por quien él designe, y los asuntos referidos a convers</w:t>
      </w:r>
      <w:r w:rsidRPr="005A2345">
        <w:rPr>
          <w:rFonts w:ascii="Times New Roman" w:hAnsi="Times New Roman" w:cs="Times New Roman"/>
        </w:rPr>
        <w:t>aciones, acuerdos y negociaciones con actores armados que se traten en sus sesiones, así como la información y documentos que se expidan en esta materia, podrán tener el carácter de reservados, exceptuando la información relativa relacionada con a la ejecu</w:t>
      </w:r>
      <w:r w:rsidRPr="005A2345">
        <w:rPr>
          <w:rFonts w:ascii="Times New Roman" w:hAnsi="Times New Roman" w:cs="Times New Roman"/>
        </w:rPr>
        <w:t xml:space="preserve">ción presupuestal de los Ministerios. A sus sesiones podrán ser invitadas las autoridades que defina el Presidente de la República. Deberá </w:t>
      </w:r>
      <w:bookmarkStart w:id="30" w:name="_Hlk169617073"/>
      <w:r w:rsidRPr="005A2345">
        <w:rPr>
          <w:rFonts w:ascii="Times New Roman" w:hAnsi="Times New Roman" w:cs="Times New Roman"/>
        </w:rPr>
        <w:t xml:space="preserve">rendir un informe </w:t>
      </w:r>
      <w:r w:rsidRPr="005A2345">
        <w:rPr>
          <w:rFonts w:ascii="Times New Roman" w:hAnsi="Times New Roman" w:cs="Times New Roman"/>
        </w:rPr>
        <w:t>a la Nación con la información suficiente sobre</w:t>
      </w:r>
      <w:r w:rsidRPr="005A2345">
        <w:rPr>
          <w:rFonts w:ascii="Times New Roman" w:hAnsi="Times New Roman" w:cs="Times New Roman"/>
        </w:rPr>
        <w:t xml:space="preserve"> acerca del desarrollo de los diálogos o acercamient</w:t>
      </w:r>
      <w:r w:rsidRPr="005A2345">
        <w:rPr>
          <w:rFonts w:ascii="Times New Roman" w:hAnsi="Times New Roman" w:cs="Times New Roman"/>
        </w:rPr>
        <w:t>os, sin vulnerar los compromisos de reserva pactados en los procesos</w:t>
      </w:r>
      <w:bookmarkEnd w:id="30"/>
      <w:r w:rsidRPr="005A2345">
        <w:rPr>
          <w:rFonts w:ascii="Times New Roman" w:hAnsi="Times New Roman" w:cs="Times New Roman"/>
        </w:rPr>
        <w:t>».</w:t>
      </w:r>
      <w:r w:rsidRPr="005A2345">
        <w:rPr>
          <w:rStyle w:val="Refdenotaalpie"/>
          <w:rFonts w:ascii="Times New Roman" w:hAnsi="Times New Roman" w:cs="Times New Roman"/>
        </w:rPr>
        <w:footnoteReference w:id="84"/>
      </w:r>
    </w:p>
    <w:p w:rsidR="00BA7BE9" w:rsidRPr="005A2345" w:rsidRDefault="005A2345" w:rsidP="00BA7BE9">
      <w:pPr>
        <w:pStyle w:val="Prrafodelista"/>
        <w:tabs>
          <w:tab w:val="left" w:pos="426"/>
        </w:tabs>
        <w:spacing w:after="0" w:line="240" w:lineRule="auto"/>
        <w:ind w:left="0"/>
        <w:jc w:val="both"/>
        <w:rPr>
          <w:rFonts w:ascii="Times New Roman" w:hAnsi="Times New Roman" w:cs="Times New Roman"/>
        </w:rPr>
      </w:pPr>
    </w:p>
    <w:p w:rsidR="00BA7BE9"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En suma, los antecedentes legislativos muestran que</w:t>
      </w:r>
      <w:r w:rsidRPr="005A2345">
        <w:rPr>
          <w:rFonts w:ascii="Times New Roman" w:hAnsi="Times New Roman" w:cs="Times New Roman"/>
        </w:rPr>
        <w:t xml:space="preserve"> el texto original establecía una reserva absoluta de los asuntos del Gabinete de Paz, sin embargo, durante los debates, esa </w:t>
      </w:r>
      <w:r w:rsidRPr="005A2345">
        <w:rPr>
          <w:rFonts w:ascii="Times New Roman" w:hAnsi="Times New Roman" w:cs="Times New Roman"/>
        </w:rPr>
        <w:t>redacción fue reformulada con miras a obedecer los parámetros de la Ley estatutaria</w:t>
      </w:r>
      <w:r w:rsidRPr="005A2345">
        <w:rPr>
          <w:rFonts w:ascii="Times New Roman" w:hAnsi="Times New Roman" w:cs="Times New Roman"/>
        </w:rPr>
        <w:t xml:space="preserve"> </w:t>
      </w:r>
      <w:r w:rsidRPr="005A2345">
        <w:rPr>
          <w:rFonts w:ascii="Times New Roman" w:hAnsi="Times New Roman" w:cs="Times New Roman"/>
        </w:rPr>
        <w:t>1712 de 2014 sobre acceso a la información pública. De tal forma, se modificaron tres puntos relevantes en ese sentido: (i)</w:t>
      </w:r>
      <w:r w:rsidRPr="005A2345">
        <w:rPr>
          <w:rFonts w:ascii="Times New Roman" w:hAnsi="Times New Roman" w:cs="Times New Roman"/>
        </w:rPr>
        <w:t xml:space="preserve"> con </w:t>
      </w:r>
      <w:r w:rsidRPr="005A2345">
        <w:rPr>
          <w:rFonts w:ascii="Times New Roman" w:hAnsi="Times New Roman" w:cs="Times New Roman"/>
        </w:rPr>
        <w:t xml:space="preserve">la expresión </w:t>
      </w:r>
      <w:r w:rsidRPr="005A2345">
        <w:rPr>
          <w:rFonts w:ascii="Times New Roman" w:hAnsi="Times New Roman" w:cs="Times New Roman"/>
          <w:i/>
          <w:iCs/>
        </w:rPr>
        <w:t xml:space="preserve">“podrán tener el carácter de </w:t>
      </w:r>
      <w:r w:rsidRPr="005A2345">
        <w:rPr>
          <w:rFonts w:ascii="Times New Roman" w:hAnsi="Times New Roman" w:cs="Times New Roman"/>
          <w:i/>
          <w:iCs/>
        </w:rPr>
        <w:t>reservados”</w:t>
      </w:r>
      <w:r w:rsidRPr="005A2345">
        <w:rPr>
          <w:rFonts w:ascii="Times New Roman" w:hAnsi="Times New Roman" w:cs="Times New Roman"/>
        </w:rPr>
        <w:t xml:space="preserve">, en vez de </w:t>
      </w:r>
      <w:r w:rsidRPr="005A2345">
        <w:rPr>
          <w:rFonts w:ascii="Times New Roman" w:hAnsi="Times New Roman" w:cs="Times New Roman"/>
          <w:i/>
          <w:iCs/>
        </w:rPr>
        <w:t>“tendrán el carácter de reservados”</w:t>
      </w:r>
      <w:r w:rsidRPr="005A2345">
        <w:rPr>
          <w:rFonts w:ascii="Times New Roman" w:hAnsi="Times New Roman" w:cs="Times New Roman"/>
        </w:rPr>
        <w:t xml:space="preserve">, </w:t>
      </w:r>
      <w:r w:rsidRPr="005A2345">
        <w:rPr>
          <w:rFonts w:ascii="Times New Roman" w:hAnsi="Times New Roman" w:cs="Times New Roman"/>
        </w:rPr>
        <w:t xml:space="preserve">se </w:t>
      </w:r>
      <w:r w:rsidRPr="005A2345">
        <w:rPr>
          <w:rFonts w:ascii="Times New Roman" w:hAnsi="Times New Roman" w:cs="Times New Roman"/>
        </w:rPr>
        <w:t>invierte el mandato absoluto</w:t>
      </w:r>
      <w:r w:rsidRPr="005A2345">
        <w:rPr>
          <w:rFonts w:ascii="Times New Roman" w:hAnsi="Times New Roman" w:cs="Times New Roman"/>
        </w:rPr>
        <w:t xml:space="preserve"> de reserva</w:t>
      </w:r>
      <w:r w:rsidRPr="005A2345">
        <w:rPr>
          <w:rFonts w:ascii="Times New Roman" w:hAnsi="Times New Roman" w:cs="Times New Roman"/>
        </w:rPr>
        <w:t xml:space="preserve"> y establece una facultad para determinar cuáles deben ser considerados reservados;</w:t>
      </w:r>
      <w:r w:rsidRPr="005A2345">
        <w:rPr>
          <w:rFonts w:ascii="Times New Roman" w:hAnsi="Times New Roman" w:cs="Times New Roman"/>
        </w:rPr>
        <w:t xml:space="preserve">  (ii) se exceptu</w:t>
      </w:r>
      <w:r w:rsidRPr="005A2345">
        <w:rPr>
          <w:rFonts w:ascii="Times New Roman" w:hAnsi="Times New Roman" w:cs="Times New Roman"/>
        </w:rPr>
        <w:t>aron</w:t>
      </w:r>
      <w:r w:rsidRPr="005A2345">
        <w:rPr>
          <w:rFonts w:ascii="Times New Roman" w:hAnsi="Times New Roman" w:cs="Times New Roman"/>
        </w:rPr>
        <w:t xml:space="preserve"> de cualquier reserva los asuntos de ejecución pre</w:t>
      </w:r>
      <w:r w:rsidRPr="005A2345">
        <w:rPr>
          <w:rFonts w:ascii="Times New Roman" w:hAnsi="Times New Roman" w:cs="Times New Roman"/>
        </w:rPr>
        <w:t xml:space="preserve">supuestal y (iii) </w:t>
      </w:r>
      <w:r w:rsidRPr="005A2345">
        <w:rPr>
          <w:rFonts w:ascii="Times New Roman" w:hAnsi="Times New Roman" w:cs="Times New Roman"/>
        </w:rPr>
        <w:t>establece la obligación de «rendir un informe a la Nación con la información acerca del desarrollo de los diálogos o acercamientos, sin vulnerar los compromisos de reserva pactados en los procesos».</w:t>
      </w:r>
    </w:p>
    <w:p w:rsidR="003472FE" w:rsidRPr="005A2345" w:rsidRDefault="005A2345" w:rsidP="003472FE">
      <w:pPr>
        <w:rPr>
          <w:rFonts w:ascii="Times New Roman" w:hAnsi="Times New Roman" w:cs="Times New Roman"/>
          <w:sz w:val="28"/>
          <w:szCs w:val="28"/>
        </w:rPr>
      </w:pPr>
    </w:p>
    <w:p w:rsidR="003472FE" w:rsidRPr="005A2345" w:rsidRDefault="005A2345" w:rsidP="002055CB">
      <w:pPr>
        <w:jc w:val="both"/>
        <w:rPr>
          <w:rFonts w:ascii="Times New Roman" w:hAnsi="Times New Roman" w:cs="Times New Roman"/>
          <w:i/>
          <w:iCs/>
          <w:sz w:val="28"/>
          <w:szCs w:val="28"/>
        </w:rPr>
      </w:pPr>
      <w:r w:rsidRPr="005A2345">
        <w:rPr>
          <w:rFonts w:ascii="Times New Roman" w:hAnsi="Times New Roman" w:cs="Times New Roman"/>
          <w:i/>
          <w:iCs/>
          <w:sz w:val="28"/>
          <w:szCs w:val="28"/>
        </w:rPr>
        <w:t>Análisis de constitucionalidad del par</w:t>
      </w:r>
      <w:r w:rsidRPr="005A2345">
        <w:rPr>
          <w:rFonts w:ascii="Times New Roman" w:hAnsi="Times New Roman" w:cs="Times New Roman"/>
          <w:i/>
          <w:iCs/>
          <w:sz w:val="28"/>
          <w:szCs w:val="28"/>
        </w:rPr>
        <w:t xml:space="preserve">ágrafo 1º del artículo 6 de la Ley 2272 de 2022. </w:t>
      </w:r>
    </w:p>
    <w:p w:rsidR="003472FE" w:rsidRPr="005A2345" w:rsidRDefault="005A2345" w:rsidP="00647131">
      <w:pPr>
        <w:tabs>
          <w:tab w:val="left" w:pos="284"/>
          <w:tab w:val="left" w:pos="426"/>
        </w:tabs>
        <w:jc w:val="both"/>
        <w:rPr>
          <w:rFonts w:ascii="Times New Roman" w:hAnsi="Times New Roman" w:cs="Times New Roman"/>
          <w:sz w:val="28"/>
          <w:szCs w:val="28"/>
        </w:rPr>
      </w:pPr>
    </w:p>
    <w:p w:rsidR="009B5AA6"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 El demandante afirmó que la norma es inconstitucional toda vez que </w:t>
      </w:r>
      <w:r w:rsidRPr="005A2345">
        <w:rPr>
          <w:rFonts w:ascii="Times New Roman" w:hAnsi="Times New Roman" w:cs="Times New Roman"/>
        </w:rPr>
        <w:t>establece una cláusula abierta e indeterminada de reserva de l</w:t>
      </w:r>
      <w:r w:rsidRPr="005A2345">
        <w:rPr>
          <w:rFonts w:ascii="Times New Roman" w:hAnsi="Times New Roman" w:cs="Times New Roman"/>
        </w:rPr>
        <w:t>o</w:t>
      </w:r>
      <w:r w:rsidRPr="005A2345">
        <w:rPr>
          <w:rFonts w:ascii="Times New Roman" w:hAnsi="Times New Roman" w:cs="Times New Roman"/>
        </w:rPr>
        <w:t xml:space="preserve">s asuntos relacionados con </w:t>
      </w:r>
      <w:r w:rsidRPr="005A2345">
        <w:rPr>
          <w:rFonts w:ascii="Times New Roman" w:hAnsi="Times New Roman" w:cs="Times New Roman"/>
        </w:rPr>
        <w:t>las conversaciones, acuerdos y negociaciones co</w:t>
      </w:r>
      <w:r w:rsidRPr="005A2345">
        <w:rPr>
          <w:rFonts w:ascii="Times New Roman" w:hAnsi="Times New Roman" w:cs="Times New Roman"/>
        </w:rPr>
        <w:t>n actores armados que se traten en las sesiones del Gabinete de Paz, así como la información y documentos que se expidan en esta materia. Lo anterior, según el actor, vulnera los derechos de petición y de acceso a los documentos públicos</w:t>
      </w:r>
      <w:r w:rsidRPr="005A2345">
        <w:rPr>
          <w:rFonts w:ascii="Times New Roman" w:hAnsi="Times New Roman" w:cs="Times New Roman"/>
        </w:rPr>
        <w:t>, toda vez que</w:t>
      </w:r>
      <w:r w:rsidRPr="005A2345">
        <w:rPr>
          <w:rFonts w:ascii="Times New Roman" w:hAnsi="Times New Roman" w:cs="Times New Roman"/>
        </w:rPr>
        <w:t xml:space="preserve"> (i) </w:t>
      </w:r>
      <w:r w:rsidRPr="005A2345">
        <w:rPr>
          <w:rFonts w:ascii="Times New Roman" w:hAnsi="Times New Roman" w:cs="Times New Roman"/>
        </w:rPr>
        <w:t>la indeterminación de la reserva afecta el acceso a la información pública de los documentos de la política de paz y</w:t>
      </w:r>
      <w:r w:rsidRPr="005A2345">
        <w:rPr>
          <w:rFonts w:ascii="Times New Roman" w:hAnsi="Times New Roman" w:cs="Times New Roman"/>
        </w:rPr>
        <w:t>,</w:t>
      </w:r>
      <w:r w:rsidRPr="005A2345">
        <w:rPr>
          <w:rFonts w:ascii="Times New Roman" w:hAnsi="Times New Roman" w:cs="Times New Roman"/>
        </w:rPr>
        <w:t xml:space="preserve"> en esa medi</w:t>
      </w:r>
      <w:r w:rsidRPr="005A2345">
        <w:rPr>
          <w:rFonts w:ascii="Times New Roman" w:hAnsi="Times New Roman" w:cs="Times New Roman"/>
        </w:rPr>
        <w:t>d</w:t>
      </w:r>
      <w:r w:rsidRPr="005A2345">
        <w:rPr>
          <w:rFonts w:ascii="Times New Roman" w:hAnsi="Times New Roman" w:cs="Times New Roman"/>
        </w:rPr>
        <w:t>a, hace ilusorio el derecho de petición, pues la ley no determina las motivaciones sobre las cuales se puede denegar el acceso</w:t>
      </w:r>
      <w:r w:rsidRPr="005A2345">
        <w:rPr>
          <w:rFonts w:ascii="Times New Roman" w:hAnsi="Times New Roman" w:cs="Times New Roman"/>
        </w:rPr>
        <w:t xml:space="preserve"> a asuntos de los procesos de paz que regula la Ley 2272 de 2022 y permite una amplia discrecionalidad; y (ii) la reserva dispuesta en el parágrafo 1º del artículo 6 no cumple con los requisitos jurisprudenciales sobre las restricciones que se pueden impon</w:t>
      </w:r>
      <w:r w:rsidRPr="005A2345">
        <w:rPr>
          <w:rFonts w:ascii="Times New Roman" w:hAnsi="Times New Roman" w:cs="Times New Roman"/>
        </w:rPr>
        <w:t xml:space="preserve">er al derecho al acceso a la información, en esencia, no delimita el objeto y fin de la reserva, la autoridad competente para clasificarla y tampoco señala un límite temporal. </w:t>
      </w:r>
    </w:p>
    <w:p w:rsidR="005D69E7" w:rsidRPr="005A2345" w:rsidRDefault="005A2345" w:rsidP="005D69E7">
      <w:pPr>
        <w:pStyle w:val="Prrafodelista"/>
        <w:tabs>
          <w:tab w:val="left" w:pos="284"/>
          <w:tab w:val="left" w:pos="426"/>
        </w:tabs>
        <w:spacing w:after="0" w:line="240" w:lineRule="auto"/>
        <w:ind w:left="0"/>
        <w:jc w:val="both"/>
        <w:rPr>
          <w:rFonts w:ascii="Times New Roman" w:hAnsi="Times New Roman" w:cs="Times New Roman"/>
        </w:rPr>
      </w:pPr>
    </w:p>
    <w:p w:rsidR="005D69E7"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Como fue descrito de manera detallada en las consideraciones de esta providenc</w:t>
      </w:r>
      <w:r w:rsidRPr="005A2345">
        <w:rPr>
          <w:rFonts w:ascii="Times New Roman" w:hAnsi="Times New Roman" w:cs="Times New Roman"/>
        </w:rPr>
        <w:t>ia, el derecho fundamental al acceso a la información pública es trascendental para asegurar la democracia participativa. Es un derecho que permite materializar la publicidad y transparencia de las decisiones y actuaciones del poder público.</w:t>
      </w:r>
      <w:r w:rsidRPr="005A2345">
        <w:rPr>
          <w:rFonts w:ascii="Times New Roman" w:hAnsi="Times New Roman" w:cs="Times New Roman"/>
        </w:rPr>
        <w:t xml:space="preserve"> Tanto la ciuda</w:t>
      </w:r>
      <w:r w:rsidRPr="005A2345">
        <w:rPr>
          <w:rFonts w:ascii="Times New Roman" w:hAnsi="Times New Roman" w:cs="Times New Roman"/>
        </w:rPr>
        <w:t>danía como la prensa pueden ejercer este derecho con el fin de controlar</w:t>
      </w:r>
      <w:r w:rsidRPr="005A2345">
        <w:rPr>
          <w:rFonts w:ascii="Times New Roman" w:hAnsi="Times New Roman" w:cs="Times New Roman"/>
        </w:rPr>
        <w:t xml:space="preserve"> la gestión pública y participar de la toma de decisiones que les conciernen. Este derecho implica dos deberes correlativos a todas las autoridades estatales: «(i) suministrar a quien </w:t>
      </w:r>
      <w:r w:rsidRPr="005A2345">
        <w:rPr>
          <w:rFonts w:ascii="Times New Roman" w:hAnsi="Times New Roman" w:cs="Times New Roman"/>
        </w:rPr>
        <w:t>lo solicite, información clara, completa, oportuna, cierta y actualizada, sobre su actividad; (ii) es necesario que las autoridades públicas conserven y mantengan la información sobre su actividad, ya que, de no hacerlo, se vulnera el derecho de las person</w:t>
      </w:r>
      <w:r w:rsidRPr="005A2345">
        <w:rPr>
          <w:rFonts w:ascii="Times New Roman" w:hAnsi="Times New Roman" w:cs="Times New Roman"/>
        </w:rPr>
        <w:t>as al acceso a la información pública y, en consecuencia, el derecho a que ejerzan un control sobre sus actuaciones».</w:t>
      </w:r>
      <w:r w:rsidRPr="005A2345">
        <w:rPr>
          <w:rStyle w:val="Refdenotaalpie"/>
          <w:rFonts w:ascii="Times New Roman" w:hAnsi="Times New Roman" w:cs="Times New Roman"/>
        </w:rPr>
        <w:footnoteReference w:id="85"/>
      </w:r>
      <w:r w:rsidRPr="005A2345">
        <w:rPr>
          <w:rFonts w:ascii="Times New Roman" w:hAnsi="Times New Roman" w:cs="Times New Roman"/>
        </w:rPr>
        <w:t xml:space="preserve"> </w:t>
      </w:r>
      <w:r w:rsidRPr="005A2345">
        <w:rPr>
          <w:rFonts w:ascii="Times New Roman" w:hAnsi="Times New Roman" w:cs="Times New Roman"/>
        </w:rPr>
        <w:t xml:space="preserve">A ellas se le suma el deber de las autoridades públicas de motivar  suficientemente sus decisiones en caso de denegar el acceso a determinada información pública. </w:t>
      </w:r>
    </w:p>
    <w:p w:rsidR="005869EC" w:rsidRPr="005A2345" w:rsidRDefault="005A2345" w:rsidP="005869EC">
      <w:pPr>
        <w:pStyle w:val="Prrafodelista"/>
        <w:tabs>
          <w:tab w:val="left" w:pos="284"/>
          <w:tab w:val="left" w:pos="426"/>
        </w:tabs>
        <w:spacing w:after="0" w:line="240" w:lineRule="auto"/>
        <w:ind w:left="0"/>
        <w:jc w:val="both"/>
        <w:rPr>
          <w:rFonts w:ascii="Times New Roman" w:hAnsi="Times New Roman" w:cs="Times New Roman"/>
        </w:rPr>
      </w:pPr>
    </w:p>
    <w:p w:rsidR="005869EC"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Ahora bien, </w:t>
      </w:r>
      <w:r w:rsidRPr="005A2345">
        <w:rPr>
          <w:rFonts w:ascii="Times New Roman" w:hAnsi="Times New Roman" w:cs="Times New Roman"/>
        </w:rPr>
        <w:t>a pesar de que la regla general es garantizar el derecho al acceso a la informa</w:t>
      </w:r>
      <w:r w:rsidRPr="005A2345">
        <w:rPr>
          <w:rFonts w:ascii="Times New Roman" w:hAnsi="Times New Roman" w:cs="Times New Roman"/>
        </w:rPr>
        <w:t xml:space="preserve">ción pública a todas las personas, este derecho puede estar sujeto a limitaciones fijadas en la ley. Como lo determinó la jurisprudencia constitucional, y especialmente el legislador estatutario, estas limitaciones «deben cumplir estrictos requisitos para </w:t>
      </w:r>
      <w:r w:rsidRPr="005A2345">
        <w:rPr>
          <w:rFonts w:ascii="Times New Roman" w:hAnsi="Times New Roman" w:cs="Times New Roman"/>
        </w:rPr>
        <w:t>que la restricción no sea arbitraria y</w:t>
      </w:r>
      <w:r w:rsidRPr="005A2345">
        <w:rPr>
          <w:rFonts w:ascii="Times New Roman" w:hAnsi="Times New Roman" w:cs="Times New Roman"/>
        </w:rPr>
        <w:t>,</w:t>
      </w:r>
      <w:r w:rsidRPr="005A2345">
        <w:rPr>
          <w:rFonts w:ascii="Times New Roman" w:hAnsi="Times New Roman" w:cs="Times New Roman"/>
        </w:rPr>
        <w:t xml:space="preserve"> por el contrario, obedezca a motivos legítimos, necesarios y proporcionados. De esa manera, el acceso a la información podrá ser negado (i) cuando ese acceso esté expresamente prohibido por la Constitución o por una </w:t>
      </w:r>
      <w:r w:rsidRPr="005A2345">
        <w:rPr>
          <w:rFonts w:ascii="Times New Roman" w:hAnsi="Times New Roman" w:cs="Times New Roman"/>
        </w:rPr>
        <w:t>norma de carácter legal; y (ii) deberá manifestarse por escrito y de manera motivada».</w:t>
      </w:r>
      <w:r w:rsidRPr="005A2345">
        <w:rPr>
          <w:rStyle w:val="Refdenotaalpie"/>
          <w:rFonts w:ascii="Times New Roman" w:hAnsi="Times New Roman" w:cs="Times New Roman"/>
        </w:rPr>
        <w:footnoteReference w:id="86"/>
      </w:r>
    </w:p>
    <w:p w:rsidR="005A72D2" w:rsidRPr="005A2345" w:rsidRDefault="005A2345" w:rsidP="005A72D2">
      <w:pPr>
        <w:pStyle w:val="Prrafodelista"/>
        <w:rPr>
          <w:rFonts w:ascii="Times New Roman" w:hAnsi="Times New Roman" w:cs="Times New Roman"/>
        </w:rPr>
      </w:pPr>
    </w:p>
    <w:p w:rsidR="005A72D2"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En el </w:t>
      </w:r>
      <w:r w:rsidRPr="005A2345">
        <w:rPr>
          <w:rFonts w:ascii="Times New Roman" w:hAnsi="Times New Roman" w:cs="Times New Roman"/>
        </w:rPr>
        <w:t>marco de procesos y negociaciones de paz entre el Estado y grupos armados al margen de la ley o estructuras armadas organizadas de crimen de alto impacto debe re</w:t>
      </w:r>
      <w:r w:rsidRPr="005A2345">
        <w:rPr>
          <w:rFonts w:ascii="Times New Roman" w:hAnsi="Times New Roman" w:cs="Times New Roman"/>
        </w:rPr>
        <w:t xml:space="preserve">gir la misma regla general de acceso a la información pública; sin embargo, en las primeras etapas de este tipo de procesos es razonable que </w:t>
      </w:r>
      <w:r w:rsidRPr="005A2345">
        <w:rPr>
          <w:rFonts w:ascii="Times New Roman" w:hAnsi="Times New Roman" w:cs="Times New Roman"/>
        </w:rPr>
        <w:t xml:space="preserve">se mantenga una dosis de </w:t>
      </w:r>
      <w:r w:rsidRPr="005A2345">
        <w:rPr>
          <w:rFonts w:ascii="Times New Roman" w:hAnsi="Times New Roman" w:cs="Times New Roman"/>
        </w:rPr>
        <w:t xml:space="preserve">confidencialidad </w:t>
      </w:r>
      <w:r w:rsidRPr="005A2345">
        <w:rPr>
          <w:rFonts w:ascii="Times New Roman" w:hAnsi="Times New Roman" w:cs="Times New Roman"/>
        </w:rPr>
        <w:t>necesaria para avanzar en los acuerdos</w:t>
      </w:r>
      <w:r w:rsidRPr="005A2345">
        <w:rPr>
          <w:rFonts w:ascii="Times New Roman" w:hAnsi="Times New Roman" w:cs="Times New Roman"/>
        </w:rPr>
        <w:t xml:space="preserve"> y asegurar una confianza entre las</w:t>
      </w:r>
      <w:r w:rsidRPr="005A2345">
        <w:rPr>
          <w:rFonts w:ascii="Times New Roman" w:hAnsi="Times New Roman" w:cs="Times New Roman"/>
        </w:rPr>
        <w:t xml:space="preserve"> partes involucradas</w:t>
      </w:r>
      <w:r w:rsidRPr="005A2345">
        <w:rPr>
          <w:rFonts w:ascii="Times New Roman" w:hAnsi="Times New Roman" w:cs="Times New Roman"/>
        </w:rPr>
        <w:t>.</w:t>
      </w:r>
      <w:r w:rsidRPr="005A2345">
        <w:rPr>
          <w:rFonts w:ascii="Times New Roman" w:hAnsi="Times New Roman" w:cs="Times New Roman"/>
        </w:rPr>
        <w:t xml:space="preserve"> No obstante, lo anterior no implica el hermetismo absoluto, pues deben contemplarse canales de información sobre los avances de forma general. </w:t>
      </w:r>
    </w:p>
    <w:p w:rsidR="00F3641F" w:rsidRPr="005A2345" w:rsidRDefault="005A2345" w:rsidP="00F3641F">
      <w:pPr>
        <w:rPr>
          <w:rFonts w:ascii="Times New Roman" w:hAnsi="Times New Roman" w:cs="Times New Roman"/>
          <w:sz w:val="28"/>
        </w:rPr>
      </w:pPr>
    </w:p>
    <w:p w:rsidR="00F3641F" w:rsidRPr="005A2345" w:rsidRDefault="005A2345" w:rsidP="00076595">
      <w:pPr>
        <w:pStyle w:val="Prrafodelista"/>
        <w:numPr>
          <w:ilvl w:val="0"/>
          <w:numId w:val="5"/>
        </w:numPr>
        <w:tabs>
          <w:tab w:val="left" w:pos="284"/>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De acuerdo con lo expuesto, la Sala Plena de la Corte Constitucional considera que </w:t>
      </w:r>
      <w:r w:rsidRPr="005A2345">
        <w:rPr>
          <w:rFonts w:ascii="Times New Roman" w:hAnsi="Times New Roman" w:cs="Times New Roman"/>
        </w:rPr>
        <w:t>le asi</w:t>
      </w:r>
      <w:r w:rsidRPr="005A2345">
        <w:rPr>
          <w:rFonts w:ascii="Times New Roman" w:hAnsi="Times New Roman" w:cs="Times New Roman"/>
        </w:rPr>
        <w:t>ste parcialmente la</w:t>
      </w:r>
      <w:r w:rsidRPr="005A2345">
        <w:rPr>
          <w:rFonts w:ascii="Times New Roman" w:hAnsi="Times New Roman" w:cs="Times New Roman"/>
        </w:rPr>
        <w:t xml:space="preserve"> razón al demandante y</w:t>
      </w:r>
      <w:r w:rsidRPr="005A2345">
        <w:rPr>
          <w:rFonts w:ascii="Times New Roman" w:hAnsi="Times New Roman" w:cs="Times New Roman"/>
        </w:rPr>
        <w:t>,</w:t>
      </w:r>
      <w:r w:rsidRPr="005A2345">
        <w:rPr>
          <w:rFonts w:ascii="Times New Roman" w:hAnsi="Times New Roman" w:cs="Times New Roman"/>
        </w:rPr>
        <w:t xml:space="preserve"> en consecuencia, como se demostrará a continuación, el parágrafo 1º del artículo 6 de la Ley 2272 de 2022 es constitucional</w:t>
      </w:r>
      <w:r w:rsidRPr="005A2345">
        <w:rPr>
          <w:rFonts w:ascii="Times New Roman" w:hAnsi="Times New Roman" w:cs="Times New Roman"/>
        </w:rPr>
        <w:t xml:space="preserve"> al superar el test tripartito de acceso a la información</w:t>
      </w:r>
      <w:r w:rsidRPr="005A2345">
        <w:rPr>
          <w:rFonts w:ascii="Times New Roman" w:hAnsi="Times New Roman" w:cs="Times New Roman"/>
        </w:rPr>
        <w:t>.</w:t>
      </w:r>
      <w:r w:rsidRPr="005A2345">
        <w:rPr>
          <w:rFonts w:ascii="Times New Roman" w:hAnsi="Times New Roman" w:cs="Times New Roman"/>
        </w:rPr>
        <w:t xml:space="preserve"> Sin embargo, como se explicará </w:t>
      </w:r>
      <w:r w:rsidRPr="005A2345">
        <w:rPr>
          <w:rFonts w:ascii="Times New Roman" w:hAnsi="Times New Roman" w:cs="Times New Roman"/>
        </w:rPr>
        <w:t>más adelante, esta conclusión es clara frente a</w:t>
      </w:r>
      <w:r w:rsidRPr="005A2345">
        <w:rPr>
          <w:rFonts w:ascii="Times New Roman" w:hAnsi="Times New Roman" w:cs="Times New Roman"/>
          <w:color w:val="000000"/>
          <w:lang w:eastAsia="es-MX"/>
        </w:rPr>
        <w:t xml:space="preserve"> «asuntos referidos a conversaciones (…) y negociaciones con actores armados»;</w:t>
      </w:r>
      <w:r w:rsidRPr="005A2345">
        <w:rPr>
          <w:rFonts w:ascii="Times New Roman" w:hAnsi="Times New Roman" w:cs="Times New Roman"/>
          <w:color w:val="000000"/>
          <w:lang w:eastAsia="es-MX"/>
        </w:rPr>
        <w:t xml:space="preserve"> pero</w:t>
      </w:r>
      <w:r w:rsidRPr="005A2345">
        <w:rPr>
          <w:rFonts w:ascii="Times New Roman" w:hAnsi="Times New Roman" w:cs="Times New Roman"/>
          <w:color w:val="000000"/>
          <w:lang w:eastAsia="es-MX"/>
        </w:rPr>
        <w:t xml:space="preserve"> no pasa lo mismo con los «acuerdos», puesto que esta es una fase ya finalizada en la que la reserva es una medida desproporci</w:t>
      </w:r>
      <w:r w:rsidRPr="005A2345">
        <w:rPr>
          <w:rFonts w:ascii="Times New Roman" w:hAnsi="Times New Roman" w:cs="Times New Roman"/>
          <w:color w:val="000000"/>
          <w:lang w:eastAsia="es-MX"/>
        </w:rPr>
        <w:t xml:space="preserve">onada. </w:t>
      </w:r>
      <w:r w:rsidRPr="005A2345">
        <w:rPr>
          <w:rFonts w:ascii="Times New Roman" w:hAnsi="Times New Roman" w:cs="Times New Roman"/>
        </w:rPr>
        <w:t xml:space="preserve">Para el efecto, la Sala </w:t>
      </w:r>
      <w:r w:rsidRPr="005A2345">
        <w:rPr>
          <w:rFonts w:ascii="Times New Roman" w:hAnsi="Times New Roman" w:cs="Times New Roman"/>
        </w:rPr>
        <w:t xml:space="preserve">precisará el contenido del parágrafo demandado, y luego, </w:t>
      </w:r>
      <w:r w:rsidRPr="005A2345">
        <w:rPr>
          <w:rFonts w:ascii="Times New Roman" w:hAnsi="Times New Roman" w:cs="Times New Roman"/>
        </w:rPr>
        <w:t xml:space="preserve">abordará el análisis de la limitación del derecho al acceso a la información </w:t>
      </w:r>
      <w:r w:rsidRPr="005A2345">
        <w:rPr>
          <w:rFonts w:ascii="Times New Roman" w:hAnsi="Times New Roman" w:cs="Times New Roman"/>
        </w:rPr>
        <w:t>a través de</w:t>
      </w:r>
      <w:r w:rsidRPr="005A2345">
        <w:rPr>
          <w:rFonts w:ascii="Times New Roman" w:hAnsi="Times New Roman" w:cs="Times New Roman"/>
        </w:rPr>
        <w:t xml:space="preserve"> </w:t>
      </w:r>
      <w:r w:rsidRPr="005A2345">
        <w:rPr>
          <w:rFonts w:ascii="Times New Roman" w:hAnsi="Times New Roman" w:cs="Times New Roman"/>
        </w:rPr>
        <w:t>cada uno de los pasos que exige el test tripartito y com</w:t>
      </w:r>
      <w:r w:rsidRPr="005A2345">
        <w:rPr>
          <w:rFonts w:ascii="Times New Roman" w:hAnsi="Times New Roman" w:cs="Times New Roman"/>
        </w:rPr>
        <w:t>o lo ha hecho en ocasio</w:t>
      </w:r>
      <w:r w:rsidRPr="005A2345">
        <w:rPr>
          <w:rFonts w:ascii="Times New Roman" w:hAnsi="Times New Roman" w:cs="Times New Roman"/>
        </w:rPr>
        <w:t>nes anteriores con similares problemas jurídicos al que se estudia en esta oportunidad.</w:t>
      </w:r>
      <w:r w:rsidRPr="005A2345">
        <w:rPr>
          <w:rStyle w:val="Refdenotaalpie"/>
          <w:rFonts w:ascii="Times New Roman" w:hAnsi="Times New Roman" w:cs="Times New Roman"/>
        </w:rPr>
        <w:footnoteReference w:id="87"/>
      </w:r>
    </w:p>
    <w:p w:rsidR="009B5AA6" w:rsidRPr="005A2345" w:rsidRDefault="005A2345" w:rsidP="002E49F5">
      <w:pPr>
        <w:tabs>
          <w:tab w:val="left" w:pos="426"/>
        </w:tabs>
        <w:jc w:val="both"/>
        <w:rPr>
          <w:rFonts w:ascii="Times New Roman" w:hAnsi="Times New Roman" w:cs="Times New Roman"/>
          <w:sz w:val="28"/>
          <w:szCs w:val="28"/>
        </w:rPr>
      </w:pPr>
    </w:p>
    <w:p w:rsidR="00E438B2"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 </w:t>
      </w:r>
      <w:r w:rsidRPr="005A2345">
        <w:rPr>
          <w:rFonts w:ascii="Times New Roman" w:hAnsi="Times New Roman" w:cs="Times New Roman"/>
          <w:i/>
          <w:iCs/>
        </w:rPr>
        <w:t>Alcance y precisión del parágrafo demandado.</w:t>
      </w:r>
      <w:r w:rsidRPr="005A2345">
        <w:rPr>
          <w:rFonts w:ascii="Times New Roman" w:hAnsi="Times New Roman" w:cs="Times New Roman"/>
        </w:rPr>
        <w:t xml:space="preserve"> </w:t>
      </w:r>
      <w:r w:rsidRPr="005A2345">
        <w:rPr>
          <w:rFonts w:ascii="Times New Roman" w:hAnsi="Times New Roman" w:cs="Times New Roman"/>
        </w:rPr>
        <w:t>La</w:t>
      </w:r>
      <w:r w:rsidRPr="005A2345">
        <w:rPr>
          <w:rFonts w:ascii="Times New Roman" w:hAnsi="Times New Roman" w:cs="Times New Roman"/>
        </w:rPr>
        <w:t xml:space="preserve"> norma objeto de estudio </w:t>
      </w:r>
      <w:r w:rsidRPr="005A2345">
        <w:rPr>
          <w:rFonts w:ascii="Times New Roman" w:hAnsi="Times New Roman" w:cs="Times New Roman"/>
        </w:rPr>
        <w:t xml:space="preserve">incorpora un artículo nuevo a la Ley 418 de 1997 </w:t>
      </w:r>
      <w:r w:rsidRPr="005A2345">
        <w:rPr>
          <w:rFonts w:ascii="Times New Roman" w:hAnsi="Times New Roman" w:cs="Times New Roman"/>
        </w:rPr>
        <w:t>«</w:t>
      </w:r>
      <w:r w:rsidRPr="005A2345">
        <w:rPr>
          <w:rFonts w:ascii="Times New Roman" w:hAnsi="Times New Roman" w:cs="Times New Roman"/>
          <w:color w:val="4B4949"/>
          <w:lang w:eastAsia="es-MX"/>
        </w:rPr>
        <w:t>[p]</w:t>
      </w:r>
      <w:r w:rsidRPr="005A2345">
        <w:rPr>
          <w:rFonts w:ascii="Times New Roman" w:hAnsi="Times New Roman" w:cs="Times New Roman"/>
        </w:rPr>
        <w:t xml:space="preserve">or la cual se consagran unos </w:t>
      </w:r>
      <w:r w:rsidRPr="005A2345">
        <w:rPr>
          <w:rFonts w:ascii="Times New Roman" w:hAnsi="Times New Roman" w:cs="Times New Roman"/>
        </w:rPr>
        <w:t>instrumentos para la búsqueda de la convivencia, la eficacia de la justicia y se dictan otras disposiciones»</w:t>
      </w:r>
      <w:r w:rsidRPr="005A2345">
        <w:rPr>
          <w:rFonts w:ascii="Times New Roman" w:hAnsi="Times New Roman" w:cs="Times New Roman"/>
        </w:rPr>
        <w:t>. Contempla el “Gabinete de Paz”, compuesto por cada uno de los ministerios que conforman el Gobierno Nacional, cuyas sesiones se desarrollarán bime</w:t>
      </w:r>
      <w:r w:rsidRPr="005A2345">
        <w:rPr>
          <w:rFonts w:ascii="Times New Roman" w:hAnsi="Times New Roman" w:cs="Times New Roman"/>
        </w:rPr>
        <w:t xml:space="preserve">stralmente o cuando lo determine el </w:t>
      </w:r>
      <w:r w:rsidRPr="005A2345">
        <w:rPr>
          <w:rFonts w:ascii="Times New Roman" w:hAnsi="Times New Roman" w:cs="Times New Roman"/>
        </w:rPr>
        <w:t>presidente</w:t>
      </w:r>
      <w:r w:rsidRPr="005A2345">
        <w:rPr>
          <w:rFonts w:ascii="Times New Roman" w:hAnsi="Times New Roman" w:cs="Times New Roman"/>
        </w:rPr>
        <w:t xml:space="preserve"> de la República</w:t>
      </w:r>
      <w:r w:rsidRPr="005A2345">
        <w:rPr>
          <w:rFonts w:ascii="Times New Roman" w:hAnsi="Times New Roman" w:cs="Times New Roman"/>
        </w:rPr>
        <w:t>,</w:t>
      </w:r>
      <w:r w:rsidRPr="005A2345">
        <w:rPr>
          <w:rFonts w:ascii="Times New Roman" w:hAnsi="Times New Roman" w:cs="Times New Roman"/>
        </w:rPr>
        <w:t xml:space="preserve"> y en las que deberán presentar informes a su cargo sobre los componentes de la política pública de paz que hagan parte de su competencia. </w:t>
      </w:r>
    </w:p>
    <w:p w:rsidR="00E438B2" w:rsidRPr="005A2345" w:rsidRDefault="005A2345" w:rsidP="00E438B2">
      <w:pPr>
        <w:pStyle w:val="Prrafodelista"/>
        <w:rPr>
          <w:rFonts w:ascii="Times New Roman" w:hAnsi="Times New Roman" w:cs="Times New Roman"/>
        </w:rPr>
      </w:pPr>
    </w:p>
    <w:p w:rsidR="00524B3A"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Del mismo modo, la norma establece en su primer pará</w:t>
      </w:r>
      <w:r w:rsidRPr="005A2345">
        <w:rPr>
          <w:rFonts w:ascii="Times New Roman" w:hAnsi="Times New Roman" w:cs="Times New Roman"/>
        </w:rPr>
        <w:t xml:space="preserve">grafo que </w:t>
      </w:r>
      <w:r w:rsidRPr="005A2345">
        <w:rPr>
          <w:rFonts w:ascii="Times New Roman" w:hAnsi="Times New Roman" w:cs="Times New Roman"/>
        </w:rPr>
        <w:t>(i) el Gabinete de Paz puede ser convocado por el Presidente de la República o por el que él designe, (ii) los asuntos referidos a conversaciones, acuerdos y negociaciones con actores armados que se traten en sus sesiones, así como la información</w:t>
      </w:r>
      <w:r w:rsidRPr="005A2345">
        <w:rPr>
          <w:rFonts w:ascii="Times New Roman" w:hAnsi="Times New Roman" w:cs="Times New Roman"/>
        </w:rPr>
        <w:t xml:space="preserve"> y documentos que se expidan en esta materia, </w:t>
      </w:r>
      <w:r w:rsidRPr="005A2345">
        <w:rPr>
          <w:rFonts w:ascii="Times New Roman" w:hAnsi="Times New Roman" w:cs="Times New Roman"/>
          <w:i/>
          <w:iCs/>
        </w:rPr>
        <w:t>podrán tener el carácter de reservados</w:t>
      </w:r>
      <w:r w:rsidRPr="005A2345">
        <w:rPr>
          <w:rFonts w:ascii="Times New Roman" w:hAnsi="Times New Roman" w:cs="Times New Roman"/>
        </w:rPr>
        <w:t>, excepto la información relacionada con la ejecución presupuesta de los Ministerios</w:t>
      </w:r>
      <w:r w:rsidRPr="005A2345">
        <w:rPr>
          <w:rFonts w:ascii="Times New Roman" w:hAnsi="Times New Roman" w:cs="Times New Roman"/>
        </w:rPr>
        <w:t>;</w:t>
      </w:r>
      <w:r w:rsidRPr="005A2345">
        <w:rPr>
          <w:rFonts w:ascii="Times New Roman" w:hAnsi="Times New Roman" w:cs="Times New Roman"/>
        </w:rPr>
        <w:t xml:space="preserve"> (iii) </w:t>
      </w:r>
      <w:r w:rsidRPr="005A2345">
        <w:rPr>
          <w:rFonts w:ascii="Times New Roman" w:hAnsi="Times New Roman" w:cs="Times New Roman"/>
        </w:rPr>
        <w:t>a las sesiones del Gabinete de Paz pueden ser invitadas las autoridades que defi</w:t>
      </w:r>
      <w:r w:rsidRPr="005A2345">
        <w:rPr>
          <w:rFonts w:ascii="Times New Roman" w:hAnsi="Times New Roman" w:cs="Times New Roman"/>
        </w:rPr>
        <w:t>na el Presidente de la República. Entre ellas, dice el parágrafo 2º del artículo en cuestión, «</w:t>
      </w:r>
      <w:r w:rsidRPr="005A2345">
        <w:rPr>
          <w:rFonts w:ascii="Times New Roman" w:hAnsi="Times New Roman" w:cs="Times New Roman"/>
          <w:color w:val="333333"/>
          <w:shd w:val="clear" w:color="auto" w:fill="FFFFFF"/>
          <w:lang w:eastAsia="es-MX"/>
        </w:rPr>
        <w:t>los</w:t>
      </w:r>
      <w:r w:rsidRPr="005A2345">
        <w:rPr>
          <w:rFonts w:ascii="Times New Roman" w:hAnsi="Times New Roman" w:cs="Times New Roman"/>
          <w:color w:val="333333"/>
          <w:szCs w:val="25"/>
          <w:shd w:val="clear" w:color="auto" w:fill="FFFFFF"/>
          <w:lang w:eastAsia="es-MX"/>
        </w:rPr>
        <w:t xml:space="preserve"> </w:t>
      </w:r>
      <w:r w:rsidRPr="005A2345">
        <w:rPr>
          <w:rFonts w:ascii="Times New Roman" w:hAnsi="Times New Roman" w:cs="Times New Roman"/>
        </w:rPr>
        <w:t>representantes autorizados por el Gobierno Nacional que participen de diálogos, acercamientos, negociaciones o firma de acuerdos de paz, así como a otros ser</w:t>
      </w:r>
      <w:r w:rsidRPr="005A2345">
        <w:rPr>
          <w:rFonts w:ascii="Times New Roman" w:hAnsi="Times New Roman" w:cs="Times New Roman"/>
        </w:rPr>
        <w:t>vidores públicos, integrantes de las Comisiones de Paz del Congreso de la República Gobernadores y Alcaldes de zonas afectadas por el conflicto o representantes de la sociedad civil»; y (iv) la obligación del Gabinete de Paz de rendir un informe a la Nació</w:t>
      </w:r>
      <w:r w:rsidRPr="005A2345">
        <w:rPr>
          <w:rFonts w:ascii="Times New Roman" w:hAnsi="Times New Roman" w:cs="Times New Roman"/>
        </w:rPr>
        <w:t>n acerca de «</w:t>
      </w:r>
      <w:r w:rsidRPr="005A2345">
        <w:rPr>
          <w:rFonts w:ascii="Times New Roman" w:hAnsi="Times New Roman" w:cs="Times New Roman"/>
        </w:rPr>
        <w:t>los diálogos o acercamientos, sin vulnerar los compromisos de reserva pactados en los procesos</w:t>
      </w:r>
      <w:r w:rsidRPr="005A2345">
        <w:rPr>
          <w:rFonts w:ascii="Times New Roman" w:hAnsi="Times New Roman" w:cs="Times New Roman"/>
        </w:rPr>
        <w:t xml:space="preserve">». </w:t>
      </w:r>
    </w:p>
    <w:p w:rsidR="00E576D6" w:rsidRPr="005A2345" w:rsidRDefault="005A2345" w:rsidP="00E576D6">
      <w:pPr>
        <w:pStyle w:val="Prrafodelista"/>
        <w:tabs>
          <w:tab w:val="left" w:pos="426"/>
        </w:tabs>
        <w:spacing w:after="0" w:line="240" w:lineRule="auto"/>
        <w:ind w:left="0"/>
        <w:jc w:val="both"/>
        <w:rPr>
          <w:rFonts w:ascii="Times New Roman" w:hAnsi="Times New Roman" w:cs="Times New Roman"/>
        </w:rPr>
      </w:pPr>
    </w:p>
    <w:p w:rsidR="00651630"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En este punto, es importante mencionar el Decreto 717 de 2024</w:t>
      </w:r>
      <w:r w:rsidRPr="005A2345">
        <w:rPr>
          <w:rFonts w:ascii="Times New Roman" w:hAnsi="Times New Roman" w:cs="Times New Roman"/>
        </w:rPr>
        <w:t xml:space="preserve"> «por el cual se reglamenta el funcionamiento del Gabinete de Paz».</w:t>
      </w:r>
      <w:r w:rsidRPr="005A2345">
        <w:rPr>
          <w:rFonts w:ascii="Times New Roman" w:hAnsi="Times New Roman" w:cs="Times New Roman"/>
        </w:rPr>
        <w:t xml:space="preserve"> El artículo 1º señala que </w:t>
      </w:r>
      <w:r w:rsidRPr="005A2345">
        <w:rPr>
          <w:rFonts w:ascii="Times New Roman" w:hAnsi="Times New Roman" w:cs="Times New Roman"/>
          <w:lang w:val="es-ES"/>
        </w:rPr>
        <w:t>el presidente de la República a través del consejero comisionado de paz convoca al Gabinete de Paz. A su vez, el artículo 3 del citado Decreto establece que la Secretaría Técnica de dicho Gabinete está en cabeza de la Oficina del</w:t>
      </w:r>
      <w:r w:rsidRPr="005A2345">
        <w:rPr>
          <w:rFonts w:ascii="Times New Roman" w:hAnsi="Times New Roman" w:cs="Times New Roman"/>
          <w:lang w:val="es-ES"/>
        </w:rPr>
        <w:t xml:space="preserve"> Consejo Comisionado. Además, el numeral séptimo del artículo 4 del Decreto 717 de 2024 precisa que es la Oficina de la Consejería de Paz, es la encargada de «[E]laborar y custodiar las actas del Gabinete de Paz y los demás documentos presentados en la ses</w:t>
      </w:r>
      <w:r w:rsidRPr="005A2345">
        <w:rPr>
          <w:rFonts w:ascii="Times New Roman" w:hAnsi="Times New Roman" w:cs="Times New Roman"/>
          <w:lang w:val="es-ES"/>
        </w:rPr>
        <w:t>ión. (...)».</w:t>
      </w:r>
      <w:r w:rsidRPr="005A2345">
        <w:rPr>
          <w:rFonts w:ascii="Times New Roman" w:hAnsi="Times New Roman" w:cs="Times New Roman"/>
          <w:lang w:val="es-ES"/>
        </w:rPr>
        <w:t xml:space="preserve"> </w:t>
      </w:r>
      <w:r w:rsidRPr="005A2345">
        <w:rPr>
          <w:rFonts w:ascii="Times New Roman" w:hAnsi="Times New Roman" w:cs="Times New Roman"/>
          <w:lang w:val="es-ES"/>
        </w:rPr>
        <w:t>D</w:t>
      </w:r>
      <w:r w:rsidRPr="005A2345">
        <w:rPr>
          <w:rFonts w:ascii="Times New Roman" w:hAnsi="Times New Roman" w:cs="Times New Roman"/>
          <w:lang w:val="es-ES"/>
        </w:rPr>
        <w:t>e ese modo, el sujeto obligado respecto de la información y documentación del Gabinete de Paz y que la norma</w:t>
      </w:r>
      <w:r w:rsidRPr="005A2345">
        <w:rPr>
          <w:rFonts w:ascii="Times New Roman" w:hAnsi="Times New Roman" w:cs="Times New Roman"/>
          <w:lang w:val="es-ES"/>
        </w:rPr>
        <w:t xml:space="preserve"> le</w:t>
      </w:r>
      <w:r w:rsidRPr="005A2345">
        <w:rPr>
          <w:rFonts w:ascii="Times New Roman" w:hAnsi="Times New Roman" w:cs="Times New Roman"/>
          <w:lang w:val="es-ES"/>
        </w:rPr>
        <w:t xml:space="preserve"> permite calificar con reserva, es concretamente el Consejero Comisionado de Paz.</w:t>
      </w:r>
    </w:p>
    <w:p w:rsidR="002A27E4" w:rsidRPr="005A2345" w:rsidRDefault="005A2345" w:rsidP="002A27E4">
      <w:pPr>
        <w:pStyle w:val="Prrafodelista"/>
        <w:tabs>
          <w:tab w:val="left" w:pos="426"/>
        </w:tabs>
        <w:spacing w:after="0" w:line="240" w:lineRule="auto"/>
        <w:ind w:left="0"/>
        <w:jc w:val="both"/>
        <w:rPr>
          <w:rFonts w:ascii="Times New Roman" w:hAnsi="Times New Roman" w:cs="Times New Roman"/>
        </w:rPr>
      </w:pPr>
    </w:p>
    <w:p w:rsidR="00001FBF"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Pues bien, a</w:t>
      </w:r>
      <w:r w:rsidRPr="005A2345">
        <w:rPr>
          <w:rFonts w:ascii="Times New Roman" w:hAnsi="Times New Roman" w:cs="Times New Roman"/>
        </w:rPr>
        <w:t xml:space="preserve"> diferencia de lo que considera el d</w:t>
      </w:r>
      <w:r w:rsidRPr="005A2345">
        <w:rPr>
          <w:rFonts w:ascii="Times New Roman" w:hAnsi="Times New Roman" w:cs="Times New Roman"/>
        </w:rPr>
        <w:t>emandante, sobre la textura abierta de la reserva que se dispone en el parágrafo 1º, la Sala Plena estima que el espíritu de la norma es preservar el principio de máxima divulgación de la información, y</w:t>
      </w:r>
      <w:r w:rsidRPr="005A2345">
        <w:rPr>
          <w:rFonts w:ascii="Times New Roman" w:hAnsi="Times New Roman" w:cs="Times New Roman"/>
        </w:rPr>
        <w:t>,</w:t>
      </w:r>
      <w:r w:rsidRPr="005A2345">
        <w:rPr>
          <w:rFonts w:ascii="Times New Roman" w:hAnsi="Times New Roman" w:cs="Times New Roman"/>
        </w:rPr>
        <w:t xml:space="preserve"> por tanto, la regla general es el acceso a la inform</w:t>
      </w:r>
      <w:r w:rsidRPr="005A2345">
        <w:rPr>
          <w:rFonts w:ascii="Times New Roman" w:hAnsi="Times New Roman" w:cs="Times New Roman"/>
        </w:rPr>
        <w:t>ación y a los documentos públicos relacionados con las conversaciones, acuerdos y negociaciones entre el Gobierno Nacional y los actores armados que se distinguen en la Ley 2272 de 2022</w:t>
      </w:r>
      <w:r w:rsidRPr="005A2345">
        <w:rPr>
          <w:rFonts w:ascii="Times New Roman" w:hAnsi="Times New Roman" w:cs="Times New Roman"/>
        </w:rPr>
        <w:t>;</w:t>
      </w:r>
      <w:r w:rsidRPr="005A2345">
        <w:rPr>
          <w:rFonts w:ascii="Times New Roman" w:hAnsi="Times New Roman" w:cs="Times New Roman"/>
        </w:rPr>
        <w:t xml:space="preserve"> estos son los grupos armados organizados al margen de la ley y las es</w:t>
      </w:r>
      <w:r w:rsidRPr="005A2345">
        <w:rPr>
          <w:rFonts w:ascii="Times New Roman" w:hAnsi="Times New Roman" w:cs="Times New Roman"/>
        </w:rPr>
        <w:t>tructuras armadas organizadas de crimen de alto impacto. El hecho de que el legislador disponga que</w:t>
      </w:r>
      <w:r w:rsidRPr="005A2345">
        <w:rPr>
          <w:rFonts w:ascii="Times New Roman" w:hAnsi="Times New Roman" w:cs="Times New Roman"/>
        </w:rPr>
        <w:t xml:space="preserve"> aquellas materias</w:t>
      </w:r>
      <w:r w:rsidRPr="005A2345">
        <w:rPr>
          <w:rFonts w:ascii="Times New Roman" w:hAnsi="Times New Roman" w:cs="Times New Roman"/>
        </w:rPr>
        <w:t xml:space="preserve"> </w:t>
      </w:r>
      <w:r w:rsidRPr="005A2345">
        <w:rPr>
          <w:rFonts w:ascii="Times New Roman" w:hAnsi="Times New Roman" w:cs="Times New Roman"/>
        </w:rPr>
        <w:t>“podrán tener el carácter de reservados”, permite afirmar qu</w:t>
      </w:r>
      <w:r w:rsidRPr="005A2345">
        <w:rPr>
          <w:rFonts w:ascii="Times New Roman" w:hAnsi="Times New Roman" w:cs="Times New Roman"/>
        </w:rPr>
        <w:t xml:space="preserve">e </w:t>
      </w:r>
      <w:r w:rsidRPr="005A2345">
        <w:rPr>
          <w:rFonts w:ascii="Times New Roman" w:hAnsi="Times New Roman" w:cs="Times New Roman"/>
          <w:color w:val="000000"/>
          <w:lang w:val="es-ES_tradnl"/>
        </w:rPr>
        <w:t>la facultad a que se refiere la norma no es absoluta y debe estar definida p</w:t>
      </w:r>
      <w:r w:rsidRPr="005A2345">
        <w:rPr>
          <w:rFonts w:ascii="Times New Roman" w:hAnsi="Times New Roman" w:cs="Times New Roman"/>
          <w:color w:val="000000"/>
          <w:lang w:val="es-ES_tradnl"/>
        </w:rPr>
        <w:t xml:space="preserve">or la naturaleza misma de los documentos e información que se califique como reservada según la ley. Además, la </w:t>
      </w:r>
      <w:r w:rsidRPr="005A2345">
        <w:rPr>
          <w:rFonts w:ascii="Times New Roman" w:hAnsi="Times New Roman" w:cs="Times New Roman"/>
          <w:color w:val="000000"/>
          <w:lang w:val="es-ES_tradnl"/>
        </w:rPr>
        <w:t xml:space="preserve">misma </w:t>
      </w:r>
      <w:r w:rsidRPr="005A2345">
        <w:rPr>
          <w:rFonts w:ascii="Times New Roman" w:hAnsi="Times New Roman" w:cs="Times New Roman"/>
          <w:color w:val="000000"/>
          <w:lang w:val="es-ES_tradnl"/>
        </w:rPr>
        <w:t>frase</w:t>
      </w:r>
      <w:r w:rsidRPr="005A2345">
        <w:rPr>
          <w:rFonts w:ascii="Times New Roman" w:hAnsi="Times New Roman" w:cs="Times New Roman"/>
          <w:color w:val="000000"/>
        </w:rPr>
        <w:t xml:space="preserve"> indica que la reserva debe proceder de forma excepcional. </w:t>
      </w:r>
    </w:p>
    <w:p w:rsidR="00001FBF" w:rsidRPr="005A2345" w:rsidRDefault="005A2345" w:rsidP="00001FBF">
      <w:pPr>
        <w:rPr>
          <w:rFonts w:ascii="Times New Roman" w:hAnsi="Times New Roman" w:cs="Times New Roman"/>
          <w:sz w:val="28"/>
        </w:rPr>
      </w:pPr>
    </w:p>
    <w:p w:rsidR="006035EF"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Como se explicó, el texto del proyecto de ley original establecía una re</w:t>
      </w:r>
      <w:r w:rsidRPr="005A2345">
        <w:rPr>
          <w:rFonts w:ascii="Times New Roman" w:hAnsi="Times New Roman" w:cs="Times New Roman"/>
        </w:rPr>
        <w:t>serva absoluta de los asuntos del Gabinete de Paz (“</w:t>
      </w:r>
      <w:r w:rsidRPr="005A2345">
        <w:rPr>
          <w:rFonts w:ascii="Times New Roman" w:hAnsi="Times New Roman" w:cs="Times New Roman"/>
        </w:rPr>
        <w:t>tendrán el carácter de reservado”)</w:t>
      </w:r>
      <w:r w:rsidRPr="005A2345">
        <w:rPr>
          <w:rFonts w:ascii="Times New Roman" w:hAnsi="Times New Roman" w:cs="Times New Roman"/>
        </w:rPr>
        <w:t>; sin embargo, el mismo legislador, en virtud de los principios establecidos en la ley estatutaria 1712 de 2014</w:t>
      </w:r>
      <w:r w:rsidRPr="005A2345">
        <w:rPr>
          <w:rFonts w:ascii="Times New Roman" w:hAnsi="Times New Roman" w:cs="Times New Roman"/>
        </w:rPr>
        <w:t xml:space="preserve"> modificó su redacción, porque consideró que no todos los a</w:t>
      </w:r>
      <w:r w:rsidRPr="005A2345">
        <w:rPr>
          <w:rFonts w:ascii="Times New Roman" w:hAnsi="Times New Roman" w:cs="Times New Roman"/>
        </w:rPr>
        <w:t>suntos deben ser tratados como reservados y debía garantizarse el acceso a la información pública. Además, delimitó el objeto de la reserva en caso de considerarse, a los asuntos que se refieran específicamente a las conversaciones, acuerdos y negociacione</w:t>
      </w:r>
      <w:r w:rsidRPr="005A2345">
        <w:rPr>
          <w:rFonts w:ascii="Times New Roman" w:hAnsi="Times New Roman" w:cs="Times New Roman"/>
        </w:rPr>
        <w:t>s</w:t>
      </w:r>
      <w:r w:rsidRPr="005A2345">
        <w:rPr>
          <w:rFonts w:ascii="Times New Roman" w:hAnsi="Times New Roman" w:cs="Times New Roman"/>
        </w:rPr>
        <w:t>, procesos que se encuentran definidos en el artículo 5</w:t>
      </w:r>
      <w:r w:rsidRPr="005A2345">
        <w:rPr>
          <w:rFonts w:ascii="Times New Roman" w:hAnsi="Times New Roman" w:cs="Times New Roman"/>
        </w:rPr>
        <w:t>°</w:t>
      </w:r>
      <w:r w:rsidRPr="005A2345">
        <w:rPr>
          <w:rFonts w:ascii="Times New Roman" w:hAnsi="Times New Roman" w:cs="Times New Roman"/>
        </w:rPr>
        <w:t xml:space="preserve"> de la Ley 2272</w:t>
      </w:r>
      <w:r w:rsidRPr="005A2345">
        <w:rPr>
          <w:rFonts w:ascii="Times New Roman" w:hAnsi="Times New Roman" w:cs="Times New Roman"/>
        </w:rPr>
        <w:t xml:space="preserve"> de 2022. </w:t>
      </w:r>
    </w:p>
    <w:p w:rsidR="006035EF" w:rsidRPr="005A2345" w:rsidRDefault="005A2345" w:rsidP="006035EF">
      <w:pPr>
        <w:pStyle w:val="Prrafodelista"/>
        <w:tabs>
          <w:tab w:val="left" w:pos="426"/>
        </w:tabs>
        <w:spacing w:after="0" w:line="240" w:lineRule="auto"/>
        <w:ind w:left="0"/>
        <w:jc w:val="both"/>
        <w:rPr>
          <w:rFonts w:ascii="Times New Roman" w:hAnsi="Times New Roman" w:cs="Times New Roman"/>
        </w:rPr>
      </w:pPr>
    </w:p>
    <w:p w:rsidR="006926F2"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De acuerdo con lo anterior, la </w:t>
      </w:r>
      <w:r w:rsidRPr="005A2345">
        <w:rPr>
          <w:rFonts w:ascii="Times New Roman" w:hAnsi="Times New Roman" w:cs="Times New Roman"/>
        </w:rPr>
        <w:t xml:space="preserve">misma </w:t>
      </w:r>
      <w:r w:rsidRPr="005A2345">
        <w:rPr>
          <w:rFonts w:ascii="Times New Roman" w:hAnsi="Times New Roman" w:cs="Times New Roman"/>
        </w:rPr>
        <w:t xml:space="preserve">ley prevé la posibilidad de determinar caso a caso qué asuntos deben ser reservados en el marco de los procesos de paz y de </w:t>
      </w:r>
      <w:r w:rsidRPr="005A2345">
        <w:rPr>
          <w:rFonts w:ascii="Times New Roman" w:hAnsi="Times New Roman" w:cs="Times New Roman"/>
        </w:rPr>
        <w:t xml:space="preserve">sometimiento a la justicia que regula la Ley 2272 de 2022. Lo anterior es razonable, pues la variedad de temas que son tratados en estos contextos deben regirse según la normativa respectiva de acceso a la información (por ejemplo, asuntos de inteligencia </w:t>
      </w:r>
      <w:r w:rsidRPr="005A2345">
        <w:rPr>
          <w:rFonts w:ascii="Times New Roman" w:hAnsi="Times New Roman" w:cs="Times New Roman"/>
        </w:rPr>
        <w:t>y contrainteligencia, operativos militares, datos de víctimas y victimarios, etc.) y a la luz de los estándares de la ley estatutaria 1712 de 2014</w:t>
      </w:r>
      <w:r w:rsidRPr="005A2345">
        <w:rPr>
          <w:rFonts w:ascii="Times New Roman" w:hAnsi="Times New Roman" w:cs="Times New Roman"/>
        </w:rPr>
        <w:t xml:space="preserve"> que tiene por objeto «regular el derecho de acceso a la información pública, los procedimientos para el ejerc</w:t>
      </w:r>
      <w:r w:rsidRPr="005A2345">
        <w:rPr>
          <w:rFonts w:ascii="Times New Roman" w:hAnsi="Times New Roman" w:cs="Times New Roman"/>
        </w:rPr>
        <w:t>icio y garantía del derecho y las excepciones a la publicidad de información».</w:t>
      </w:r>
      <w:r w:rsidRPr="005A2345">
        <w:rPr>
          <w:rFonts w:ascii="Times New Roman" w:hAnsi="Times New Roman" w:cs="Times New Roman"/>
        </w:rPr>
        <w:t xml:space="preserve"> Además, la Sala encuentra que, como lo advirtió en las consideraciones de esta providencia, la reserva de la información en estos contextos,</w:t>
      </w:r>
      <w:r w:rsidRPr="005A2345">
        <w:rPr>
          <w:rFonts w:ascii="Times New Roman" w:hAnsi="Times New Roman" w:cs="Times New Roman"/>
        </w:rPr>
        <w:t xml:space="preserve"> también depende de</w:t>
      </w:r>
      <w:r w:rsidRPr="005A2345">
        <w:rPr>
          <w:rFonts w:ascii="Times New Roman" w:hAnsi="Times New Roman" w:cs="Times New Roman"/>
        </w:rPr>
        <w:t xml:space="preserve"> la fase en la que</w:t>
      </w:r>
      <w:r w:rsidRPr="005A2345">
        <w:rPr>
          <w:rFonts w:ascii="Times New Roman" w:hAnsi="Times New Roman" w:cs="Times New Roman"/>
        </w:rPr>
        <w:t xml:space="preserve"> se encuentre</w:t>
      </w:r>
      <w:r w:rsidRPr="005A2345">
        <w:rPr>
          <w:rFonts w:ascii="Times New Roman" w:hAnsi="Times New Roman" w:cs="Times New Roman"/>
        </w:rPr>
        <w:t>n</w:t>
      </w:r>
      <w:r w:rsidRPr="005A2345">
        <w:rPr>
          <w:rFonts w:ascii="Times New Roman" w:hAnsi="Times New Roman" w:cs="Times New Roman"/>
        </w:rPr>
        <w:t xml:space="preserve"> </w:t>
      </w:r>
      <w:r w:rsidRPr="005A2345">
        <w:rPr>
          <w:rFonts w:ascii="Times New Roman" w:hAnsi="Times New Roman" w:cs="Times New Roman"/>
        </w:rPr>
        <w:t>las negociaciones, acercamientos y conversaciones, según sea el caso</w:t>
      </w:r>
      <w:r w:rsidRPr="005A2345">
        <w:rPr>
          <w:rFonts w:ascii="Times New Roman" w:hAnsi="Times New Roman" w:cs="Times New Roman"/>
        </w:rPr>
        <w:t>. Esto es,</w:t>
      </w:r>
      <w:r w:rsidRPr="005A2345">
        <w:rPr>
          <w:rFonts w:ascii="Times New Roman" w:hAnsi="Times New Roman" w:cs="Times New Roman"/>
        </w:rPr>
        <w:t xml:space="preserve"> debe ir gradualmente disminuyendo a medida que se va avanzando</w:t>
      </w:r>
      <w:r w:rsidRPr="005A2345">
        <w:rPr>
          <w:rFonts w:ascii="Times New Roman" w:hAnsi="Times New Roman" w:cs="Times New Roman"/>
        </w:rPr>
        <w:t>, hasta culminar en los acuerdos finales o parciales.</w:t>
      </w:r>
      <w:r w:rsidRPr="005A2345">
        <w:rPr>
          <w:rFonts w:ascii="Times New Roman" w:hAnsi="Times New Roman" w:cs="Times New Roman"/>
        </w:rPr>
        <w:t xml:space="preserve"> </w:t>
      </w:r>
    </w:p>
    <w:p w:rsidR="006926F2" w:rsidRPr="005A2345" w:rsidRDefault="005A2345" w:rsidP="006926F2">
      <w:pPr>
        <w:pStyle w:val="Prrafodelista"/>
        <w:rPr>
          <w:rFonts w:ascii="Times New Roman" w:hAnsi="Times New Roman" w:cs="Times New Roman"/>
        </w:rPr>
      </w:pPr>
    </w:p>
    <w:p w:rsidR="00BA7601"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De acuerdo a esta precisión, la Sala destaca</w:t>
      </w:r>
      <w:r w:rsidRPr="005A2345">
        <w:rPr>
          <w:rFonts w:ascii="Times New Roman" w:hAnsi="Times New Roman" w:cs="Times New Roman"/>
        </w:rPr>
        <w:t xml:space="preserve"> </w:t>
      </w:r>
      <w:r w:rsidRPr="005A2345">
        <w:rPr>
          <w:rFonts w:ascii="Times New Roman" w:hAnsi="Times New Roman" w:cs="Times New Roman"/>
        </w:rPr>
        <w:t xml:space="preserve">la necesidad de distinguir entre </w:t>
      </w:r>
      <w:r w:rsidRPr="005A2345">
        <w:rPr>
          <w:rFonts w:ascii="Times New Roman" w:hAnsi="Times New Roman" w:cs="Times New Roman"/>
          <w:color w:val="000000"/>
          <w:lang w:eastAsia="es-MX"/>
        </w:rPr>
        <w:t>los “asuntos referidos a conversaciones (…) y negociaciones con actores armados” y los “acuerdos” con estos grupos.</w:t>
      </w:r>
      <w:r w:rsidRPr="005A2345">
        <w:rPr>
          <w:rStyle w:val="Refdenotaalpie"/>
          <w:rFonts w:ascii="Times New Roman" w:hAnsi="Times New Roman" w:cs="Times New Roman"/>
          <w:color w:val="000000"/>
          <w:lang w:eastAsia="es-MX"/>
        </w:rPr>
        <w:footnoteReference w:id="88"/>
      </w:r>
      <w:r w:rsidRPr="005A2345">
        <w:rPr>
          <w:rFonts w:ascii="Times New Roman" w:hAnsi="Times New Roman" w:cs="Times New Roman"/>
          <w:color w:val="000000"/>
          <w:lang w:eastAsia="es-MX"/>
        </w:rPr>
        <w:t xml:space="preserve"> </w:t>
      </w:r>
      <w:r w:rsidRPr="005A2345">
        <w:rPr>
          <w:rFonts w:ascii="Times New Roman" w:hAnsi="Times New Roman" w:cs="Times New Roman"/>
          <w:color w:val="000000"/>
          <w:lang w:eastAsia="es-MX"/>
        </w:rPr>
        <w:t xml:space="preserve">Lo anterior, en razón de que </w:t>
      </w:r>
      <w:r w:rsidRPr="005A2345">
        <w:rPr>
          <w:rFonts w:ascii="Times New Roman" w:hAnsi="Times New Roman" w:cs="Times New Roman"/>
          <w:color w:val="000000"/>
          <w:lang w:eastAsia="es-MX"/>
        </w:rPr>
        <w:t>mientras para las fases de conversaciones y negociaciones</w:t>
      </w:r>
      <w:r w:rsidRPr="005A2345">
        <w:rPr>
          <w:rFonts w:ascii="Times New Roman" w:hAnsi="Times New Roman" w:cs="Times New Roman"/>
          <w:color w:val="000000"/>
          <w:lang w:eastAsia="es-MX"/>
        </w:rPr>
        <w:t xml:space="preserve"> la reserva </w:t>
      </w:r>
      <w:r w:rsidRPr="005A2345">
        <w:rPr>
          <w:rFonts w:ascii="Times New Roman" w:hAnsi="Times New Roman" w:cs="Times New Roman"/>
          <w:color w:val="000000"/>
          <w:lang w:eastAsia="es-MX"/>
        </w:rPr>
        <w:t>parec</w:t>
      </w:r>
      <w:r w:rsidRPr="005A2345">
        <w:rPr>
          <w:rFonts w:ascii="Times New Roman" w:hAnsi="Times New Roman" w:cs="Times New Roman"/>
          <w:color w:val="000000"/>
          <w:lang w:eastAsia="es-MX"/>
        </w:rPr>
        <w:t>ie</w:t>
      </w:r>
      <w:r w:rsidRPr="005A2345">
        <w:rPr>
          <w:rFonts w:ascii="Times New Roman" w:hAnsi="Times New Roman" w:cs="Times New Roman"/>
          <w:color w:val="000000"/>
          <w:lang w:eastAsia="es-MX"/>
        </w:rPr>
        <w:t>r</w:t>
      </w:r>
      <w:r w:rsidRPr="005A2345">
        <w:rPr>
          <w:rFonts w:ascii="Times New Roman" w:hAnsi="Times New Roman" w:cs="Times New Roman"/>
          <w:color w:val="000000"/>
          <w:lang w:eastAsia="es-MX"/>
        </w:rPr>
        <w:t>a ser una medida razonable y proporcional</w:t>
      </w:r>
      <w:r w:rsidRPr="005A2345">
        <w:rPr>
          <w:rFonts w:ascii="Times New Roman" w:hAnsi="Times New Roman" w:cs="Times New Roman"/>
          <w:color w:val="000000"/>
          <w:lang w:eastAsia="es-MX"/>
        </w:rPr>
        <w:t>,</w:t>
      </w:r>
      <w:r w:rsidRPr="005A2345">
        <w:rPr>
          <w:rFonts w:ascii="Times New Roman" w:hAnsi="Times New Roman" w:cs="Times New Roman"/>
          <w:color w:val="000000"/>
          <w:lang w:eastAsia="es-MX"/>
        </w:rPr>
        <w:t xml:space="preserve"> en el caso de los “acuerdos” </w:t>
      </w:r>
      <w:r w:rsidRPr="005A2345">
        <w:rPr>
          <w:rFonts w:ascii="Times New Roman" w:hAnsi="Times New Roman" w:cs="Times New Roman"/>
          <w:color w:val="000000"/>
          <w:lang w:eastAsia="es-MX"/>
        </w:rPr>
        <w:t>es</w:t>
      </w:r>
      <w:r w:rsidRPr="005A2345">
        <w:rPr>
          <w:rFonts w:ascii="Times New Roman" w:hAnsi="Times New Roman" w:cs="Times New Roman"/>
          <w:color w:val="000000"/>
          <w:lang w:eastAsia="es-MX"/>
        </w:rPr>
        <w:t xml:space="preserve"> una medida desproporcionada</w:t>
      </w:r>
      <w:r w:rsidRPr="005A2345">
        <w:rPr>
          <w:rFonts w:ascii="Times New Roman" w:hAnsi="Times New Roman" w:cs="Times New Roman"/>
          <w:color w:val="000000"/>
          <w:lang w:eastAsia="es-MX"/>
        </w:rPr>
        <w:t>, pues es la fase final de los proceso</w:t>
      </w:r>
      <w:r w:rsidRPr="005A2345">
        <w:rPr>
          <w:rFonts w:ascii="Times New Roman" w:hAnsi="Times New Roman" w:cs="Times New Roman"/>
          <w:color w:val="000000"/>
          <w:lang w:eastAsia="es-MX"/>
        </w:rPr>
        <w:t>s</w:t>
      </w:r>
      <w:r w:rsidRPr="005A2345">
        <w:rPr>
          <w:rFonts w:ascii="Times New Roman" w:hAnsi="Times New Roman" w:cs="Times New Roman"/>
          <w:color w:val="000000"/>
          <w:lang w:eastAsia="es-MX"/>
        </w:rPr>
        <w:t xml:space="preserve"> de paz, en los que se ha llegado a arreglos de acuerdo con la voluntad de las partes. </w:t>
      </w:r>
    </w:p>
    <w:p w:rsidR="00BA7601" w:rsidRPr="005A2345" w:rsidRDefault="005A2345" w:rsidP="00BA7601">
      <w:pPr>
        <w:pStyle w:val="Prrafodelista"/>
        <w:rPr>
          <w:rFonts w:ascii="Times New Roman" w:hAnsi="Times New Roman" w:cs="Times New Roman"/>
        </w:rPr>
      </w:pPr>
    </w:p>
    <w:p w:rsidR="006035EF"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En ese orden de ideas</w:t>
      </w:r>
      <w:r w:rsidRPr="005A2345">
        <w:rPr>
          <w:rFonts w:ascii="Times New Roman" w:hAnsi="Times New Roman" w:cs="Times New Roman"/>
        </w:rPr>
        <w:t>, l</w:t>
      </w:r>
      <w:r w:rsidRPr="005A2345">
        <w:rPr>
          <w:rFonts w:ascii="Times New Roman" w:hAnsi="Times New Roman" w:cs="Times New Roman"/>
        </w:rPr>
        <w:t>a</w:t>
      </w:r>
      <w:r w:rsidRPr="005A2345">
        <w:rPr>
          <w:rFonts w:ascii="Times New Roman" w:hAnsi="Times New Roman" w:cs="Times New Roman"/>
        </w:rPr>
        <w:t xml:space="preserve"> Sala pasará a analizar si la limitación, tal como se encuentra prevista en el parágrafo es una medida legítima</w:t>
      </w:r>
      <w:r w:rsidRPr="005A2345">
        <w:rPr>
          <w:rFonts w:ascii="Times New Roman" w:hAnsi="Times New Roman" w:cs="Times New Roman"/>
        </w:rPr>
        <w:t xml:space="preserve"> en el caso de las conversaciones y negociaciones. Posteriormente, se realizará el análisis correspondiente a los «acuerdos».</w:t>
      </w:r>
      <w:r w:rsidRPr="005A2345">
        <w:rPr>
          <w:rFonts w:ascii="Times New Roman" w:hAnsi="Times New Roman" w:cs="Times New Roman"/>
        </w:rPr>
        <w:t xml:space="preserve"> </w:t>
      </w:r>
    </w:p>
    <w:p w:rsidR="006035EF" w:rsidRPr="005A2345" w:rsidRDefault="005A2345" w:rsidP="006035EF">
      <w:pPr>
        <w:pStyle w:val="Prrafodelista"/>
        <w:rPr>
          <w:rFonts w:ascii="Times New Roman" w:hAnsi="Times New Roman" w:cs="Times New Roman"/>
          <w:lang w:val="es-ES_tradnl"/>
        </w:rPr>
      </w:pPr>
    </w:p>
    <w:p w:rsidR="00536208"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lang w:val="es-ES_tradnl"/>
        </w:rPr>
        <w:t xml:space="preserve">Para el efecto, </w:t>
      </w:r>
      <w:r w:rsidRPr="005A2345">
        <w:rPr>
          <w:rFonts w:ascii="Times New Roman" w:hAnsi="Times New Roman" w:cs="Times New Roman"/>
          <w:lang w:val="es-ES_tradnl"/>
        </w:rPr>
        <w:t>la Sala analizará la norma a la luz del test tripartito aplicado por la jurisprudencia constitucional cuando se trata de evaluar limitaciones o restricciones a los derechos a la libertad de expresión y de información.</w:t>
      </w:r>
      <w:r w:rsidRPr="005A2345">
        <w:rPr>
          <w:rStyle w:val="Refdenotaalpie"/>
          <w:rFonts w:ascii="Times New Roman" w:hAnsi="Times New Roman" w:cs="Times New Roman"/>
          <w:lang w:val="es-ES_tradnl"/>
        </w:rPr>
        <w:footnoteReference w:id="89"/>
      </w:r>
      <w:r w:rsidRPr="005A2345">
        <w:rPr>
          <w:rFonts w:ascii="Times New Roman" w:hAnsi="Times New Roman" w:cs="Times New Roman"/>
          <w:lang w:val="es-ES_tradnl"/>
        </w:rPr>
        <w:t xml:space="preserve"> Es preciso señalar que el test tripar</w:t>
      </w:r>
      <w:r w:rsidRPr="005A2345">
        <w:rPr>
          <w:rFonts w:ascii="Times New Roman" w:hAnsi="Times New Roman" w:cs="Times New Roman"/>
          <w:lang w:val="es-ES_tradnl"/>
        </w:rPr>
        <w:t>tito en sí mismo contiene los mismos elementos que la</w:t>
      </w:r>
      <w:r w:rsidRPr="005A2345">
        <w:rPr>
          <w:rFonts w:ascii="Times New Roman" w:hAnsi="Times New Roman" w:cs="Times New Roman"/>
          <w:lang w:val="es-ES_tradnl"/>
        </w:rPr>
        <w:t xml:space="preserve"> jurisprudencia constitucional reciente</w:t>
      </w:r>
      <w:r w:rsidRPr="005A2345">
        <w:rPr>
          <w:rFonts w:ascii="Times New Roman" w:hAnsi="Times New Roman" w:cs="Times New Roman"/>
          <w:lang w:val="es-ES_tradnl"/>
        </w:rPr>
        <w:t xml:space="preserve"> ha desarrollado sobre el test de proporcionalidad, particularmente, para este caso, </w:t>
      </w:r>
      <w:r w:rsidRPr="005A2345">
        <w:rPr>
          <w:rFonts w:ascii="Times New Roman" w:hAnsi="Times New Roman" w:cs="Times New Roman"/>
          <w:lang w:val="es-ES_tradnl"/>
        </w:rPr>
        <w:t>«el escrutinio estricto o fuerte </w:t>
      </w:r>
      <w:r w:rsidRPr="005A2345">
        <w:rPr>
          <w:rFonts w:ascii="Times New Roman" w:hAnsi="Times New Roman" w:cs="Times New Roman"/>
        </w:rPr>
        <w:t>evalúa (i) </w:t>
      </w:r>
      <w:bookmarkStart w:id="31" w:name="_Hlk146638145"/>
      <w:r w:rsidRPr="005A2345">
        <w:rPr>
          <w:rFonts w:ascii="Times New Roman" w:hAnsi="Times New Roman" w:cs="Times New Roman"/>
        </w:rPr>
        <w:t>si el fin perseguido por la norma e</w:t>
      </w:r>
      <w:r w:rsidRPr="005A2345">
        <w:rPr>
          <w:rFonts w:ascii="Times New Roman" w:hAnsi="Times New Roman" w:cs="Times New Roman"/>
        </w:rPr>
        <w:t xml:space="preserve">s imperioso; (ii) si el medio escogido, además de ser efectivamente conducente, es necesario, esto es, si no puede ser reemplazado por otros menos lesivos para los derechos de los sujetos pasivos de la norma; y, por último, (iii) </w:t>
      </w:r>
      <w:bookmarkStart w:id="32" w:name="_Hlk170202678"/>
      <w:r w:rsidRPr="005A2345">
        <w:rPr>
          <w:rFonts w:ascii="Times New Roman" w:hAnsi="Times New Roman" w:cs="Times New Roman"/>
        </w:rPr>
        <w:t>si los beneficios de adopt</w:t>
      </w:r>
      <w:r w:rsidRPr="005A2345">
        <w:rPr>
          <w:rFonts w:ascii="Times New Roman" w:hAnsi="Times New Roman" w:cs="Times New Roman"/>
        </w:rPr>
        <w:t>ar la medida exceden o no las restricciones impuestas sobre otros valores o principios constitucionales; es decir, si la medida es proporcional en sentido estricto</w:t>
      </w:r>
      <w:bookmarkEnd w:id="31"/>
      <w:bookmarkEnd w:id="32"/>
      <w:r w:rsidRPr="005A2345">
        <w:rPr>
          <w:rFonts w:ascii="Times New Roman" w:hAnsi="Times New Roman" w:cs="Times New Roman"/>
        </w:rPr>
        <w:t>.</w:t>
      </w:r>
      <w:r w:rsidRPr="005A2345">
        <w:rPr>
          <w:rStyle w:val="Refdenotaalpie"/>
          <w:rFonts w:ascii="Times New Roman" w:hAnsi="Times New Roman" w:cs="Times New Roman"/>
        </w:rPr>
        <w:footnoteReference w:id="90"/>
      </w:r>
      <w:r w:rsidRPr="005A2345">
        <w:rPr>
          <w:rFonts w:ascii="Times New Roman" w:hAnsi="Times New Roman" w:cs="Times New Roman"/>
        </w:rPr>
        <w:t xml:space="preserve"> En el caso del test tripartito se analiza si la medida que restringe el derecho cumple con</w:t>
      </w:r>
      <w:r w:rsidRPr="005A2345">
        <w:rPr>
          <w:rFonts w:ascii="Times New Roman" w:hAnsi="Times New Roman" w:cs="Times New Roman"/>
        </w:rPr>
        <w:t xml:space="preserve"> los siguientes elementos: (i) ser fijada en la ley; (ii) perseguir alguno de los fines legítimos establecidos en dicho artículo y; (iii) ser necesaria y proporcional a la consecución de ese fin.</w:t>
      </w:r>
    </w:p>
    <w:p w:rsidR="00A64DD5" w:rsidRPr="005A2345" w:rsidRDefault="005A2345" w:rsidP="00A64DD5">
      <w:pPr>
        <w:pStyle w:val="Prrafodelista"/>
        <w:rPr>
          <w:rFonts w:ascii="Times New Roman" w:hAnsi="Times New Roman" w:cs="Times New Roman"/>
        </w:rPr>
      </w:pPr>
    </w:p>
    <w:p w:rsidR="00DB476C"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i/>
        </w:rPr>
      </w:pPr>
      <w:r w:rsidRPr="005A2345">
        <w:rPr>
          <w:rFonts w:ascii="Times New Roman" w:hAnsi="Times New Roman" w:cs="Times New Roman"/>
          <w:i/>
        </w:rPr>
        <w:t xml:space="preserve">La medida está fijada en la ley. </w:t>
      </w:r>
      <w:r w:rsidRPr="005A2345">
        <w:rPr>
          <w:rFonts w:ascii="Times New Roman" w:hAnsi="Times New Roman" w:cs="Times New Roman"/>
          <w:iCs/>
        </w:rPr>
        <w:t xml:space="preserve">La Sala Plena observa que </w:t>
      </w:r>
      <w:r w:rsidRPr="005A2345">
        <w:rPr>
          <w:rFonts w:ascii="Times New Roman" w:hAnsi="Times New Roman" w:cs="Times New Roman"/>
          <w:iCs/>
        </w:rPr>
        <w:t>el parágrafo 1º del artículo 6º de la Ley 2272 establece la posibilidad de definir la reserva de ciertos asuntos, documentos e información sobre las conversaciones y negociaciones con actores armados</w:t>
      </w:r>
      <w:r w:rsidRPr="005A2345">
        <w:rPr>
          <w:rFonts w:ascii="Times New Roman" w:hAnsi="Times New Roman" w:cs="Times New Roman"/>
          <w:iCs/>
        </w:rPr>
        <w:t>.</w:t>
      </w:r>
      <w:r w:rsidRPr="005A2345">
        <w:rPr>
          <w:rFonts w:ascii="Times New Roman" w:hAnsi="Times New Roman" w:cs="Times New Roman"/>
          <w:iCs/>
        </w:rPr>
        <w:t xml:space="preserve"> Con base en ello, se cumple con este requisito, pues es</w:t>
      </w:r>
      <w:r w:rsidRPr="005A2345">
        <w:rPr>
          <w:rFonts w:ascii="Times New Roman" w:hAnsi="Times New Roman" w:cs="Times New Roman"/>
          <w:iCs/>
        </w:rPr>
        <w:t xml:space="preserve"> el mismo legislador</w:t>
      </w:r>
      <w:r w:rsidRPr="005A2345">
        <w:rPr>
          <w:rFonts w:ascii="Times New Roman" w:hAnsi="Times New Roman" w:cs="Times New Roman"/>
          <w:iCs/>
        </w:rPr>
        <w:t xml:space="preserve"> </w:t>
      </w:r>
      <w:r w:rsidRPr="005A2345">
        <w:rPr>
          <w:rFonts w:ascii="Times New Roman" w:hAnsi="Times New Roman" w:cs="Times New Roman"/>
          <w:iCs/>
        </w:rPr>
        <w:t xml:space="preserve">quien concede la posibilidad al sujeto responsable de la información, es decir, el </w:t>
      </w:r>
      <w:r w:rsidRPr="005A2345">
        <w:rPr>
          <w:rFonts w:ascii="Times New Roman" w:hAnsi="Times New Roman" w:cs="Times New Roman"/>
          <w:iCs/>
          <w:lang w:val="es-ES"/>
        </w:rPr>
        <w:t>Consejero Comisionado de Paz de definir, según la naturaleza de la documentación, si debe ser reservada o no. Todo ello, como se dijo más arriba, partie</w:t>
      </w:r>
      <w:r w:rsidRPr="005A2345">
        <w:rPr>
          <w:rFonts w:ascii="Times New Roman" w:hAnsi="Times New Roman" w:cs="Times New Roman"/>
          <w:iCs/>
          <w:lang w:val="es-ES"/>
        </w:rPr>
        <w:t>ndo de la base que, en principio, debe ser pública, salvo ciertos casos</w:t>
      </w:r>
      <w:r w:rsidRPr="005A2345">
        <w:rPr>
          <w:rFonts w:ascii="Times New Roman" w:hAnsi="Times New Roman" w:cs="Times New Roman"/>
          <w:iCs/>
          <w:lang w:val="es-ES"/>
        </w:rPr>
        <w:t>, toda vez que a</w:t>
      </w:r>
      <w:r w:rsidRPr="005A2345">
        <w:rPr>
          <w:rFonts w:ascii="Times New Roman" w:hAnsi="Times New Roman" w:cs="Times New Roman"/>
          <w:iCs/>
        </w:rPr>
        <w:t>nte la ausencia de reserva expresa, debe presumirse el derecho al acceso a la información y documentación, en virtud del principio de máxima divulgación.</w:t>
      </w:r>
      <w:r w:rsidRPr="005A2345">
        <w:rPr>
          <w:rFonts w:ascii="Times New Roman" w:hAnsi="Times New Roman" w:cs="Times New Roman"/>
          <w:vertAlign w:val="superscript"/>
        </w:rPr>
        <w:footnoteReference w:id="91"/>
      </w:r>
      <w:r w:rsidRPr="005A2345">
        <w:rPr>
          <w:rFonts w:ascii="Times New Roman" w:hAnsi="Times New Roman" w:cs="Times New Roman"/>
          <w:iCs/>
        </w:rPr>
        <w:t xml:space="preserve"> En ese orden, </w:t>
      </w:r>
      <w:r w:rsidRPr="005A2345">
        <w:rPr>
          <w:rFonts w:ascii="Times New Roman" w:hAnsi="Times New Roman" w:cs="Times New Roman"/>
          <w:iCs/>
        </w:rPr>
        <w:t>como se explicará más adelante, la Sala anticipa que puede existir una interpretación de la norma que</w:t>
      </w:r>
      <w:r w:rsidRPr="005A2345">
        <w:rPr>
          <w:rFonts w:ascii="Times New Roman" w:hAnsi="Times New Roman" w:cs="Times New Roman"/>
          <w:iCs/>
        </w:rPr>
        <w:t xml:space="preserve"> </w:t>
      </w:r>
      <w:r w:rsidRPr="005A2345">
        <w:rPr>
          <w:rFonts w:ascii="Times New Roman" w:hAnsi="Times New Roman" w:cs="Times New Roman"/>
          <w:iCs/>
        </w:rPr>
        <w:t xml:space="preserve">permite la amplia discrecionalidad de la autoridad para definir la reserva. Por lo anterior, es clave que </w:t>
      </w:r>
      <w:r w:rsidRPr="005A2345">
        <w:rPr>
          <w:rFonts w:ascii="Times New Roman" w:hAnsi="Times New Roman" w:cs="Times New Roman"/>
          <w:iCs/>
        </w:rPr>
        <w:t xml:space="preserve">la eventual reserva </w:t>
      </w:r>
      <w:r w:rsidRPr="005A2345">
        <w:rPr>
          <w:rFonts w:ascii="Times New Roman" w:hAnsi="Times New Roman" w:cs="Times New Roman"/>
          <w:iCs/>
        </w:rPr>
        <w:t>se sustente en los parámetro</w:t>
      </w:r>
      <w:r w:rsidRPr="005A2345">
        <w:rPr>
          <w:rFonts w:ascii="Times New Roman" w:hAnsi="Times New Roman" w:cs="Times New Roman"/>
          <w:iCs/>
        </w:rPr>
        <w:t>s de las normas estatutarias vigentes</w:t>
      </w:r>
      <w:r w:rsidRPr="005A2345">
        <w:rPr>
          <w:rFonts w:ascii="Times New Roman" w:hAnsi="Times New Roman" w:cs="Times New Roman"/>
          <w:iCs/>
        </w:rPr>
        <w:t>, y así evitar</w:t>
      </w:r>
      <w:r w:rsidRPr="005A2345">
        <w:rPr>
          <w:rFonts w:ascii="Times New Roman" w:hAnsi="Times New Roman" w:cs="Times New Roman"/>
          <w:iCs/>
        </w:rPr>
        <w:t xml:space="preserve"> una alta</w:t>
      </w:r>
      <w:r w:rsidRPr="005A2345">
        <w:rPr>
          <w:rFonts w:ascii="Times New Roman" w:hAnsi="Times New Roman" w:cs="Times New Roman"/>
          <w:iCs/>
        </w:rPr>
        <w:t xml:space="preserve"> discrecionalidad.</w:t>
      </w:r>
    </w:p>
    <w:p w:rsidR="00DB476C" w:rsidRPr="005A2345" w:rsidRDefault="005A2345" w:rsidP="0053503A">
      <w:pPr>
        <w:pStyle w:val="Prrafodelista"/>
        <w:tabs>
          <w:tab w:val="left" w:pos="426"/>
        </w:tabs>
        <w:spacing w:after="0" w:line="240" w:lineRule="auto"/>
        <w:ind w:left="0"/>
        <w:jc w:val="both"/>
        <w:rPr>
          <w:rFonts w:ascii="Times New Roman" w:hAnsi="Times New Roman" w:cs="Times New Roman"/>
          <w:iCs/>
        </w:rPr>
      </w:pPr>
    </w:p>
    <w:p w:rsidR="0065075F"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i/>
        </w:rPr>
        <w:t>Los fines perseguidos por la norma son imperiosos</w:t>
      </w:r>
      <w:r w:rsidRPr="005A2345">
        <w:rPr>
          <w:rFonts w:ascii="Times New Roman" w:hAnsi="Times New Roman" w:cs="Times New Roman"/>
        </w:rPr>
        <w:t xml:space="preserve">. </w:t>
      </w:r>
      <w:r w:rsidRPr="005A2345">
        <w:rPr>
          <w:rFonts w:ascii="Times New Roman" w:hAnsi="Times New Roman" w:cs="Times New Roman"/>
        </w:rPr>
        <w:t xml:space="preserve">El parágrafo </w:t>
      </w:r>
      <w:r w:rsidRPr="005A2345">
        <w:rPr>
          <w:rFonts w:ascii="Times New Roman" w:hAnsi="Times New Roman" w:cs="Times New Roman"/>
        </w:rPr>
        <w:t>no contempla expresamente el motivo de la reserva</w:t>
      </w:r>
      <w:r w:rsidRPr="005A2345">
        <w:rPr>
          <w:rFonts w:ascii="Times New Roman" w:hAnsi="Times New Roman" w:cs="Times New Roman"/>
        </w:rPr>
        <w:t>;</w:t>
      </w:r>
      <w:r w:rsidRPr="005A2345">
        <w:rPr>
          <w:rFonts w:ascii="Times New Roman" w:hAnsi="Times New Roman" w:cs="Times New Roman"/>
        </w:rPr>
        <w:t xml:space="preserve"> esto es</w:t>
      </w:r>
      <w:r w:rsidRPr="005A2345">
        <w:rPr>
          <w:rFonts w:ascii="Times New Roman" w:hAnsi="Times New Roman" w:cs="Times New Roman"/>
        </w:rPr>
        <w:t>,</w:t>
      </w:r>
      <w:r w:rsidRPr="005A2345">
        <w:rPr>
          <w:rFonts w:ascii="Times New Roman" w:hAnsi="Times New Roman" w:cs="Times New Roman"/>
        </w:rPr>
        <w:t xml:space="preserve"> precisamente, porque es la excepción a la regla general de los asuntos que trate el Gabinete de Paz</w:t>
      </w:r>
      <w:r w:rsidRPr="005A2345">
        <w:rPr>
          <w:rFonts w:ascii="Times New Roman" w:hAnsi="Times New Roman" w:cs="Times New Roman"/>
        </w:rPr>
        <w:t>, pues como lo sostiene la jurisprudencia constitucional «</w:t>
      </w:r>
      <w:r w:rsidRPr="005A2345">
        <w:rPr>
          <w:rFonts w:ascii="Times New Roman" w:hAnsi="Times New Roman" w:cs="Times New Roman"/>
        </w:rPr>
        <w:t>dónde quiera que no exista reserva legal expresa debe imperar el derecho fundamental de acceso a l</w:t>
      </w:r>
      <w:r w:rsidRPr="005A2345">
        <w:rPr>
          <w:rFonts w:ascii="Times New Roman" w:hAnsi="Times New Roman" w:cs="Times New Roman"/>
        </w:rPr>
        <w:t>a información».</w:t>
      </w:r>
      <w:r w:rsidRPr="005A2345">
        <w:rPr>
          <w:rStyle w:val="Refdenotaalpie"/>
          <w:rFonts w:ascii="Times New Roman" w:hAnsi="Times New Roman" w:cs="Times New Roman"/>
        </w:rPr>
        <w:footnoteReference w:id="92"/>
      </w:r>
      <w:r w:rsidRPr="005A2345">
        <w:rPr>
          <w:rFonts w:ascii="Times New Roman" w:hAnsi="Times New Roman" w:cs="Times New Roman"/>
        </w:rPr>
        <w:t xml:space="preserve"> </w:t>
      </w:r>
      <w:r w:rsidRPr="005A2345">
        <w:rPr>
          <w:rFonts w:ascii="Times New Roman" w:hAnsi="Times New Roman" w:cs="Times New Roman"/>
        </w:rPr>
        <w:t xml:space="preserve">Además, la Sala estima que «no es posible establecer </w:t>
      </w:r>
      <w:r w:rsidRPr="005A2345">
        <w:rPr>
          <w:rFonts w:ascii="Times New Roman" w:hAnsi="Times New Roman" w:cs="Times New Roman"/>
          <w:i/>
        </w:rPr>
        <w:t>a priori</w:t>
      </w:r>
      <w:r w:rsidRPr="005A2345">
        <w:rPr>
          <w:rFonts w:ascii="Times New Roman" w:hAnsi="Times New Roman" w:cs="Times New Roman"/>
        </w:rPr>
        <w:t xml:space="preserve"> un catálogo cerrado de circunstancias en las cuales la publicidad»</w:t>
      </w:r>
      <w:r w:rsidRPr="005A2345">
        <w:rPr>
          <w:rStyle w:val="Refdenotaalpie"/>
          <w:rFonts w:ascii="Times New Roman" w:hAnsi="Times New Roman" w:cs="Times New Roman"/>
        </w:rPr>
        <w:footnoteReference w:id="93"/>
      </w:r>
      <w:r w:rsidRPr="005A2345">
        <w:rPr>
          <w:rFonts w:ascii="Times New Roman" w:hAnsi="Times New Roman" w:cs="Times New Roman"/>
        </w:rPr>
        <w:t xml:space="preserve"> de los procesos que se adelanten con los grupos armados con miras a alcanzar la paz implican perjuicio o amen</w:t>
      </w:r>
      <w:r w:rsidRPr="005A2345">
        <w:rPr>
          <w:rFonts w:ascii="Times New Roman" w:hAnsi="Times New Roman" w:cs="Times New Roman"/>
        </w:rPr>
        <w:t xml:space="preserve">aza de tales intereses. </w:t>
      </w:r>
    </w:p>
    <w:p w:rsidR="0065075F" w:rsidRPr="005A2345" w:rsidRDefault="005A2345" w:rsidP="0065075F">
      <w:pPr>
        <w:pStyle w:val="Prrafodelista"/>
        <w:rPr>
          <w:rFonts w:ascii="Times New Roman" w:hAnsi="Times New Roman" w:cs="Times New Roman"/>
        </w:rPr>
      </w:pPr>
    </w:p>
    <w:p w:rsidR="004C6711"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Sin embargo, la mayoría de los intervinientes coincidieron que</w:t>
      </w:r>
      <w:r w:rsidRPr="005A2345">
        <w:rPr>
          <w:rFonts w:ascii="Times New Roman" w:hAnsi="Times New Roman" w:cs="Times New Roman"/>
        </w:rPr>
        <w:t>,</w:t>
      </w:r>
      <w:r w:rsidRPr="005A2345">
        <w:rPr>
          <w:rFonts w:ascii="Times New Roman" w:hAnsi="Times New Roman" w:cs="Times New Roman"/>
        </w:rPr>
        <w:t xml:space="preserve"> en el contexto normativo en el que se inserta, la reserva de información que sea invocada puede estar motivada en la protección de</w:t>
      </w:r>
      <w:r w:rsidRPr="005A2345">
        <w:rPr>
          <w:rFonts w:ascii="Times New Roman" w:hAnsi="Times New Roman" w:cs="Times New Roman"/>
        </w:rPr>
        <w:t xml:space="preserve"> la vida y seguridad de personas inv</w:t>
      </w:r>
      <w:r w:rsidRPr="005A2345">
        <w:rPr>
          <w:rFonts w:ascii="Times New Roman" w:hAnsi="Times New Roman" w:cs="Times New Roman"/>
        </w:rPr>
        <w:t>olucradas, la defensa y seguridad nacional y la consecución de la paz</w:t>
      </w:r>
      <w:r w:rsidRPr="005A2345">
        <w:rPr>
          <w:rFonts w:ascii="Times New Roman" w:hAnsi="Times New Roman" w:cs="Times New Roman"/>
        </w:rPr>
        <w:t>, este último como un motivo de interés público</w:t>
      </w:r>
      <w:r w:rsidRPr="005A2345">
        <w:rPr>
          <w:rFonts w:ascii="Times New Roman" w:hAnsi="Times New Roman" w:cs="Times New Roman"/>
        </w:rPr>
        <w:t>.</w:t>
      </w:r>
      <w:r w:rsidRPr="005A2345">
        <w:rPr>
          <w:rStyle w:val="Refdenotaalpie"/>
          <w:rFonts w:ascii="Times New Roman" w:hAnsi="Times New Roman" w:cs="Times New Roman"/>
        </w:rPr>
        <w:footnoteReference w:id="94"/>
      </w:r>
      <w:r w:rsidRPr="005A2345">
        <w:rPr>
          <w:rFonts w:ascii="Times New Roman" w:hAnsi="Times New Roman" w:cs="Times New Roman"/>
        </w:rPr>
        <w:t xml:space="preserve"> De ese modo, una interpretación sistemática de la norma acusada permite concluir que el Gabinete de Paz</w:t>
      </w:r>
      <w:r w:rsidRPr="005A2345">
        <w:rPr>
          <w:rFonts w:ascii="Times New Roman" w:hAnsi="Times New Roman" w:cs="Times New Roman"/>
        </w:rPr>
        <w:t xml:space="preserve"> -y particularmente,</w:t>
      </w:r>
      <w:r w:rsidRPr="005A2345">
        <w:rPr>
          <w:rFonts w:ascii="Times New Roman" w:hAnsi="Times New Roman" w:cs="Times New Roman"/>
          <w:iCs/>
          <w:szCs w:val="24"/>
          <w:lang w:val="es-ES" w:eastAsia="es-MX"/>
        </w:rPr>
        <w:t xml:space="preserve"> </w:t>
      </w:r>
      <w:r w:rsidRPr="005A2345">
        <w:rPr>
          <w:rFonts w:ascii="Times New Roman" w:hAnsi="Times New Roman" w:cs="Times New Roman"/>
          <w:iCs/>
          <w:lang w:val="es-ES"/>
        </w:rPr>
        <w:t>Consejero Com</w:t>
      </w:r>
      <w:r w:rsidRPr="005A2345">
        <w:rPr>
          <w:rFonts w:ascii="Times New Roman" w:hAnsi="Times New Roman" w:cs="Times New Roman"/>
          <w:iCs/>
          <w:lang w:val="es-ES"/>
        </w:rPr>
        <w:t xml:space="preserve">isionado de Paz- </w:t>
      </w:r>
      <w:r w:rsidRPr="005A2345">
        <w:rPr>
          <w:rFonts w:ascii="Times New Roman" w:hAnsi="Times New Roman" w:cs="Times New Roman"/>
        </w:rPr>
        <w:t>como sujeto obligado de la información y documentación, tiene la potestad de clasificar la información bajo reserva de acuerdo con lo establecido en los artículos 18 y 19 de la Ley 1712 de 2014, como información exceptuada.</w:t>
      </w:r>
    </w:p>
    <w:p w:rsidR="004C6711" w:rsidRPr="005A2345" w:rsidRDefault="005A2345" w:rsidP="004C6711">
      <w:pPr>
        <w:pStyle w:val="Prrafodelista"/>
        <w:rPr>
          <w:rFonts w:ascii="Times New Roman" w:hAnsi="Times New Roman" w:cs="Times New Roman"/>
        </w:rPr>
      </w:pPr>
    </w:p>
    <w:p w:rsidR="004C6711"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En efecto, tal como lo reconoció la Corte en la sentencia C-525 de 2023, la cual analizó una demanda contra el artículo 5 de la Ley 2272 de 2022, la potestad del Gobierno nacional de entablar negociaciones y acercamientos se fundamenta en el artículo 189.4</w:t>
      </w:r>
      <w:r w:rsidRPr="005A2345">
        <w:rPr>
          <w:rFonts w:ascii="Times New Roman" w:hAnsi="Times New Roman" w:cs="Times New Roman"/>
        </w:rPr>
        <w:t xml:space="preserve"> de la Constitución Política, el cual </w:t>
      </w:r>
      <w:r w:rsidRPr="005A2345">
        <w:rPr>
          <w:rFonts w:ascii="Times New Roman" w:hAnsi="Times New Roman" w:cs="Times New Roman"/>
          <w:lang w:val="es-ES"/>
        </w:rPr>
        <w:t>«permite el recurso a vías pacíficas para la solución de conflictos y a respuesta alternativas para el fin de la criminalidad organizada, al tiempo que garantiza al presidente de la República las herramientas necesaria</w:t>
      </w:r>
      <w:r w:rsidRPr="005A2345">
        <w:rPr>
          <w:rFonts w:ascii="Times New Roman" w:hAnsi="Times New Roman" w:cs="Times New Roman"/>
          <w:lang w:val="es-ES"/>
        </w:rPr>
        <w:t xml:space="preserve">s para mantener el orden público y las condiciones de seguridad de todas las personas». De esa manera, la Sala estima que </w:t>
      </w:r>
      <w:r w:rsidRPr="005A2345">
        <w:rPr>
          <w:rFonts w:ascii="Times New Roman" w:hAnsi="Times New Roman" w:cs="Times New Roman"/>
          <w:color w:val="000000"/>
          <w:lang w:val="es-ES" w:eastAsia="en-US"/>
        </w:rPr>
        <w:t>el carácter reservado de ciertos documentos e información llegada al conocimiento del Gabinete de Paz o salida de este se justifica en</w:t>
      </w:r>
      <w:r w:rsidRPr="005A2345">
        <w:rPr>
          <w:rFonts w:ascii="Times New Roman" w:hAnsi="Times New Roman" w:cs="Times New Roman"/>
          <w:color w:val="000000"/>
          <w:lang w:val="es-ES" w:eastAsia="en-US"/>
        </w:rPr>
        <w:t xml:space="preserve"> que algunos aspectos de las negociaciones y conversaciones con los GAOML y EAOCAI pueden estar intrínsecamente relacionadas con la seguridad pública, y, en tal virtud, se adecúan a la excepción al principio de máxima divulgación de la información pública </w:t>
      </w:r>
      <w:r w:rsidRPr="005A2345">
        <w:rPr>
          <w:rFonts w:ascii="Times New Roman" w:hAnsi="Times New Roman" w:cs="Times New Roman"/>
          <w:color w:val="000000"/>
          <w:lang w:val="es-ES" w:eastAsia="en-US"/>
        </w:rPr>
        <w:t>(artículo 19 de la Ley 1712 de 2014).</w:t>
      </w:r>
    </w:p>
    <w:p w:rsidR="00B14494" w:rsidRPr="005A2345" w:rsidRDefault="005A2345" w:rsidP="00B14494">
      <w:pPr>
        <w:pStyle w:val="Prrafodelista"/>
        <w:tabs>
          <w:tab w:val="left" w:pos="426"/>
        </w:tabs>
        <w:spacing w:after="0" w:line="240" w:lineRule="auto"/>
        <w:ind w:left="0"/>
        <w:jc w:val="both"/>
        <w:rPr>
          <w:rFonts w:ascii="Times New Roman" w:hAnsi="Times New Roman" w:cs="Times New Roman"/>
        </w:rPr>
      </w:pPr>
    </w:p>
    <w:p w:rsidR="00B14494"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 De manera que el verbo “podrán” del parágrafo demandado permite a la autoridad clasificar la información que tenga bajo su poder y</w:t>
      </w:r>
      <w:r w:rsidRPr="005A2345">
        <w:rPr>
          <w:rFonts w:ascii="Times New Roman" w:hAnsi="Times New Roman" w:cs="Times New Roman"/>
        </w:rPr>
        <w:t>,</w:t>
      </w:r>
      <w:r w:rsidRPr="005A2345">
        <w:rPr>
          <w:rFonts w:ascii="Times New Roman" w:hAnsi="Times New Roman" w:cs="Times New Roman"/>
        </w:rPr>
        <w:t xml:space="preserve"> ante una solicitud ciudadana, argumentar en cada caso el carácter reservado de la in</w:t>
      </w:r>
      <w:r w:rsidRPr="005A2345">
        <w:rPr>
          <w:rFonts w:ascii="Times New Roman" w:hAnsi="Times New Roman" w:cs="Times New Roman"/>
        </w:rPr>
        <w:t>formación</w:t>
      </w:r>
      <w:r w:rsidRPr="005A2345">
        <w:rPr>
          <w:rFonts w:ascii="Times New Roman" w:hAnsi="Times New Roman" w:cs="Times New Roman"/>
        </w:rPr>
        <w:t xml:space="preserve"> y la documentación respectiva, que deberá ser</w:t>
      </w:r>
      <w:r w:rsidRPr="005A2345">
        <w:rPr>
          <w:rFonts w:ascii="Times New Roman" w:hAnsi="Times New Roman" w:cs="Times New Roman"/>
        </w:rPr>
        <w:t xml:space="preserve"> motivad</w:t>
      </w:r>
      <w:r w:rsidRPr="005A2345">
        <w:rPr>
          <w:rFonts w:ascii="Times New Roman" w:hAnsi="Times New Roman" w:cs="Times New Roman"/>
        </w:rPr>
        <w:t>o</w:t>
      </w:r>
      <w:r w:rsidRPr="005A2345">
        <w:rPr>
          <w:rFonts w:ascii="Times New Roman" w:hAnsi="Times New Roman" w:cs="Times New Roman"/>
        </w:rPr>
        <w:t xml:space="preserve"> en las excepciones de la ley estatutaria. Además, el </w:t>
      </w:r>
      <w:r w:rsidRPr="005A2345">
        <w:rPr>
          <w:rFonts w:ascii="Times New Roman" w:hAnsi="Times New Roman" w:cs="Times New Roman"/>
          <w:lang w:val="es-ES"/>
        </w:rPr>
        <w:t>Consejero Comisionado de Paz</w:t>
      </w:r>
      <w:r w:rsidRPr="005A2345">
        <w:rPr>
          <w:rFonts w:ascii="Times New Roman" w:hAnsi="Times New Roman" w:cs="Times New Roman"/>
        </w:rPr>
        <w:t xml:space="preserve"> </w:t>
      </w:r>
      <w:r w:rsidRPr="005A2345">
        <w:rPr>
          <w:rFonts w:ascii="Times New Roman" w:hAnsi="Times New Roman" w:cs="Times New Roman"/>
        </w:rPr>
        <w:t>deberá demostrar con precisión «</w:t>
      </w:r>
      <w:r w:rsidRPr="005A2345">
        <w:rPr>
          <w:rFonts w:ascii="Times New Roman" w:hAnsi="Times New Roman" w:cs="Times New Roman"/>
          <w:lang w:val="es-ES_tradnl"/>
        </w:rPr>
        <w:t>los riesgos reales, probables y específicos de dañar el interés protegido, co</w:t>
      </w:r>
      <w:r w:rsidRPr="005A2345">
        <w:rPr>
          <w:rFonts w:ascii="Times New Roman" w:hAnsi="Times New Roman" w:cs="Times New Roman"/>
          <w:lang w:val="es-ES_tradnl"/>
        </w:rPr>
        <w:t>mo en qué sentido el acceso a la información produce un daño significativo»</w:t>
      </w:r>
      <w:r w:rsidRPr="005A2345">
        <w:rPr>
          <w:rFonts w:ascii="Times New Roman" w:hAnsi="Times New Roman" w:cs="Times New Roman"/>
          <w:lang w:val="es-ES_tradnl"/>
        </w:rPr>
        <w:t xml:space="preserve"> y la necesidad de la medida</w:t>
      </w:r>
      <w:r w:rsidRPr="005A2345">
        <w:rPr>
          <w:rFonts w:ascii="Times New Roman" w:hAnsi="Times New Roman" w:cs="Times New Roman"/>
          <w:lang w:val="es-ES_tradnl"/>
        </w:rPr>
        <w:t>.</w:t>
      </w:r>
      <w:r w:rsidRPr="005A2345">
        <w:rPr>
          <w:rStyle w:val="Refdenotaalpie"/>
          <w:rFonts w:ascii="Times New Roman" w:hAnsi="Times New Roman" w:cs="Times New Roman"/>
          <w:lang w:val="es-ES_tradnl"/>
        </w:rPr>
        <w:footnoteReference w:id="95"/>
      </w:r>
    </w:p>
    <w:p w:rsidR="00046FD3" w:rsidRPr="005A2345" w:rsidRDefault="005A2345" w:rsidP="00046FD3">
      <w:pPr>
        <w:pStyle w:val="Prrafodelista"/>
        <w:rPr>
          <w:rFonts w:ascii="Times New Roman" w:hAnsi="Times New Roman" w:cs="Times New Roman"/>
        </w:rPr>
      </w:pPr>
    </w:p>
    <w:p w:rsidR="004B6598"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color w:val="000000"/>
          <w:lang w:val="es-ES" w:eastAsia="en-US"/>
        </w:rPr>
      </w:pPr>
      <w:r w:rsidRPr="005A2345">
        <w:rPr>
          <w:rFonts w:ascii="Times New Roman" w:hAnsi="Times New Roman" w:cs="Times New Roman"/>
        </w:rPr>
        <w:t>Acorde con ello, la Sala Plena considera que la posibilidad de establecer una reserva de información en los asuntos relacionados con</w:t>
      </w:r>
      <w:r w:rsidRPr="005A2345">
        <w:rPr>
          <w:rFonts w:ascii="Times New Roman" w:hAnsi="Times New Roman" w:cs="Times New Roman"/>
        </w:rPr>
        <w:t xml:space="preserve"> las conversacion</w:t>
      </w:r>
      <w:r w:rsidRPr="005A2345">
        <w:rPr>
          <w:rFonts w:ascii="Times New Roman" w:hAnsi="Times New Roman" w:cs="Times New Roman"/>
        </w:rPr>
        <w:t xml:space="preserve">es y negociaciones con actores armados que se traten en las sesiones del Gabinete de Paz, así como la información y documentos que se expidan en esta materia, persigue fines constitucionalmente </w:t>
      </w:r>
      <w:r w:rsidRPr="005A2345">
        <w:rPr>
          <w:rFonts w:ascii="Times New Roman" w:hAnsi="Times New Roman" w:cs="Times New Roman"/>
        </w:rPr>
        <w:t>importantes e imperiosos</w:t>
      </w:r>
      <w:r w:rsidRPr="005A2345">
        <w:rPr>
          <w:rFonts w:ascii="Times New Roman" w:hAnsi="Times New Roman" w:cs="Times New Roman"/>
        </w:rPr>
        <w:t xml:space="preserve">. </w:t>
      </w:r>
    </w:p>
    <w:p w:rsidR="004C6711" w:rsidRPr="005A2345" w:rsidRDefault="005A2345" w:rsidP="004C6711">
      <w:pPr>
        <w:pStyle w:val="Prrafodelista"/>
        <w:tabs>
          <w:tab w:val="left" w:pos="426"/>
        </w:tabs>
        <w:spacing w:after="0" w:line="240" w:lineRule="auto"/>
        <w:ind w:left="0"/>
        <w:jc w:val="both"/>
        <w:rPr>
          <w:rFonts w:ascii="Times New Roman" w:hAnsi="Times New Roman" w:cs="Times New Roman"/>
          <w:color w:val="000000"/>
          <w:lang w:val="es-ES" w:eastAsia="en-US"/>
        </w:rPr>
      </w:pPr>
    </w:p>
    <w:p w:rsidR="005C2740"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color w:val="000000"/>
          <w:lang w:val="es-ES" w:eastAsia="en-US"/>
        </w:rPr>
      </w:pPr>
      <w:r w:rsidRPr="005A2345">
        <w:rPr>
          <w:rFonts w:ascii="Times New Roman" w:hAnsi="Times New Roman" w:cs="Times New Roman"/>
        </w:rPr>
        <w:t>No obstante</w:t>
      </w:r>
      <w:r w:rsidRPr="005A2345">
        <w:rPr>
          <w:rFonts w:ascii="Times New Roman" w:hAnsi="Times New Roman" w:cs="Times New Roman"/>
        </w:rPr>
        <w:t xml:space="preserve"> lo anterior</w:t>
      </w:r>
      <w:r w:rsidRPr="005A2345">
        <w:rPr>
          <w:rFonts w:ascii="Times New Roman" w:hAnsi="Times New Roman" w:cs="Times New Roman"/>
        </w:rPr>
        <w:t>, estos</w:t>
      </w:r>
      <w:r w:rsidRPr="005A2345">
        <w:rPr>
          <w:rFonts w:ascii="Times New Roman" w:hAnsi="Times New Roman" w:cs="Times New Roman"/>
        </w:rPr>
        <w:t xml:space="preserve"> no pueden ser invocados de forma abstracta, sino que</w:t>
      </w:r>
      <w:r w:rsidRPr="005A2345">
        <w:rPr>
          <w:rFonts w:ascii="Times New Roman" w:hAnsi="Times New Roman" w:cs="Times New Roman"/>
        </w:rPr>
        <w:t xml:space="preserve"> deben ser motivados y demostrados suficientemente en cada caso y cumpliendo las obligaciones dispuestas en la ley estatutaria 1712 de 2014.</w:t>
      </w:r>
      <w:r w:rsidRPr="005A2345">
        <w:rPr>
          <w:rFonts w:ascii="Times New Roman" w:hAnsi="Times New Roman" w:cs="Times New Roman"/>
          <w:color w:val="000000"/>
          <w:lang w:val="es-ES" w:eastAsia="en-US"/>
        </w:rPr>
        <w:t xml:space="preserve"> </w:t>
      </w:r>
      <w:r w:rsidRPr="005A2345">
        <w:rPr>
          <w:rFonts w:ascii="Times New Roman" w:hAnsi="Times New Roman" w:cs="Times New Roman"/>
        </w:rPr>
        <w:t xml:space="preserve">Conforme a ello, debe recordarse que los peticionarios tienen </w:t>
      </w:r>
      <w:r w:rsidRPr="005A2345">
        <w:rPr>
          <w:rFonts w:ascii="Times New Roman" w:hAnsi="Times New Roman" w:cs="Times New Roman"/>
        </w:rPr>
        <w:t xml:space="preserve">a su disposición el recurso de insistencia en caso de que la autoridad no cumpla con la carga de motivación de la calidad de la información que invoca reservada, o el ciudadano considera que, a pesar de eso, puede ser divulgada parcialmente. </w:t>
      </w:r>
    </w:p>
    <w:p w:rsidR="00381E27" w:rsidRPr="005A2345" w:rsidRDefault="005A2345" w:rsidP="00381E27">
      <w:pPr>
        <w:pStyle w:val="Prrafodelista"/>
        <w:rPr>
          <w:rFonts w:ascii="Times New Roman" w:hAnsi="Times New Roman" w:cs="Times New Roman"/>
          <w:color w:val="000000"/>
          <w:lang w:val="es-ES" w:eastAsia="en-US"/>
        </w:rPr>
      </w:pPr>
    </w:p>
    <w:p w:rsidR="00381E27" w:rsidRPr="005A2345" w:rsidRDefault="005A2345" w:rsidP="00BF5A13">
      <w:pPr>
        <w:pStyle w:val="Prrafodelista"/>
        <w:numPr>
          <w:ilvl w:val="0"/>
          <w:numId w:val="5"/>
        </w:numPr>
        <w:tabs>
          <w:tab w:val="left" w:pos="426"/>
        </w:tabs>
        <w:spacing w:after="0" w:line="240" w:lineRule="auto"/>
        <w:ind w:left="0" w:firstLine="0"/>
        <w:jc w:val="both"/>
        <w:rPr>
          <w:rFonts w:ascii="Times New Roman" w:hAnsi="Times New Roman" w:cs="Times New Roman"/>
          <w:color w:val="000000"/>
          <w:lang w:eastAsia="en-US"/>
        </w:rPr>
      </w:pPr>
      <w:r w:rsidRPr="005A2345">
        <w:rPr>
          <w:rFonts w:ascii="Times New Roman" w:hAnsi="Times New Roman" w:cs="Times New Roman"/>
          <w:color w:val="000000"/>
          <w:lang w:val="es-ES" w:eastAsia="en-US"/>
        </w:rPr>
        <w:t>A lo anterio</w:t>
      </w:r>
      <w:r w:rsidRPr="005A2345">
        <w:rPr>
          <w:rFonts w:ascii="Times New Roman" w:hAnsi="Times New Roman" w:cs="Times New Roman"/>
          <w:color w:val="000000"/>
          <w:lang w:val="es-ES" w:eastAsia="en-US"/>
        </w:rPr>
        <w:t xml:space="preserve">r cabe resaltar que, </w:t>
      </w:r>
      <w:r w:rsidRPr="005A2345">
        <w:rPr>
          <w:rFonts w:ascii="Times New Roman" w:hAnsi="Times New Roman" w:cs="Times New Roman"/>
          <w:color w:val="000000"/>
          <w:lang w:val="es-ES" w:eastAsia="en-US"/>
        </w:rPr>
        <w:t xml:space="preserve">el artículo 21 de la Ley 1712 de 2014 establece que las excepciones de acceso a la información no son aplicables a </w:t>
      </w:r>
      <w:r w:rsidRPr="005A2345">
        <w:rPr>
          <w:rFonts w:ascii="Times New Roman" w:hAnsi="Times New Roman" w:cs="Times New Roman"/>
          <w:color w:val="000000"/>
          <w:lang w:eastAsia="en-US"/>
        </w:rPr>
        <w:t>«casos de violación de derechos humanos o delitos de lesa humanidad, y en todo caso deberán protegerse los derechos de l</w:t>
      </w:r>
      <w:r w:rsidRPr="005A2345">
        <w:rPr>
          <w:rFonts w:ascii="Times New Roman" w:hAnsi="Times New Roman" w:cs="Times New Roman"/>
          <w:color w:val="000000"/>
          <w:lang w:eastAsia="en-US"/>
        </w:rPr>
        <w:t xml:space="preserve">as víctimas de dichas violaciones». En igual sentido, y </w:t>
      </w:r>
      <w:r w:rsidRPr="005A2345">
        <w:rPr>
          <w:rFonts w:ascii="Times New Roman" w:hAnsi="Times New Roman" w:cs="Times New Roman"/>
          <w:color w:val="000000"/>
          <w:lang w:val="es-ES" w:eastAsia="en-US"/>
        </w:rPr>
        <w:t xml:space="preserve">por expreso mandato </w:t>
      </w:r>
      <w:r w:rsidRPr="005A2345">
        <w:rPr>
          <w:rFonts w:ascii="Times New Roman" w:hAnsi="Times New Roman" w:cs="Times New Roman"/>
          <w:color w:val="000000"/>
          <w:lang w:val="es-ES" w:eastAsia="en-US"/>
        </w:rPr>
        <w:t>constitucional, con</w:t>
      </w:r>
      <w:r w:rsidRPr="005A2345">
        <w:rPr>
          <w:rFonts w:ascii="Times New Roman" w:hAnsi="Times New Roman" w:cs="Times New Roman"/>
          <w:color w:val="000000"/>
          <w:lang w:eastAsia="en-US"/>
        </w:rPr>
        <w:t xml:space="preserve"> fundamento en las sentencias C-017 de 2018 y C–067 de 2018, </w:t>
      </w:r>
      <w:r w:rsidRPr="005A2345">
        <w:rPr>
          <w:rFonts w:ascii="Times New Roman" w:hAnsi="Times New Roman" w:cs="Times New Roman"/>
          <w:iCs/>
          <w:color w:val="000000"/>
          <w:lang w:eastAsia="en-US"/>
        </w:rPr>
        <w:t>la Corte Constitucional ha dejado claro que el Estado no puede mantener reservada la información aso</w:t>
      </w:r>
      <w:r w:rsidRPr="005A2345">
        <w:rPr>
          <w:rFonts w:ascii="Times New Roman" w:hAnsi="Times New Roman" w:cs="Times New Roman"/>
          <w:iCs/>
          <w:color w:val="000000"/>
          <w:lang w:eastAsia="en-US"/>
        </w:rPr>
        <w:t xml:space="preserve">ciada a casos de graves violaciones de derechos humanos y delitos de lesa humanidad. De ese modo, la reserva no podrá proceder cuando exista este tipo de asuntos. </w:t>
      </w:r>
      <w:r w:rsidRPr="005A2345">
        <w:rPr>
          <w:rFonts w:ascii="Times New Roman" w:hAnsi="Times New Roman" w:cs="Times New Roman"/>
          <w:iCs/>
          <w:color w:val="000000"/>
          <w:lang w:eastAsia="en-US"/>
        </w:rPr>
        <w:t>Al mismo tiempo es importante resaltar, que aún en los casos de las conversaciones y negociac</w:t>
      </w:r>
      <w:r w:rsidRPr="005A2345">
        <w:rPr>
          <w:rFonts w:ascii="Times New Roman" w:hAnsi="Times New Roman" w:cs="Times New Roman"/>
          <w:iCs/>
          <w:color w:val="000000"/>
          <w:lang w:eastAsia="en-US"/>
        </w:rPr>
        <w:t>iones, cualquiera sea su fase, la norma mantiene la publicidad de «la información relacionada con la ejecución presupuestal de los Ministerios».</w:t>
      </w:r>
    </w:p>
    <w:p w:rsidR="00BD5BE4" w:rsidRPr="005A2345" w:rsidRDefault="005A2345" w:rsidP="00BD5BE4">
      <w:pPr>
        <w:rPr>
          <w:rFonts w:ascii="Times New Roman" w:hAnsi="Times New Roman" w:cs="Times New Roman"/>
          <w:sz w:val="28"/>
        </w:rPr>
      </w:pPr>
    </w:p>
    <w:p w:rsidR="003B0766"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i/>
        </w:rPr>
        <w:t>E</w:t>
      </w:r>
      <w:r w:rsidRPr="005A2345">
        <w:rPr>
          <w:rFonts w:ascii="Times New Roman" w:hAnsi="Times New Roman" w:cs="Times New Roman"/>
          <w:i/>
        </w:rPr>
        <w:t>l medio escogido, además de ser efectivamente conducente, es necesario</w:t>
      </w:r>
      <w:r w:rsidRPr="005A2345">
        <w:rPr>
          <w:rFonts w:ascii="Times New Roman" w:hAnsi="Times New Roman" w:cs="Times New Roman"/>
        </w:rPr>
        <w:t>.</w:t>
      </w:r>
      <w:r w:rsidRPr="005A2345">
        <w:rPr>
          <w:rFonts w:ascii="Times New Roman" w:hAnsi="Times New Roman" w:cs="Times New Roman"/>
        </w:rPr>
        <w:t xml:space="preserve"> La Sala encuentra que mantener la reserva de ciertos asuntos es un medio idóneo y necesario para alcanzar las finalidades que pretende la Ley 2272 de 2022, toda vez que permite</w:t>
      </w:r>
      <w:r w:rsidRPr="005A2345">
        <w:rPr>
          <w:rFonts w:ascii="Times New Roman" w:hAnsi="Times New Roman" w:cs="Times New Roman"/>
        </w:rPr>
        <w:t>, de acuerdo con los asuntos que sean tratados en las sesiones del</w:t>
      </w:r>
      <w:r w:rsidRPr="005A2345">
        <w:rPr>
          <w:rFonts w:ascii="Times New Roman" w:hAnsi="Times New Roman" w:cs="Times New Roman"/>
        </w:rPr>
        <w:t xml:space="preserve"> Gabinete de </w:t>
      </w:r>
      <w:r w:rsidRPr="005A2345">
        <w:rPr>
          <w:rFonts w:ascii="Times New Roman" w:hAnsi="Times New Roman" w:cs="Times New Roman"/>
        </w:rPr>
        <w:t xml:space="preserve">Paz </w:t>
      </w:r>
      <w:r w:rsidRPr="005A2345">
        <w:rPr>
          <w:rFonts w:ascii="Times New Roman" w:hAnsi="Times New Roman" w:cs="Times New Roman"/>
        </w:rPr>
        <w:t>clasificar la información y proteger bienes de interés general. Del mismo modo, en contextos de procesos de paz o de sometimiento a la justicia, particularmente en lo regulado en el artículo 5 de la Ley 2272 de 2022, es razonable guardar la confidencia</w:t>
      </w:r>
      <w:r w:rsidRPr="005A2345">
        <w:rPr>
          <w:rFonts w:ascii="Times New Roman" w:hAnsi="Times New Roman" w:cs="Times New Roman"/>
        </w:rPr>
        <w:t xml:space="preserve">lidad de ciertos temas en las etapas preliminares o exploratorias. </w:t>
      </w:r>
      <w:r w:rsidRPr="005A2345">
        <w:rPr>
          <w:rFonts w:ascii="Times New Roman" w:hAnsi="Times New Roman" w:cs="Times New Roman"/>
        </w:rPr>
        <w:t xml:space="preserve">Como fue expuesto en las </w:t>
      </w:r>
      <w:r w:rsidRPr="005A2345">
        <w:rPr>
          <w:rFonts w:ascii="Times New Roman" w:hAnsi="Times New Roman" w:cs="Times New Roman"/>
        </w:rPr>
        <w:t>consideraciones</w:t>
      </w:r>
      <w:r w:rsidRPr="005A2345">
        <w:rPr>
          <w:rFonts w:ascii="Times New Roman" w:hAnsi="Times New Roman" w:cs="Times New Roman"/>
        </w:rPr>
        <w:t xml:space="preserve"> de esta providencia, cierta dosis de reserva en estos contextos es una herramienta para lograr la eficacia de las </w:t>
      </w:r>
      <w:r w:rsidRPr="005A2345">
        <w:rPr>
          <w:rFonts w:ascii="Times New Roman" w:hAnsi="Times New Roman" w:cs="Times New Roman"/>
        </w:rPr>
        <w:t xml:space="preserve">conversaciones y </w:t>
      </w:r>
      <w:r w:rsidRPr="005A2345">
        <w:rPr>
          <w:rFonts w:ascii="Times New Roman" w:hAnsi="Times New Roman" w:cs="Times New Roman"/>
        </w:rPr>
        <w:t>negociaciones ent</w:t>
      </w:r>
      <w:r w:rsidRPr="005A2345">
        <w:rPr>
          <w:rFonts w:ascii="Times New Roman" w:hAnsi="Times New Roman" w:cs="Times New Roman"/>
        </w:rPr>
        <w:t>re las partes en conflicto</w:t>
      </w:r>
      <w:r w:rsidRPr="005A2345">
        <w:rPr>
          <w:rFonts w:ascii="Times New Roman" w:hAnsi="Times New Roman" w:cs="Times New Roman"/>
        </w:rPr>
        <w:t>;</w:t>
      </w:r>
      <w:r w:rsidRPr="005A2345">
        <w:rPr>
          <w:rFonts w:ascii="Times New Roman" w:hAnsi="Times New Roman" w:cs="Times New Roman"/>
        </w:rPr>
        <w:t xml:space="preserve"> pero</w:t>
      </w:r>
      <w:r w:rsidRPr="005A2345">
        <w:rPr>
          <w:rFonts w:ascii="Times New Roman" w:hAnsi="Times New Roman" w:cs="Times New Roman"/>
        </w:rPr>
        <w:t>,</w:t>
      </w:r>
      <w:r w:rsidRPr="005A2345">
        <w:rPr>
          <w:rFonts w:ascii="Times New Roman" w:hAnsi="Times New Roman" w:cs="Times New Roman"/>
        </w:rPr>
        <w:t xml:space="preserve"> además, </w:t>
      </w:r>
      <w:r w:rsidRPr="005A2345">
        <w:rPr>
          <w:rFonts w:ascii="Times New Roman" w:hAnsi="Times New Roman" w:cs="Times New Roman"/>
        </w:rPr>
        <w:t xml:space="preserve">puede proteger la seguridad personal de personas involucradas. </w:t>
      </w:r>
      <w:r w:rsidRPr="005A2345">
        <w:rPr>
          <w:rFonts w:ascii="Times New Roman" w:hAnsi="Times New Roman" w:cs="Times New Roman"/>
        </w:rPr>
        <w:t>Lo anterior, no implica mantener un secretismo absoluto, pues al Estado le compete fijar canales a través de lo</w:t>
      </w:r>
      <w:r w:rsidRPr="005A2345">
        <w:rPr>
          <w:rFonts w:ascii="Times New Roman" w:hAnsi="Times New Roman" w:cs="Times New Roman"/>
        </w:rPr>
        <w:t>s</w:t>
      </w:r>
      <w:r w:rsidRPr="005A2345">
        <w:rPr>
          <w:rFonts w:ascii="Times New Roman" w:hAnsi="Times New Roman" w:cs="Times New Roman"/>
        </w:rPr>
        <w:t xml:space="preserve"> cuales pueda hacer públicos los avance</w:t>
      </w:r>
      <w:r w:rsidRPr="005A2345">
        <w:rPr>
          <w:rFonts w:ascii="Times New Roman" w:hAnsi="Times New Roman" w:cs="Times New Roman"/>
        </w:rPr>
        <w:t xml:space="preserve">s. Lo anterior se ve </w:t>
      </w:r>
      <w:r w:rsidRPr="005A2345">
        <w:rPr>
          <w:rFonts w:ascii="Times New Roman" w:hAnsi="Times New Roman" w:cs="Times New Roman"/>
        </w:rPr>
        <w:t>solventado</w:t>
      </w:r>
      <w:r w:rsidRPr="005A2345">
        <w:rPr>
          <w:rFonts w:ascii="Times New Roman" w:hAnsi="Times New Roman" w:cs="Times New Roman"/>
        </w:rPr>
        <w:t xml:space="preserve"> por el mis</w:t>
      </w:r>
      <w:r w:rsidRPr="005A2345">
        <w:rPr>
          <w:rFonts w:ascii="Times New Roman" w:hAnsi="Times New Roman" w:cs="Times New Roman"/>
        </w:rPr>
        <w:t>m</w:t>
      </w:r>
      <w:r w:rsidRPr="005A2345">
        <w:rPr>
          <w:rFonts w:ascii="Times New Roman" w:hAnsi="Times New Roman" w:cs="Times New Roman"/>
        </w:rPr>
        <w:t>o parágrafo, el cual consagra la obligación del Gabinete de Paz de «rendir un informe a la Nación acerca del desarrollo de los diálogos o acercamientos, sin vulnerar los compromisos de reserva pactados en los proc</w:t>
      </w:r>
      <w:r w:rsidRPr="005A2345">
        <w:rPr>
          <w:rFonts w:ascii="Times New Roman" w:hAnsi="Times New Roman" w:cs="Times New Roman"/>
        </w:rPr>
        <w:t>esos».</w:t>
      </w:r>
    </w:p>
    <w:p w:rsidR="003B0766" w:rsidRPr="005A2345" w:rsidRDefault="005A2345" w:rsidP="003B0766">
      <w:pPr>
        <w:pStyle w:val="Prrafodelista"/>
        <w:rPr>
          <w:rFonts w:ascii="Times New Roman" w:hAnsi="Times New Roman" w:cs="Times New Roman"/>
        </w:rPr>
      </w:pPr>
    </w:p>
    <w:p w:rsidR="00536208"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De tal forma, la reserva de información en la que estén de por medio el riesgo o afectación a un interés exceptuado en la ley estatutaria es necesaria y efectivamente conducente para </w:t>
      </w:r>
      <w:r w:rsidRPr="005A2345">
        <w:rPr>
          <w:rFonts w:ascii="Times New Roman" w:hAnsi="Times New Roman" w:cs="Times New Roman"/>
        </w:rPr>
        <w:t>lograr el avance de los procesos regulados por la Ley 2272 de 202</w:t>
      </w:r>
      <w:r w:rsidRPr="005A2345">
        <w:rPr>
          <w:rFonts w:ascii="Times New Roman" w:hAnsi="Times New Roman" w:cs="Times New Roman"/>
        </w:rPr>
        <w:t xml:space="preserve">2. </w:t>
      </w:r>
      <w:r w:rsidRPr="005A2345">
        <w:rPr>
          <w:rFonts w:ascii="Times New Roman" w:hAnsi="Times New Roman" w:cs="Times New Roman"/>
        </w:rPr>
        <w:t xml:space="preserve">Un caso que fue expuesto, </w:t>
      </w:r>
      <w:r w:rsidRPr="005A2345">
        <w:rPr>
          <w:rFonts w:ascii="Times New Roman" w:eastAsia="Calibri" w:hAnsi="Times New Roman" w:cs="Times New Roman"/>
          <w:bCs/>
          <w:lang w:eastAsia="en-US"/>
        </w:rPr>
        <w:t xml:space="preserve">como bien lo indicó la Presidencia de la República en su intervención, </w:t>
      </w:r>
      <w:r w:rsidRPr="005A2345">
        <w:rPr>
          <w:rFonts w:ascii="Times New Roman" w:hAnsi="Times New Roman" w:cs="Times New Roman"/>
          <w:iCs/>
          <w:lang w:eastAsia="es-MX"/>
        </w:rPr>
        <w:t>la reserva de la información busca garantizar, entre otros, la protección de la vida e integridad personal de los actores, dentro de los cuales destacan com</w:t>
      </w:r>
      <w:r w:rsidRPr="005A2345">
        <w:rPr>
          <w:rFonts w:ascii="Times New Roman" w:hAnsi="Times New Roman" w:cs="Times New Roman"/>
          <w:iCs/>
          <w:lang w:eastAsia="es-MX"/>
        </w:rPr>
        <w:t>o sujetos individuales «líderes y lideresas que participan en los procesos de conversaciones, acuerdos y negociaciones con grupos armados al margen de la ley». Lo anterior, implicaría, por ejemplo, que la reserva de información relacionada con personas nat</w:t>
      </w:r>
      <w:r w:rsidRPr="005A2345">
        <w:rPr>
          <w:rFonts w:ascii="Times New Roman" w:hAnsi="Times New Roman" w:cs="Times New Roman"/>
          <w:iCs/>
          <w:lang w:eastAsia="es-MX"/>
        </w:rPr>
        <w:t xml:space="preserve">urales, se aplique con fundamento en las causales del artículo 18 de la Ley 1712 de 2014. </w:t>
      </w:r>
      <w:r w:rsidRPr="005A2345">
        <w:rPr>
          <w:rFonts w:ascii="Times New Roman" w:hAnsi="Times New Roman" w:cs="Times New Roman"/>
        </w:rPr>
        <w:t xml:space="preserve">Todo ello, cumpliéndose </w:t>
      </w:r>
      <w:r w:rsidRPr="005A2345">
        <w:rPr>
          <w:rFonts w:ascii="Times New Roman" w:hAnsi="Times New Roman" w:cs="Times New Roman"/>
        </w:rPr>
        <w:t xml:space="preserve">con </w:t>
      </w:r>
      <w:r w:rsidRPr="005A2345">
        <w:rPr>
          <w:rFonts w:ascii="Times New Roman" w:hAnsi="Times New Roman" w:cs="Times New Roman"/>
        </w:rPr>
        <w:t xml:space="preserve">las obligaciones </w:t>
      </w:r>
      <w:r w:rsidRPr="005A2345">
        <w:rPr>
          <w:rFonts w:ascii="Times New Roman" w:hAnsi="Times New Roman" w:cs="Times New Roman"/>
        </w:rPr>
        <w:t>del mismo cuerpo normativo estatutario</w:t>
      </w:r>
      <w:r w:rsidRPr="005A2345">
        <w:rPr>
          <w:rFonts w:ascii="Times New Roman" w:hAnsi="Times New Roman" w:cs="Times New Roman"/>
        </w:rPr>
        <w:t>, en el sentido de que el sujeto obligado</w:t>
      </w:r>
      <w:r w:rsidRPr="005A2345">
        <w:rPr>
          <w:rFonts w:ascii="Times New Roman" w:hAnsi="Times New Roman" w:cs="Times New Roman"/>
        </w:rPr>
        <w:t xml:space="preserve">, es decir, el </w:t>
      </w:r>
      <w:r w:rsidRPr="005A2345">
        <w:rPr>
          <w:rFonts w:ascii="Times New Roman" w:hAnsi="Times New Roman" w:cs="Times New Roman"/>
          <w:lang w:val="es-ES"/>
        </w:rPr>
        <w:t>Consejero Comisionado de Pa</w:t>
      </w:r>
      <w:r w:rsidRPr="005A2345">
        <w:rPr>
          <w:rFonts w:ascii="Times New Roman" w:hAnsi="Times New Roman" w:cs="Times New Roman"/>
          <w:lang w:val="es-ES"/>
        </w:rPr>
        <w:t>z,</w:t>
      </w:r>
      <w:r w:rsidRPr="005A2345">
        <w:rPr>
          <w:rFonts w:ascii="Times New Roman" w:hAnsi="Times New Roman" w:cs="Times New Roman"/>
        </w:rPr>
        <w:t xml:space="preserve"> </w:t>
      </w:r>
      <w:r w:rsidRPr="005A2345">
        <w:rPr>
          <w:rFonts w:ascii="Times New Roman" w:hAnsi="Times New Roman" w:cs="Times New Roman"/>
        </w:rPr>
        <w:t>debe contar con un índice de información clasificada y reservada (art. 20), permitir la divulgación parcial</w:t>
      </w:r>
      <w:r w:rsidRPr="005A2345">
        <w:rPr>
          <w:rFonts w:ascii="Times New Roman" w:hAnsi="Times New Roman" w:cs="Times New Roman"/>
        </w:rPr>
        <w:t xml:space="preserve"> y garantizar que l</w:t>
      </w:r>
      <w:r w:rsidRPr="005A2345">
        <w:rPr>
          <w:rFonts w:ascii="Times New Roman" w:hAnsi="Times New Roman" w:cs="Times New Roman"/>
          <w:bCs/>
          <w:iCs/>
        </w:rPr>
        <w:t>a reserva opere respecto del contenido de un documento público</w:t>
      </w:r>
      <w:r w:rsidRPr="005A2345">
        <w:rPr>
          <w:rFonts w:ascii="Times New Roman" w:hAnsi="Times New Roman" w:cs="Times New Roman"/>
          <w:bCs/>
          <w:iCs/>
        </w:rPr>
        <w:t>,</w:t>
      </w:r>
      <w:r w:rsidRPr="005A2345">
        <w:rPr>
          <w:rFonts w:ascii="Times New Roman" w:hAnsi="Times New Roman" w:cs="Times New Roman"/>
          <w:bCs/>
          <w:iCs/>
        </w:rPr>
        <w:t xml:space="preserve"> pero no respecto de su existencia</w:t>
      </w:r>
      <w:r w:rsidRPr="005A2345">
        <w:rPr>
          <w:rFonts w:ascii="Times New Roman" w:hAnsi="Times New Roman" w:cs="Times New Roman"/>
        </w:rPr>
        <w:t xml:space="preserve"> </w:t>
      </w:r>
      <w:r w:rsidRPr="005A2345">
        <w:rPr>
          <w:rFonts w:ascii="Times New Roman" w:hAnsi="Times New Roman" w:cs="Times New Roman"/>
        </w:rPr>
        <w:t>(art. 21)</w:t>
      </w:r>
      <w:r w:rsidRPr="005A2345">
        <w:rPr>
          <w:rFonts w:ascii="Times New Roman" w:hAnsi="Times New Roman" w:cs="Times New Roman"/>
        </w:rPr>
        <w:t xml:space="preserve">. </w:t>
      </w:r>
    </w:p>
    <w:p w:rsidR="00C23412" w:rsidRPr="005A2345" w:rsidRDefault="005A2345" w:rsidP="00C23412">
      <w:pPr>
        <w:pStyle w:val="Prrafodelista"/>
        <w:rPr>
          <w:rFonts w:ascii="Times New Roman" w:hAnsi="Times New Roman" w:cs="Times New Roman"/>
        </w:rPr>
      </w:pPr>
    </w:p>
    <w:p w:rsidR="00C23412"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i/>
        </w:rPr>
        <w:t xml:space="preserve">La medida es </w:t>
      </w:r>
      <w:r w:rsidRPr="005A2345">
        <w:rPr>
          <w:rFonts w:ascii="Times New Roman" w:hAnsi="Times New Roman" w:cs="Times New Roman"/>
          <w:i/>
        </w:rPr>
        <w:t>proporcional en sentido estricto</w:t>
      </w:r>
      <w:r w:rsidRPr="005A2345">
        <w:rPr>
          <w:rFonts w:ascii="Times New Roman" w:hAnsi="Times New Roman" w:cs="Times New Roman"/>
        </w:rPr>
        <w:t>, toda vez que</w:t>
      </w:r>
      <w:r w:rsidRPr="005A2345">
        <w:rPr>
          <w:rFonts w:ascii="Times New Roman" w:hAnsi="Times New Roman" w:cs="Times New Roman"/>
        </w:rPr>
        <w:t xml:space="preserve"> los beneficios de adoptar la </w:t>
      </w:r>
      <w:r w:rsidRPr="005A2345">
        <w:rPr>
          <w:rFonts w:ascii="Times New Roman" w:hAnsi="Times New Roman" w:cs="Times New Roman"/>
        </w:rPr>
        <w:t>reserva</w:t>
      </w:r>
      <w:r w:rsidRPr="005A2345">
        <w:rPr>
          <w:rFonts w:ascii="Times New Roman" w:hAnsi="Times New Roman" w:cs="Times New Roman"/>
        </w:rPr>
        <w:t xml:space="preserve"> </w:t>
      </w:r>
      <w:r w:rsidRPr="005A2345">
        <w:rPr>
          <w:rFonts w:ascii="Times New Roman" w:hAnsi="Times New Roman" w:cs="Times New Roman"/>
        </w:rPr>
        <w:t xml:space="preserve">no </w:t>
      </w:r>
      <w:r w:rsidRPr="005A2345">
        <w:rPr>
          <w:rFonts w:ascii="Times New Roman" w:hAnsi="Times New Roman" w:cs="Times New Roman"/>
        </w:rPr>
        <w:t xml:space="preserve">exceden las restricciones impuestas sobre </w:t>
      </w:r>
      <w:r w:rsidRPr="005A2345">
        <w:rPr>
          <w:rFonts w:ascii="Times New Roman" w:hAnsi="Times New Roman" w:cs="Times New Roman"/>
        </w:rPr>
        <w:t xml:space="preserve">el ejercicio de acceso a la información y a los documentos públicos de los asuntos del Gabinete de Paz. </w:t>
      </w:r>
      <w:r w:rsidRPr="005A2345">
        <w:rPr>
          <w:rFonts w:ascii="Times New Roman" w:hAnsi="Times New Roman" w:cs="Times New Roman"/>
        </w:rPr>
        <w:t xml:space="preserve">La Corte considera que </w:t>
      </w:r>
      <w:r w:rsidRPr="005A2345">
        <w:rPr>
          <w:rFonts w:ascii="Times New Roman" w:hAnsi="Times New Roman" w:cs="Times New Roman"/>
        </w:rPr>
        <w:t xml:space="preserve">la </w:t>
      </w:r>
      <w:r w:rsidRPr="005A2345">
        <w:rPr>
          <w:rFonts w:ascii="Times New Roman" w:hAnsi="Times New Roman" w:cs="Times New Roman"/>
        </w:rPr>
        <w:t xml:space="preserve">eventual </w:t>
      </w:r>
      <w:r w:rsidRPr="005A2345">
        <w:rPr>
          <w:rFonts w:ascii="Times New Roman" w:hAnsi="Times New Roman" w:cs="Times New Roman"/>
        </w:rPr>
        <w:t>restricción de acceso a la información que permite la norma atacada es proporcional</w:t>
      </w:r>
      <w:r w:rsidRPr="005A2345">
        <w:rPr>
          <w:rFonts w:ascii="Times New Roman" w:hAnsi="Times New Roman" w:cs="Times New Roman"/>
        </w:rPr>
        <w:t>,</w:t>
      </w:r>
      <w:r w:rsidRPr="005A2345">
        <w:rPr>
          <w:rFonts w:ascii="Times New Roman" w:hAnsi="Times New Roman" w:cs="Times New Roman"/>
        </w:rPr>
        <w:t xml:space="preserve"> en la medida en que la misma norma establece un canal de publicidad de los procesos que se regulan en la Ley 2272 de 2022 al establecer la obligación de rendir</w:t>
      </w:r>
      <w:r w:rsidRPr="005A2345">
        <w:rPr>
          <w:rFonts w:ascii="Times New Roman" w:hAnsi="Times New Roman" w:cs="Times New Roman"/>
        </w:rPr>
        <w:t xml:space="preserve"> </w:t>
      </w:r>
      <w:r w:rsidRPr="005A2345">
        <w:rPr>
          <w:rFonts w:ascii="Times New Roman" w:hAnsi="Times New Roman" w:cs="Times New Roman"/>
        </w:rPr>
        <w:t xml:space="preserve">informe </w:t>
      </w:r>
      <w:r w:rsidRPr="005A2345">
        <w:rPr>
          <w:rFonts w:ascii="Times New Roman" w:hAnsi="Times New Roman" w:cs="Times New Roman"/>
        </w:rPr>
        <w:t xml:space="preserve">a la Nación </w:t>
      </w:r>
      <w:r w:rsidRPr="005A2345">
        <w:rPr>
          <w:rFonts w:ascii="Times New Roman" w:hAnsi="Times New Roman" w:cs="Times New Roman"/>
        </w:rPr>
        <w:t xml:space="preserve">sobre </w:t>
      </w:r>
      <w:r w:rsidRPr="005A2345">
        <w:rPr>
          <w:rFonts w:ascii="Times New Roman" w:hAnsi="Times New Roman" w:cs="Times New Roman"/>
        </w:rPr>
        <w:t>el desarrollo de los diálogos</w:t>
      </w:r>
      <w:r w:rsidRPr="005A2345">
        <w:rPr>
          <w:rFonts w:ascii="Times New Roman" w:hAnsi="Times New Roman" w:cs="Times New Roman"/>
        </w:rPr>
        <w:t xml:space="preserve"> y negociaciones</w:t>
      </w:r>
      <w:r w:rsidRPr="005A2345">
        <w:rPr>
          <w:rFonts w:ascii="Times New Roman" w:hAnsi="Times New Roman" w:cs="Times New Roman"/>
        </w:rPr>
        <w:t xml:space="preserve">. Adicionalmente, el verbo “podrán” solo establece una posibilidad de que algunos de los asuntos </w:t>
      </w:r>
      <w:r w:rsidRPr="005A2345">
        <w:rPr>
          <w:rFonts w:ascii="Times New Roman" w:hAnsi="Times New Roman" w:cs="Times New Roman"/>
        </w:rPr>
        <w:t xml:space="preserve">referidos a conversaciones, acuerdos y negociaciones con actores armados que se traten </w:t>
      </w:r>
      <w:r w:rsidRPr="005A2345">
        <w:rPr>
          <w:rFonts w:ascii="Times New Roman" w:hAnsi="Times New Roman" w:cs="Times New Roman"/>
        </w:rPr>
        <w:t xml:space="preserve">en </w:t>
      </w:r>
      <w:r w:rsidRPr="005A2345">
        <w:rPr>
          <w:rFonts w:ascii="Times New Roman" w:hAnsi="Times New Roman" w:cs="Times New Roman"/>
        </w:rPr>
        <w:t>las sesiones del Gabinete de Paz</w:t>
      </w:r>
      <w:r w:rsidRPr="005A2345">
        <w:rPr>
          <w:rFonts w:ascii="Times New Roman" w:hAnsi="Times New Roman" w:cs="Times New Roman"/>
        </w:rPr>
        <w:t>, así como la información y documentos que se expidan en esta materia</w:t>
      </w:r>
      <w:r w:rsidRPr="005A2345">
        <w:rPr>
          <w:rFonts w:ascii="Times New Roman" w:hAnsi="Times New Roman" w:cs="Times New Roman"/>
        </w:rPr>
        <w:t>, puedan ser clasificados caso a caso como reservados. Es decir, no se trata de una restricción automática, permanente o absoluta de acceso a la informa</w:t>
      </w:r>
      <w:r w:rsidRPr="005A2345">
        <w:rPr>
          <w:rFonts w:ascii="Times New Roman" w:hAnsi="Times New Roman" w:cs="Times New Roman"/>
        </w:rPr>
        <w:t xml:space="preserve">ción pública, sino de cada asunto concreto. </w:t>
      </w:r>
    </w:p>
    <w:p w:rsidR="00256E0D" w:rsidRPr="005A2345" w:rsidRDefault="005A2345" w:rsidP="00256E0D">
      <w:pPr>
        <w:pStyle w:val="Prrafodelista"/>
        <w:rPr>
          <w:rFonts w:ascii="Times New Roman" w:hAnsi="Times New Roman" w:cs="Times New Roman"/>
        </w:rPr>
      </w:pPr>
    </w:p>
    <w:p w:rsidR="00C37B75"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Del mismo modo, </w:t>
      </w:r>
      <w:r w:rsidRPr="005A2345">
        <w:rPr>
          <w:rFonts w:ascii="Times New Roman" w:hAnsi="Times New Roman" w:cs="Times New Roman"/>
        </w:rPr>
        <w:t xml:space="preserve">la restricción impuesta al acceso a la documentación o información pública no excede la afectación del ejercicio de este derecho fundamental, toda vez que </w:t>
      </w:r>
      <w:r w:rsidRPr="005A2345">
        <w:rPr>
          <w:rFonts w:ascii="Times New Roman" w:hAnsi="Times New Roman" w:cs="Times New Roman"/>
        </w:rPr>
        <w:t xml:space="preserve">(i) </w:t>
      </w:r>
      <w:r w:rsidRPr="005A2345">
        <w:rPr>
          <w:rFonts w:ascii="Times New Roman" w:hAnsi="Times New Roman" w:cs="Times New Roman"/>
        </w:rPr>
        <w:t>es eventual y condicionada a los as</w:t>
      </w:r>
      <w:r w:rsidRPr="005A2345">
        <w:rPr>
          <w:rFonts w:ascii="Times New Roman" w:hAnsi="Times New Roman" w:cs="Times New Roman"/>
        </w:rPr>
        <w:t xml:space="preserve">untos que se traten y su relación con el interés general; </w:t>
      </w:r>
      <w:r w:rsidRPr="005A2345">
        <w:rPr>
          <w:rFonts w:ascii="Times New Roman" w:hAnsi="Times New Roman" w:cs="Times New Roman"/>
        </w:rPr>
        <w:t xml:space="preserve">y </w:t>
      </w:r>
      <w:r w:rsidRPr="005A2345">
        <w:rPr>
          <w:rFonts w:ascii="Times New Roman" w:hAnsi="Times New Roman" w:cs="Times New Roman"/>
        </w:rPr>
        <w:t xml:space="preserve">(ii) la </w:t>
      </w:r>
      <w:r w:rsidRPr="005A2345">
        <w:rPr>
          <w:rFonts w:ascii="Times New Roman" w:hAnsi="Times New Roman" w:cs="Times New Roman"/>
        </w:rPr>
        <w:t>norma</w:t>
      </w:r>
      <w:r w:rsidRPr="005A2345">
        <w:rPr>
          <w:rFonts w:ascii="Times New Roman" w:hAnsi="Times New Roman" w:cs="Times New Roman"/>
        </w:rPr>
        <w:t xml:space="preserve"> dispone canales de publicidad sobre el avance de los procesos y negociaciones de paz que se adelanten por el Gobierno nacional</w:t>
      </w:r>
      <w:r w:rsidRPr="005A2345">
        <w:rPr>
          <w:rFonts w:ascii="Times New Roman" w:hAnsi="Times New Roman" w:cs="Times New Roman"/>
        </w:rPr>
        <w:t xml:space="preserve">. </w:t>
      </w:r>
    </w:p>
    <w:p w:rsidR="00713E0C" w:rsidRPr="005A2345" w:rsidRDefault="005A2345" w:rsidP="00713E0C">
      <w:pPr>
        <w:pStyle w:val="Prrafodelista"/>
        <w:rPr>
          <w:rFonts w:ascii="Times New Roman" w:hAnsi="Times New Roman" w:cs="Times New Roman"/>
        </w:rPr>
      </w:pPr>
    </w:p>
    <w:p w:rsidR="00A84CFB"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En este punto</w:t>
      </w:r>
      <w:r w:rsidRPr="005A2345">
        <w:rPr>
          <w:rFonts w:ascii="Times New Roman" w:hAnsi="Times New Roman" w:cs="Times New Roman"/>
        </w:rPr>
        <w:t xml:space="preserve">, </w:t>
      </w:r>
      <w:r w:rsidRPr="005A2345">
        <w:rPr>
          <w:rFonts w:ascii="Times New Roman" w:hAnsi="Times New Roman" w:cs="Times New Roman"/>
        </w:rPr>
        <w:t>es necesario responder</w:t>
      </w:r>
      <w:r w:rsidRPr="005A2345">
        <w:rPr>
          <w:rFonts w:ascii="Times New Roman" w:hAnsi="Times New Roman" w:cs="Times New Roman"/>
        </w:rPr>
        <w:t xml:space="preserve"> a una de las preocupaciones y debates que se dieron en el marco del expediente bajo revisión</w:t>
      </w:r>
      <w:r w:rsidRPr="005A2345">
        <w:rPr>
          <w:rFonts w:ascii="Times New Roman" w:hAnsi="Times New Roman" w:cs="Times New Roman"/>
        </w:rPr>
        <w:t xml:space="preserve">, referente a la ausencia </w:t>
      </w:r>
      <w:r w:rsidRPr="005A2345">
        <w:rPr>
          <w:rFonts w:ascii="Times New Roman" w:hAnsi="Times New Roman" w:cs="Times New Roman"/>
        </w:rPr>
        <w:t>de un límite temporal</w:t>
      </w:r>
      <w:r w:rsidRPr="005A2345">
        <w:rPr>
          <w:rFonts w:ascii="Times New Roman" w:hAnsi="Times New Roman" w:cs="Times New Roman"/>
        </w:rPr>
        <w:t xml:space="preserve"> de la eventual reserva</w:t>
      </w:r>
      <w:r w:rsidRPr="005A2345">
        <w:rPr>
          <w:rFonts w:ascii="Times New Roman" w:hAnsi="Times New Roman" w:cs="Times New Roman"/>
        </w:rPr>
        <w:t>. El demandante expuso que la norma no contiene un límite temporal a la reserva de informació</w:t>
      </w:r>
      <w:r w:rsidRPr="005A2345">
        <w:rPr>
          <w:rFonts w:ascii="Times New Roman" w:hAnsi="Times New Roman" w:cs="Times New Roman"/>
        </w:rPr>
        <w:t>n y</w:t>
      </w:r>
      <w:r w:rsidRPr="005A2345">
        <w:rPr>
          <w:rFonts w:ascii="Times New Roman" w:hAnsi="Times New Roman" w:cs="Times New Roman"/>
        </w:rPr>
        <w:t>,</w:t>
      </w:r>
      <w:r w:rsidRPr="005A2345">
        <w:rPr>
          <w:rFonts w:ascii="Times New Roman" w:hAnsi="Times New Roman" w:cs="Times New Roman"/>
        </w:rPr>
        <w:t xml:space="preserve"> por esta razón, la medida restrictiva es desproporcionada. </w:t>
      </w:r>
      <w:r w:rsidRPr="005A2345">
        <w:rPr>
          <w:rFonts w:ascii="Times New Roman" w:hAnsi="Times New Roman" w:cs="Times New Roman"/>
        </w:rPr>
        <w:t xml:space="preserve">Varios de los intervinientes señalaron que tal deficiencia puede ser solventada </w:t>
      </w:r>
      <w:r w:rsidRPr="005A2345">
        <w:rPr>
          <w:rFonts w:ascii="Times New Roman" w:hAnsi="Times New Roman" w:cs="Times New Roman"/>
        </w:rPr>
        <w:t>con la interpretación armónica del</w:t>
      </w:r>
      <w:r w:rsidRPr="005A2345">
        <w:rPr>
          <w:rFonts w:ascii="Times New Roman" w:hAnsi="Times New Roman" w:cs="Times New Roman"/>
        </w:rPr>
        <w:t xml:space="preserve"> artículo </w:t>
      </w:r>
      <w:r w:rsidRPr="005A2345">
        <w:rPr>
          <w:rFonts w:ascii="Times New Roman" w:hAnsi="Times New Roman" w:cs="Times New Roman"/>
        </w:rPr>
        <w:t>22 de</w:t>
      </w:r>
      <w:r w:rsidRPr="005A2345">
        <w:rPr>
          <w:rFonts w:ascii="Times New Roman" w:hAnsi="Times New Roman" w:cs="Times New Roman"/>
        </w:rPr>
        <w:t xml:space="preserve"> la ley estatutaria </w:t>
      </w:r>
      <w:r w:rsidRPr="005A2345">
        <w:rPr>
          <w:rFonts w:ascii="Times New Roman" w:hAnsi="Times New Roman" w:cs="Times New Roman"/>
        </w:rPr>
        <w:t>1712 de 2014, el cual establece</w:t>
      </w:r>
      <w:r w:rsidRPr="005A2345">
        <w:rPr>
          <w:rFonts w:ascii="Times New Roman" w:hAnsi="Times New Roman" w:cs="Times New Roman"/>
        </w:rPr>
        <w:t xml:space="preserve"> que</w:t>
      </w:r>
      <w:r w:rsidRPr="005A2345">
        <w:rPr>
          <w:rFonts w:ascii="Times New Roman" w:hAnsi="Times New Roman" w:cs="Times New Roman"/>
        </w:rPr>
        <w:t xml:space="preserve"> «</w:t>
      </w:r>
      <w:r w:rsidRPr="005A2345">
        <w:rPr>
          <w:rFonts w:ascii="Times New Roman" w:hAnsi="Times New Roman" w:cs="Times New Roman"/>
          <w:lang w:eastAsia="es-MX"/>
        </w:rPr>
        <w:t>l</w:t>
      </w:r>
      <w:r w:rsidRPr="005A2345">
        <w:rPr>
          <w:rFonts w:ascii="Times New Roman" w:hAnsi="Times New Roman" w:cs="Times New Roman"/>
        </w:rPr>
        <w:t>a res</w:t>
      </w:r>
      <w:r w:rsidRPr="005A2345">
        <w:rPr>
          <w:rFonts w:ascii="Times New Roman" w:hAnsi="Times New Roman" w:cs="Times New Roman"/>
        </w:rPr>
        <w:t>erva de las informaciones amparadas por el artículo </w:t>
      </w:r>
      <w:hyperlink r:id="rId38" w:anchor="19" w:history="1">
        <w:r w:rsidRPr="005A2345">
          <w:rPr>
            <w:rStyle w:val="Hipervnculo"/>
            <w:rFonts w:ascii="Times New Roman" w:hAnsi="Times New Roman" w:cs="Times New Roman"/>
            <w:color w:val="auto"/>
            <w:u w:val="none"/>
          </w:rPr>
          <w:t>19</w:t>
        </w:r>
      </w:hyperlink>
      <w:r w:rsidRPr="005A2345">
        <w:rPr>
          <w:rFonts w:ascii="Times New Roman" w:hAnsi="Times New Roman" w:cs="Times New Roman"/>
        </w:rPr>
        <w:t xml:space="preserve"> no deberá extenderse por un período mayor a quince (15) años». </w:t>
      </w:r>
      <w:r w:rsidRPr="005A2345">
        <w:rPr>
          <w:rFonts w:ascii="Times New Roman" w:hAnsi="Times New Roman" w:cs="Times New Roman"/>
        </w:rPr>
        <w:t>En la sentencia C-273 de 2014, la Corte sostu</w:t>
      </w:r>
      <w:r w:rsidRPr="005A2345">
        <w:rPr>
          <w:rFonts w:ascii="Times New Roman" w:hAnsi="Times New Roman" w:cs="Times New Roman"/>
        </w:rPr>
        <w:t>vo que</w:t>
      </w:r>
      <w:r w:rsidRPr="005A2345">
        <w:rPr>
          <w:rFonts w:ascii="Times New Roman" w:hAnsi="Times New Roman" w:cs="Times New Roman"/>
        </w:rPr>
        <w:t xml:space="preserve"> «l</w:t>
      </w:r>
      <w:r w:rsidRPr="005A2345">
        <w:rPr>
          <w:rFonts w:ascii="Times New Roman" w:hAnsi="Times New Roman" w:cs="Times New Roman"/>
          <w:iCs/>
        </w:rPr>
        <w:t xml:space="preserve">a razonabilidad de ese plazo inicial máximo de 15 años depende, en cada caso, de conformidad con los parámetros constitucionales señalados, </w:t>
      </w:r>
      <w:r w:rsidRPr="005A2345">
        <w:rPr>
          <w:rFonts w:ascii="Times New Roman" w:hAnsi="Times New Roman" w:cs="Times New Roman"/>
          <w:i/>
          <w:iCs/>
        </w:rPr>
        <w:t xml:space="preserve">de que las </w:t>
      </w:r>
      <w:bookmarkStart w:id="33" w:name="_Hlk170211865"/>
      <w:r w:rsidRPr="005A2345">
        <w:rPr>
          <w:rFonts w:ascii="Times New Roman" w:hAnsi="Times New Roman" w:cs="Times New Roman"/>
          <w:i/>
          <w:iCs/>
        </w:rPr>
        <w:t>condiciones materiales que justificaron la reserva se mantengan a lo largo de todo el período</w:t>
      </w:r>
      <w:bookmarkEnd w:id="33"/>
      <w:r w:rsidRPr="005A2345">
        <w:rPr>
          <w:rFonts w:ascii="Times New Roman" w:hAnsi="Times New Roman" w:cs="Times New Roman"/>
          <w:i/>
          <w:iCs/>
        </w:rPr>
        <w:t>.</w:t>
      </w:r>
      <w:r w:rsidRPr="005A2345">
        <w:rPr>
          <w:rFonts w:ascii="Times New Roman" w:hAnsi="Times New Roman" w:cs="Times New Roman"/>
          <w:iCs/>
        </w:rPr>
        <w:t xml:space="preserve"> S</w:t>
      </w:r>
      <w:r w:rsidRPr="005A2345">
        <w:rPr>
          <w:rFonts w:ascii="Times New Roman" w:hAnsi="Times New Roman" w:cs="Times New Roman"/>
          <w:iCs/>
        </w:rPr>
        <w:t>ólo en esas condiciones ese plazo resulta razonable y acorde con los derechos de petición, de información y del libre acceso a los documentos públicos, así como a los principios de la función pública, consagrados en los artículos 20, 23, 74 y 209 de la Car</w:t>
      </w:r>
      <w:r w:rsidRPr="005A2345">
        <w:rPr>
          <w:rFonts w:ascii="Times New Roman" w:hAnsi="Times New Roman" w:cs="Times New Roman"/>
          <w:iCs/>
        </w:rPr>
        <w:t>ta».</w:t>
      </w:r>
    </w:p>
    <w:p w:rsidR="003F4389" w:rsidRPr="005A2345" w:rsidRDefault="005A2345" w:rsidP="003F4389">
      <w:pPr>
        <w:pStyle w:val="Prrafodelista"/>
        <w:tabs>
          <w:tab w:val="left" w:pos="426"/>
        </w:tabs>
        <w:spacing w:after="0" w:line="240" w:lineRule="auto"/>
        <w:ind w:left="0"/>
        <w:jc w:val="both"/>
        <w:rPr>
          <w:rFonts w:ascii="Times New Roman" w:hAnsi="Times New Roman" w:cs="Times New Roman"/>
        </w:rPr>
      </w:pPr>
    </w:p>
    <w:p w:rsidR="003F4389"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De ese modo, según esta posición, el acceso a la información pública que sea denegada por motivos del artículo 19 de la Ley 1712 de 2014, puede mantener la reserva por máximo 15 años, siempre y cuando las condiciones materiales que justificaron la re</w:t>
      </w:r>
      <w:r w:rsidRPr="005A2345">
        <w:rPr>
          <w:rFonts w:ascii="Times New Roman" w:hAnsi="Times New Roman" w:cs="Times New Roman"/>
        </w:rPr>
        <w:t>stricción se mantengan.</w:t>
      </w:r>
    </w:p>
    <w:p w:rsidR="00A84CFB" w:rsidRPr="005A2345" w:rsidRDefault="005A2345" w:rsidP="00A84CFB">
      <w:pPr>
        <w:pStyle w:val="Prrafodelista"/>
        <w:tabs>
          <w:tab w:val="left" w:pos="426"/>
        </w:tabs>
        <w:spacing w:after="0" w:line="240" w:lineRule="auto"/>
        <w:ind w:left="0"/>
        <w:jc w:val="both"/>
        <w:rPr>
          <w:rFonts w:ascii="Times New Roman" w:hAnsi="Times New Roman" w:cs="Times New Roman"/>
        </w:rPr>
      </w:pPr>
    </w:p>
    <w:p w:rsidR="00713E0C"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i/>
          <w:iCs/>
        </w:rPr>
        <w:t>  </w:t>
      </w:r>
      <w:r w:rsidRPr="005A2345">
        <w:rPr>
          <w:rFonts w:ascii="Times New Roman" w:hAnsi="Times New Roman" w:cs="Times New Roman"/>
          <w:iCs/>
        </w:rPr>
        <w:t>Por su parte, la Presidencia de la República argumentó que la reserva estaba sujeta a los cuatro años de la vigencia del artículo 6° de la Ley 2272 de 2022 y</w:t>
      </w:r>
      <w:r w:rsidRPr="005A2345">
        <w:rPr>
          <w:rFonts w:ascii="Times New Roman" w:hAnsi="Times New Roman" w:cs="Times New Roman"/>
          <w:iCs/>
        </w:rPr>
        <w:t>,</w:t>
      </w:r>
      <w:r w:rsidRPr="005A2345">
        <w:rPr>
          <w:rFonts w:ascii="Times New Roman" w:hAnsi="Times New Roman" w:cs="Times New Roman"/>
          <w:iCs/>
        </w:rPr>
        <w:t xml:space="preserve"> por tanto, el legislador cumplió con su obligación de establecer un límite temporal. La Sala se aparta de esta interpretación, pues en realidad </w:t>
      </w:r>
      <w:r w:rsidRPr="005A2345">
        <w:rPr>
          <w:rFonts w:ascii="Times New Roman" w:hAnsi="Times New Roman" w:cs="Times New Roman"/>
          <w:iCs/>
        </w:rPr>
        <w:t xml:space="preserve">el objeto del artículo 6° es </w:t>
      </w:r>
      <w:r w:rsidRPr="005A2345">
        <w:rPr>
          <w:rFonts w:ascii="Times New Roman" w:hAnsi="Times New Roman" w:cs="Times New Roman"/>
          <w:iCs/>
        </w:rPr>
        <w:t>la conformación del Gabinete de Paz</w:t>
      </w:r>
      <w:r w:rsidRPr="005A2345">
        <w:rPr>
          <w:rFonts w:ascii="Times New Roman" w:hAnsi="Times New Roman" w:cs="Times New Roman"/>
          <w:iCs/>
        </w:rPr>
        <w:t>, la periodicidad de sus sesiones, la autoridad</w:t>
      </w:r>
      <w:r w:rsidRPr="005A2345">
        <w:rPr>
          <w:rFonts w:ascii="Times New Roman" w:hAnsi="Times New Roman" w:cs="Times New Roman"/>
          <w:iCs/>
        </w:rPr>
        <w:t xml:space="preserve"> que lo convoca y la naturaleza de la información y materias que trata. </w:t>
      </w:r>
      <w:r w:rsidRPr="005A2345">
        <w:rPr>
          <w:rFonts w:ascii="Times New Roman" w:hAnsi="Times New Roman" w:cs="Times New Roman"/>
          <w:iCs/>
        </w:rPr>
        <w:t>Al comprenderse que solo ciertos asuntos “podrán ser reservados”, esta naturaleza depende de la motivación de cada caso concreto. En ese orden de ideas, lo que depende de la vigencia d</w:t>
      </w:r>
      <w:r w:rsidRPr="005A2345">
        <w:rPr>
          <w:rFonts w:ascii="Times New Roman" w:hAnsi="Times New Roman" w:cs="Times New Roman"/>
          <w:iCs/>
        </w:rPr>
        <w:t xml:space="preserve">e 4 años del artículo 6° es la existencia del Gabinete de Paz y no necesariamente la naturaleza reservada de ciertos asuntos que se traten en sus sesiones. Por lo anterior, no es posible concluir que la reserva de </w:t>
      </w:r>
      <w:r w:rsidRPr="005A2345">
        <w:rPr>
          <w:rFonts w:ascii="Times New Roman" w:hAnsi="Times New Roman" w:cs="Times New Roman"/>
          <w:iCs/>
        </w:rPr>
        <w:t xml:space="preserve">la </w:t>
      </w:r>
      <w:r w:rsidRPr="005A2345">
        <w:rPr>
          <w:rFonts w:ascii="Times New Roman" w:hAnsi="Times New Roman" w:cs="Times New Roman"/>
          <w:iCs/>
        </w:rPr>
        <w:t xml:space="preserve">información </w:t>
      </w:r>
      <w:r w:rsidRPr="005A2345">
        <w:rPr>
          <w:rFonts w:ascii="Times New Roman" w:hAnsi="Times New Roman" w:cs="Times New Roman"/>
          <w:iCs/>
        </w:rPr>
        <w:t xml:space="preserve">depende de la </w:t>
      </w:r>
      <w:r w:rsidRPr="005A2345">
        <w:rPr>
          <w:rFonts w:ascii="Times New Roman" w:hAnsi="Times New Roman" w:cs="Times New Roman"/>
          <w:iCs/>
        </w:rPr>
        <w:t>existencia de</w:t>
      </w:r>
      <w:r w:rsidRPr="005A2345">
        <w:rPr>
          <w:rFonts w:ascii="Times New Roman" w:hAnsi="Times New Roman" w:cs="Times New Roman"/>
          <w:iCs/>
        </w:rPr>
        <w:t>l Gabinete de Paz</w:t>
      </w:r>
      <w:r w:rsidRPr="005A2345">
        <w:rPr>
          <w:rFonts w:ascii="Times New Roman" w:hAnsi="Times New Roman" w:cs="Times New Roman"/>
          <w:iCs/>
        </w:rPr>
        <w:t>, pues la motivación de su naturaleza está asociada a otra justificación.</w:t>
      </w:r>
    </w:p>
    <w:p w:rsidR="00134B01" w:rsidRPr="005A2345" w:rsidRDefault="005A2345" w:rsidP="00134B01">
      <w:pPr>
        <w:pStyle w:val="Prrafodelista"/>
        <w:rPr>
          <w:rFonts w:ascii="Times New Roman" w:hAnsi="Times New Roman" w:cs="Times New Roman"/>
        </w:rPr>
      </w:pPr>
    </w:p>
    <w:p w:rsidR="00134B01" w:rsidRPr="005A2345" w:rsidRDefault="005A2345" w:rsidP="00076595">
      <w:pPr>
        <w:pStyle w:val="Prrafodelista"/>
        <w:numPr>
          <w:ilvl w:val="0"/>
          <w:numId w:val="5"/>
        </w:numPr>
        <w:tabs>
          <w:tab w:val="left" w:pos="426"/>
        </w:tabs>
        <w:spacing w:after="0" w:line="240" w:lineRule="auto"/>
        <w:ind w:left="0" w:firstLine="0"/>
        <w:jc w:val="both"/>
        <w:rPr>
          <w:rFonts w:ascii="Times New Roman" w:hAnsi="Times New Roman" w:cs="Times New Roman"/>
        </w:rPr>
      </w:pPr>
      <w:r w:rsidRPr="005A2345">
        <w:rPr>
          <w:rFonts w:ascii="Times New Roman" w:hAnsi="Times New Roman" w:cs="Times New Roman"/>
        </w:rPr>
        <w:t>En ese sentido, la Sala Plena considera que ante el silencio del legislador para establecer un límite temporal a la reserva de los asuntos</w:t>
      </w:r>
      <w:r w:rsidRPr="005A2345">
        <w:rPr>
          <w:rFonts w:ascii="Times New Roman" w:hAnsi="Times New Roman" w:cs="Times New Roman"/>
          <w:color w:val="333333"/>
          <w:szCs w:val="25"/>
          <w:shd w:val="clear" w:color="auto" w:fill="FFFFFF"/>
          <w:lang w:eastAsia="es-MX"/>
        </w:rPr>
        <w:t xml:space="preserve"> </w:t>
      </w:r>
      <w:r w:rsidRPr="005A2345">
        <w:rPr>
          <w:rFonts w:ascii="Times New Roman" w:hAnsi="Times New Roman" w:cs="Times New Roman"/>
        </w:rPr>
        <w:t>referidos a conversacione</w:t>
      </w:r>
      <w:r w:rsidRPr="005A2345">
        <w:rPr>
          <w:rFonts w:ascii="Times New Roman" w:hAnsi="Times New Roman" w:cs="Times New Roman"/>
        </w:rPr>
        <w:t>s</w:t>
      </w:r>
      <w:r w:rsidRPr="005A2345">
        <w:rPr>
          <w:rFonts w:ascii="Times New Roman" w:hAnsi="Times New Roman" w:cs="Times New Roman"/>
        </w:rPr>
        <w:t xml:space="preserve"> </w:t>
      </w:r>
      <w:r w:rsidRPr="005A2345">
        <w:rPr>
          <w:rFonts w:ascii="Times New Roman" w:hAnsi="Times New Roman" w:cs="Times New Roman"/>
        </w:rPr>
        <w:t>y negociaciones con actores armados que se traten en las sesiones del Gabinete de Paz, debe aplicarse lo dispuesto en la ley estatutaria de acceso a la información pública, es decir, un término máximo de 15 años</w:t>
      </w:r>
      <w:r w:rsidRPr="005A2345">
        <w:rPr>
          <w:rFonts w:ascii="Times New Roman" w:hAnsi="Times New Roman" w:cs="Times New Roman"/>
        </w:rPr>
        <w:t>,</w:t>
      </w:r>
      <w:r w:rsidRPr="005A2345">
        <w:rPr>
          <w:rFonts w:ascii="Times New Roman" w:hAnsi="Times New Roman" w:cs="Times New Roman"/>
        </w:rPr>
        <w:t xml:space="preserve"> el cual depende de que las </w:t>
      </w:r>
      <w:r w:rsidRPr="005A2345">
        <w:rPr>
          <w:rFonts w:ascii="Times New Roman" w:hAnsi="Times New Roman" w:cs="Times New Roman"/>
          <w:iCs/>
        </w:rPr>
        <w:t>condiciones ma</w:t>
      </w:r>
      <w:r w:rsidRPr="005A2345">
        <w:rPr>
          <w:rFonts w:ascii="Times New Roman" w:hAnsi="Times New Roman" w:cs="Times New Roman"/>
          <w:iCs/>
        </w:rPr>
        <w:t>teriales que justificaron la reserva se mantengan a lo largo de todo el período.</w:t>
      </w:r>
    </w:p>
    <w:p w:rsidR="00E50522" w:rsidRPr="005A2345" w:rsidRDefault="005A2345" w:rsidP="00920EFA">
      <w:pPr>
        <w:jc w:val="both"/>
        <w:rPr>
          <w:rFonts w:ascii="Times New Roman" w:hAnsi="Times New Roman" w:cs="Times New Roman"/>
          <w:sz w:val="28"/>
        </w:rPr>
      </w:pPr>
    </w:p>
    <w:p w:rsidR="00920EFA" w:rsidRPr="005A2345" w:rsidRDefault="005A2345" w:rsidP="00076595">
      <w:pPr>
        <w:pStyle w:val="Prrafodelista"/>
        <w:numPr>
          <w:ilvl w:val="0"/>
          <w:numId w:val="5"/>
        </w:numPr>
        <w:tabs>
          <w:tab w:val="left" w:pos="567"/>
        </w:tabs>
        <w:spacing w:after="0" w:line="240" w:lineRule="auto"/>
        <w:ind w:left="0" w:firstLine="0"/>
        <w:jc w:val="both"/>
        <w:rPr>
          <w:rFonts w:ascii="Times New Roman" w:hAnsi="Times New Roman" w:cs="Times New Roman"/>
          <w:bCs/>
        </w:rPr>
      </w:pPr>
      <w:r w:rsidRPr="005A2345">
        <w:rPr>
          <w:rFonts w:ascii="Times New Roman" w:hAnsi="Times New Roman" w:cs="Times New Roman"/>
          <w:i/>
        </w:rPr>
        <w:t>Conclusión</w:t>
      </w:r>
      <w:r w:rsidRPr="005A2345">
        <w:rPr>
          <w:rFonts w:ascii="Times New Roman" w:hAnsi="Times New Roman" w:cs="Times New Roman"/>
        </w:rPr>
        <w:t>.</w:t>
      </w:r>
      <w:r w:rsidRPr="005A2345">
        <w:rPr>
          <w:rFonts w:ascii="Times New Roman" w:hAnsi="Times New Roman" w:cs="Times New Roman"/>
        </w:rPr>
        <w:t xml:space="preserve"> </w:t>
      </w:r>
      <w:r w:rsidRPr="005A2345">
        <w:rPr>
          <w:rFonts w:ascii="Times New Roman" w:hAnsi="Times New Roman" w:cs="Times New Roman"/>
        </w:rPr>
        <w:t xml:space="preserve">De acuerdo al análisis precedente, la Corte concluye que el parágrafo 1° del artículo 6 de la Ley 2272 de 2022 no desconoce los derechos de petición ni de acceso </w:t>
      </w:r>
      <w:r w:rsidRPr="005A2345">
        <w:rPr>
          <w:rFonts w:ascii="Times New Roman" w:hAnsi="Times New Roman" w:cs="Times New Roman"/>
        </w:rPr>
        <w:t>a los documentos públicos, dispuestos en los artículos 23 y 74 de la Constitución, respectivamente, toda vez que se trata de una restricción razonable y proporcionada</w:t>
      </w:r>
      <w:r w:rsidRPr="005A2345">
        <w:rPr>
          <w:rFonts w:ascii="Times New Roman" w:hAnsi="Times New Roman" w:cs="Times New Roman"/>
        </w:rPr>
        <w:t>, en el ámbito de las conversaciones y negociaciones con actores armados</w:t>
      </w:r>
      <w:r w:rsidRPr="005A2345">
        <w:rPr>
          <w:rFonts w:ascii="Times New Roman" w:hAnsi="Times New Roman" w:cs="Times New Roman"/>
        </w:rPr>
        <w:t xml:space="preserve">. </w:t>
      </w:r>
      <w:r w:rsidRPr="005A2345">
        <w:rPr>
          <w:rFonts w:ascii="Times New Roman" w:hAnsi="Times New Roman" w:cs="Times New Roman"/>
        </w:rPr>
        <w:t>Además, se trata</w:t>
      </w:r>
      <w:r w:rsidRPr="005A2345">
        <w:rPr>
          <w:rFonts w:ascii="Times New Roman" w:hAnsi="Times New Roman" w:cs="Times New Roman"/>
        </w:rPr>
        <w:t xml:space="preserve"> de una restricción excepcional aplicable a asuntos en los que se encuentren en riesgo demostrado intereses públicos como lo son aquellos dispuestos en</w:t>
      </w:r>
      <w:r w:rsidRPr="005A2345">
        <w:rPr>
          <w:rFonts w:ascii="Times New Roman" w:hAnsi="Times New Roman" w:cs="Times New Roman"/>
          <w:bCs/>
        </w:rPr>
        <w:t xml:space="preserve"> </w:t>
      </w:r>
      <w:r w:rsidRPr="005A2345">
        <w:rPr>
          <w:rFonts w:ascii="Times New Roman" w:hAnsi="Times New Roman" w:cs="Times New Roman"/>
          <w:bCs/>
        </w:rPr>
        <w:t>los</w:t>
      </w:r>
      <w:r w:rsidRPr="005A2345">
        <w:rPr>
          <w:rFonts w:ascii="Times New Roman" w:hAnsi="Times New Roman" w:cs="Times New Roman"/>
          <w:bCs/>
        </w:rPr>
        <w:t xml:space="preserve"> artículo</w:t>
      </w:r>
      <w:r w:rsidRPr="005A2345">
        <w:rPr>
          <w:rFonts w:ascii="Times New Roman" w:hAnsi="Times New Roman" w:cs="Times New Roman"/>
          <w:bCs/>
        </w:rPr>
        <w:t>s 18 y</w:t>
      </w:r>
      <w:r w:rsidRPr="005A2345">
        <w:rPr>
          <w:rFonts w:ascii="Times New Roman" w:hAnsi="Times New Roman" w:cs="Times New Roman"/>
          <w:bCs/>
        </w:rPr>
        <w:t xml:space="preserve"> 19 de la Ley 1712 de 2014</w:t>
      </w:r>
      <w:r w:rsidRPr="005A2345">
        <w:rPr>
          <w:rFonts w:ascii="Times New Roman" w:hAnsi="Times New Roman" w:cs="Times New Roman"/>
          <w:bCs/>
        </w:rPr>
        <w:t xml:space="preserve"> y </w:t>
      </w:r>
      <w:r w:rsidRPr="005A2345">
        <w:rPr>
          <w:rFonts w:ascii="Times New Roman" w:hAnsi="Times New Roman" w:cs="Times New Roman"/>
          <w:bCs/>
        </w:rPr>
        <w:t xml:space="preserve">en </w:t>
      </w:r>
      <w:r w:rsidRPr="005A2345">
        <w:rPr>
          <w:rFonts w:ascii="Times New Roman" w:hAnsi="Times New Roman" w:cs="Times New Roman"/>
          <w:bCs/>
        </w:rPr>
        <w:t>el artículo 24 de la Ley 1755 de 2015</w:t>
      </w:r>
      <w:r w:rsidRPr="005A2345">
        <w:rPr>
          <w:rFonts w:ascii="Times New Roman" w:hAnsi="Times New Roman" w:cs="Times New Roman"/>
          <w:bCs/>
        </w:rPr>
        <w:t xml:space="preserve">. </w:t>
      </w:r>
    </w:p>
    <w:p w:rsidR="00920EFA" w:rsidRPr="005A2345" w:rsidRDefault="005A2345" w:rsidP="00920EFA">
      <w:pPr>
        <w:pStyle w:val="Prrafodelista"/>
        <w:tabs>
          <w:tab w:val="left" w:pos="567"/>
        </w:tabs>
        <w:spacing w:after="0" w:line="240" w:lineRule="auto"/>
        <w:ind w:left="0"/>
        <w:jc w:val="both"/>
        <w:rPr>
          <w:rFonts w:ascii="Times New Roman" w:hAnsi="Times New Roman" w:cs="Times New Roman"/>
          <w:bCs/>
        </w:rPr>
      </w:pPr>
    </w:p>
    <w:p w:rsidR="005B1FA8" w:rsidRPr="005A2345" w:rsidRDefault="005A2345" w:rsidP="00076595">
      <w:pPr>
        <w:pStyle w:val="Prrafodelista"/>
        <w:numPr>
          <w:ilvl w:val="0"/>
          <w:numId w:val="5"/>
        </w:numPr>
        <w:tabs>
          <w:tab w:val="left" w:pos="567"/>
        </w:tabs>
        <w:spacing w:after="0" w:line="240" w:lineRule="auto"/>
        <w:ind w:left="0" w:firstLine="0"/>
        <w:jc w:val="both"/>
        <w:rPr>
          <w:rFonts w:ascii="Times New Roman" w:hAnsi="Times New Roman" w:cs="Times New Roman"/>
        </w:rPr>
      </w:pPr>
      <w:r w:rsidRPr="005A2345">
        <w:rPr>
          <w:rFonts w:ascii="Times New Roman" w:hAnsi="Times New Roman" w:cs="Times New Roman"/>
          <w:i/>
          <w:iCs/>
        </w:rPr>
        <w:t>Condicionamiento de la declaratoria de exequibilidad.</w:t>
      </w:r>
      <w:r w:rsidRPr="005A2345">
        <w:rPr>
          <w:rFonts w:ascii="Times New Roman" w:hAnsi="Times New Roman" w:cs="Times New Roman"/>
        </w:rPr>
        <w:t xml:space="preserve"> </w:t>
      </w:r>
      <w:r w:rsidRPr="005A2345">
        <w:rPr>
          <w:rFonts w:ascii="Times New Roman" w:hAnsi="Times New Roman" w:cs="Times New Roman"/>
        </w:rPr>
        <w:t xml:space="preserve">Ahora bien, para la Corte la denegación de información pública en el marco de los asuntos referidos </w:t>
      </w:r>
      <w:r w:rsidRPr="005A2345">
        <w:rPr>
          <w:rFonts w:ascii="Times New Roman" w:hAnsi="Times New Roman" w:cs="Times New Roman"/>
        </w:rPr>
        <w:t xml:space="preserve">a </w:t>
      </w:r>
      <w:r w:rsidRPr="005A2345">
        <w:rPr>
          <w:rFonts w:ascii="Times New Roman" w:hAnsi="Times New Roman" w:cs="Times New Roman"/>
        </w:rPr>
        <w:t xml:space="preserve">las </w:t>
      </w:r>
      <w:r w:rsidRPr="005A2345">
        <w:rPr>
          <w:rFonts w:ascii="Times New Roman" w:hAnsi="Times New Roman" w:cs="Times New Roman"/>
        </w:rPr>
        <w:t>conversaciones y negociaciones con actores armados que se traten en las sesiones del Gabinete de</w:t>
      </w:r>
      <w:r w:rsidRPr="005A2345">
        <w:rPr>
          <w:rFonts w:ascii="Times New Roman" w:hAnsi="Times New Roman" w:cs="Times New Roman"/>
        </w:rPr>
        <w:t xml:space="preserve"> Paz, así como la información y documentos que se expidan en esta materia, resulta justificada a la luz </w:t>
      </w:r>
      <w:r w:rsidRPr="005A2345">
        <w:rPr>
          <w:rFonts w:ascii="Times New Roman" w:hAnsi="Times New Roman" w:cs="Times New Roman"/>
        </w:rPr>
        <w:t>de la Constitución</w:t>
      </w:r>
      <w:r w:rsidRPr="005A2345">
        <w:rPr>
          <w:rFonts w:ascii="Times New Roman" w:hAnsi="Times New Roman" w:cs="Times New Roman"/>
        </w:rPr>
        <w:t xml:space="preserve">, solo si se cumple con las obligaciones dispuestas de las leyes estatutarias en materia de </w:t>
      </w:r>
      <w:r w:rsidRPr="005A2345">
        <w:rPr>
          <w:rFonts w:ascii="Times New Roman" w:hAnsi="Times New Roman" w:cs="Times New Roman"/>
        </w:rPr>
        <w:t>transparencia y acceso a la información pú</w:t>
      </w:r>
      <w:r w:rsidRPr="005A2345">
        <w:rPr>
          <w:rFonts w:ascii="Times New Roman" w:hAnsi="Times New Roman" w:cs="Times New Roman"/>
        </w:rPr>
        <w:t>blica</w:t>
      </w:r>
      <w:r w:rsidRPr="005A2345">
        <w:rPr>
          <w:rFonts w:ascii="Times New Roman" w:hAnsi="Times New Roman" w:cs="Times New Roman"/>
        </w:rPr>
        <w:t>,</w:t>
      </w:r>
      <w:r w:rsidRPr="005A2345">
        <w:rPr>
          <w:rFonts w:ascii="Times New Roman" w:hAnsi="Times New Roman" w:cs="Times New Roman"/>
        </w:rPr>
        <w:t xml:space="preserve"> así como la que regula el derecho de petición. Como lo pusieron de presente la mayoría de las intervenciones, </w:t>
      </w:r>
      <w:r w:rsidRPr="005A2345">
        <w:rPr>
          <w:rFonts w:ascii="Times New Roman" w:hAnsi="Times New Roman" w:cs="Times New Roman"/>
        </w:rPr>
        <w:t xml:space="preserve">al no establecerse con precisión el objeto de la eventual reserva, </w:t>
      </w:r>
      <w:r w:rsidRPr="005A2345">
        <w:rPr>
          <w:rFonts w:ascii="Times New Roman" w:hAnsi="Times New Roman" w:cs="Times New Roman"/>
        </w:rPr>
        <w:t>podría entenderse una amplia</w:t>
      </w:r>
      <w:r w:rsidRPr="005A2345">
        <w:rPr>
          <w:rFonts w:ascii="Times New Roman" w:hAnsi="Times New Roman" w:cs="Times New Roman"/>
        </w:rPr>
        <w:t xml:space="preserve"> discrecionalidad del Gabinete de Paz. </w:t>
      </w:r>
    </w:p>
    <w:p w:rsidR="005B1FA8" w:rsidRPr="005A2345" w:rsidRDefault="005A2345" w:rsidP="005B1FA8">
      <w:pPr>
        <w:pStyle w:val="Prrafodelista"/>
        <w:rPr>
          <w:rFonts w:ascii="Times New Roman" w:hAnsi="Times New Roman" w:cs="Times New Roman"/>
        </w:rPr>
      </w:pPr>
    </w:p>
    <w:p w:rsidR="008D0AD7" w:rsidRPr="005A2345" w:rsidRDefault="005A2345" w:rsidP="00076595">
      <w:pPr>
        <w:pStyle w:val="Prrafodelista"/>
        <w:numPr>
          <w:ilvl w:val="0"/>
          <w:numId w:val="5"/>
        </w:numPr>
        <w:tabs>
          <w:tab w:val="left" w:pos="567"/>
        </w:tabs>
        <w:spacing w:after="0" w:line="240" w:lineRule="auto"/>
        <w:ind w:left="0" w:firstLine="0"/>
        <w:jc w:val="both"/>
        <w:rPr>
          <w:rFonts w:ascii="Times New Roman" w:hAnsi="Times New Roman" w:cs="Times New Roman"/>
        </w:rPr>
      </w:pPr>
      <w:r w:rsidRPr="005A2345">
        <w:rPr>
          <w:rFonts w:ascii="Times New Roman" w:hAnsi="Times New Roman" w:cs="Times New Roman"/>
        </w:rPr>
        <w:t>Cab</w:t>
      </w:r>
      <w:r w:rsidRPr="005A2345">
        <w:rPr>
          <w:rFonts w:ascii="Times New Roman" w:hAnsi="Times New Roman" w:cs="Times New Roman"/>
        </w:rPr>
        <w:t>e precisar, que la jurisprudencia constitucional ha condicionado la lectura de una norma en aquellos casos en los que admite dos interpretaciones, una de las cuales es inconstitucional. De esa forma, le corresponde a la Corte declarar la exequibilidad cond</w:t>
      </w:r>
      <w:r w:rsidRPr="005A2345">
        <w:rPr>
          <w:rFonts w:ascii="Times New Roman" w:hAnsi="Times New Roman" w:cs="Times New Roman"/>
        </w:rPr>
        <w:t xml:space="preserve">icionada con el fin de </w:t>
      </w:r>
      <w:r w:rsidRPr="005A2345">
        <w:rPr>
          <w:rFonts w:ascii="Times New Roman" w:hAnsi="Times New Roman" w:cs="Times New Roman"/>
          <w:i/>
          <w:iCs/>
        </w:rPr>
        <w:t xml:space="preserve">(i) </w:t>
      </w:r>
      <w:r w:rsidRPr="005A2345">
        <w:rPr>
          <w:rFonts w:ascii="Times New Roman" w:hAnsi="Times New Roman" w:cs="Times New Roman"/>
        </w:rPr>
        <w:t xml:space="preserve">garantizar la supremacía de la Constitución, expulsando del ordenamiento jurídico la interpretación que no se ajusta a derecho y, </w:t>
      </w:r>
      <w:r w:rsidRPr="005A2345">
        <w:rPr>
          <w:rFonts w:ascii="Times New Roman" w:hAnsi="Times New Roman" w:cs="Times New Roman"/>
          <w:i/>
          <w:iCs/>
        </w:rPr>
        <w:t xml:space="preserve">(ii) </w:t>
      </w:r>
      <w:r w:rsidRPr="005A2345">
        <w:rPr>
          <w:rFonts w:ascii="Times New Roman" w:hAnsi="Times New Roman" w:cs="Times New Roman"/>
        </w:rPr>
        <w:t>al mismo tiempo, de acuerdo con el principio de conservación del derecho, preservar aquella qu</w:t>
      </w:r>
      <w:r w:rsidRPr="005A2345">
        <w:rPr>
          <w:rFonts w:ascii="Times New Roman" w:hAnsi="Times New Roman" w:cs="Times New Roman"/>
        </w:rPr>
        <w:t>e es compatible con la norma superior.</w:t>
      </w:r>
      <w:r w:rsidRPr="005A2345">
        <w:rPr>
          <w:rStyle w:val="Refdenotaalpie"/>
          <w:rFonts w:ascii="Times New Roman" w:hAnsi="Times New Roman" w:cs="Times New Roman"/>
        </w:rPr>
        <w:footnoteReference w:id="96"/>
      </w:r>
    </w:p>
    <w:p w:rsidR="008D0AD7" w:rsidRPr="005A2345" w:rsidRDefault="005A2345" w:rsidP="008D0AD7">
      <w:pPr>
        <w:pStyle w:val="Prrafodelista"/>
        <w:rPr>
          <w:rFonts w:ascii="Times New Roman" w:hAnsi="Times New Roman" w:cs="Times New Roman"/>
        </w:rPr>
      </w:pPr>
    </w:p>
    <w:p w:rsidR="004742C9" w:rsidRPr="005A2345" w:rsidRDefault="005A2345" w:rsidP="00076595">
      <w:pPr>
        <w:pStyle w:val="Prrafodelista"/>
        <w:numPr>
          <w:ilvl w:val="0"/>
          <w:numId w:val="5"/>
        </w:numPr>
        <w:tabs>
          <w:tab w:val="left" w:pos="567"/>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En efecto, </w:t>
      </w:r>
      <w:r w:rsidRPr="005A2345">
        <w:rPr>
          <w:rFonts w:ascii="Times New Roman" w:hAnsi="Times New Roman" w:cs="Times New Roman"/>
        </w:rPr>
        <w:t>la lectura del parágrafo</w:t>
      </w:r>
      <w:r w:rsidRPr="005A2345">
        <w:rPr>
          <w:rFonts w:ascii="Times New Roman" w:hAnsi="Times New Roman" w:cs="Times New Roman"/>
        </w:rPr>
        <w:t xml:space="preserve"> demandado</w:t>
      </w:r>
      <w:r w:rsidRPr="005A2345">
        <w:rPr>
          <w:rFonts w:ascii="Times New Roman" w:hAnsi="Times New Roman" w:cs="Times New Roman"/>
        </w:rPr>
        <w:t xml:space="preserve"> permite dos interpretaciones. La primera, sugiere que la reserva queda a discreción del Consejero</w:t>
      </w:r>
      <w:r w:rsidRPr="005A2345">
        <w:rPr>
          <w:rFonts w:ascii="Times New Roman" w:hAnsi="Times New Roman" w:cs="Times New Roman"/>
        </w:rPr>
        <w:t xml:space="preserve"> Comisionado de Paz como miembro del Gabinete de Paz, y por tanto, cuent</w:t>
      </w:r>
      <w:r w:rsidRPr="005A2345">
        <w:rPr>
          <w:rFonts w:ascii="Times New Roman" w:hAnsi="Times New Roman" w:cs="Times New Roman"/>
        </w:rPr>
        <w:t>a con una amplia e indeterminada facultad que puede ir en contra de la jurisprudencia constitucional para la limitación del acceso a la información pública. La segunda interpretación que se desprende de la lectura de la norma, sugiere que la autorización d</w:t>
      </w:r>
      <w:r w:rsidRPr="005A2345">
        <w:rPr>
          <w:rFonts w:ascii="Times New Roman" w:hAnsi="Times New Roman" w:cs="Times New Roman"/>
        </w:rPr>
        <w:t xml:space="preserve">e la imposición de la reserva solo es válida en la medida en que se efectúe atendiendo lo dispuesto en la Ley 1712 de 2014 en materia de transparencia y acceso a la información pública, así como la Ley 1755 de 2015, relacionada con el derecho de petición. </w:t>
      </w:r>
      <w:r w:rsidRPr="005A2345">
        <w:rPr>
          <w:rFonts w:ascii="Times New Roman" w:hAnsi="Times New Roman" w:cs="Times New Roman"/>
        </w:rPr>
        <w:t xml:space="preserve">Esta última interpretación es la que debe prevalecer al ser acorde con la Constitución y las leyes estatutarias aplicables en la materia. </w:t>
      </w:r>
      <w:r w:rsidRPr="005A2345">
        <w:rPr>
          <w:rFonts w:ascii="Times New Roman" w:hAnsi="Times New Roman" w:cs="Times New Roman"/>
        </w:rPr>
        <w:t>Con lo anterior, se expulsa del ordenamiento la interpretación contraria a la Constitución, según la cual se deja al a</w:t>
      </w:r>
      <w:r w:rsidRPr="005A2345">
        <w:rPr>
          <w:rFonts w:ascii="Times New Roman" w:hAnsi="Times New Roman" w:cs="Times New Roman"/>
        </w:rPr>
        <w:t xml:space="preserve">rbitrio de la autoridad pública competente el establecimiento de condiciones de reserva. </w:t>
      </w:r>
    </w:p>
    <w:p w:rsidR="001A1688" w:rsidRPr="005A2345" w:rsidRDefault="005A2345" w:rsidP="001A1688">
      <w:pPr>
        <w:rPr>
          <w:rFonts w:ascii="Times New Roman" w:hAnsi="Times New Roman" w:cs="Times New Roman"/>
          <w:sz w:val="28"/>
        </w:rPr>
      </w:pPr>
    </w:p>
    <w:p w:rsidR="0000262E" w:rsidRPr="005A2345" w:rsidRDefault="005A2345" w:rsidP="00076595">
      <w:pPr>
        <w:pStyle w:val="Prrafodelista"/>
        <w:numPr>
          <w:ilvl w:val="0"/>
          <w:numId w:val="5"/>
        </w:numPr>
        <w:tabs>
          <w:tab w:val="left" w:pos="567"/>
        </w:tabs>
        <w:spacing w:after="0" w:line="240" w:lineRule="auto"/>
        <w:ind w:left="0" w:firstLine="0"/>
        <w:jc w:val="both"/>
        <w:rPr>
          <w:rFonts w:ascii="Times New Roman" w:hAnsi="Times New Roman" w:cs="Times New Roman"/>
        </w:rPr>
      </w:pPr>
      <w:r w:rsidRPr="005A2345">
        <w:rPr>
          <w:rFonts w:ascii="Times New Roman" w:hAnsi="Times New Roman" w:cs="Times New Roman"/>
        </w:rPr>
        <w:t xml:space="preserve">Por tanto, es necesario condicionar </w:t>
      </w:r>
      <w:r w:rsidRPr="005A2345">
        <w:rPr>
          <w:rFonts w:ascii="Times New Roman" w:hAnsi="Times New Roman" w:cs="Times New Roman"/>
        </w:rPr>
        <w:t>la disposición objeto de estudio</w:t>
      </w:r>
      <w:r w:rsidRPr="005A2345">
        <w:rPr>
          <w:rFonts w:ascii="Times New Roman" w:hAnsi="Times New Roman" w:cs="Times New Roman"/>
        </w:rPr>
        <w:t>,</w:t>
      </w:r>
      <w:r w:rsidRPr="005A2345">
        <w:rPr>
          <w:rFonts w:ascii="Times New Roman" w:hAnsi="Times New Roman" w:cs="Times New Roman"/>
        </w:rPr>
        <w:t xml:space="preserve"> en el entendido de que cualquier negativa de acceso a la información pública debe obedecer a los parámetros de las leyes estatutarias que regulan el ejercicio de los derechos fundamentales involucrados</w:t>
      </w:r>
      <w:r w:rsidRPr="005A2345">
        <w:rPr>
          <w:rFonts w:ascii="Times New Roman" w:hAnsi="Times New Roman" w:cs="Times New Roman"/>
        </w:rPr>
        <w:t xml:space="preserve">, </w:t>
      </w:r>
      <w:r w:rsidRPr="005A2345">
        <w:rPr>
          <w:rFonts w:ascii="Times New Roman" w:hAnsi="Times New Roman" w:cs="Times New Roman"/>
          <w:lang w:val="es-ES"/>
        </w:rPr>
        <w:t>y, por tanto, su denegación deberá estar suficientem</w:t>
      </w:r>
      <w:r w:rsidRPr="005A2345">
        <w:rPr>
          <w:rFonts w:ascii="Times New Roman" w:hAnsi="Times New Roman" w:cs="Times New Roman"/>
          <w:lang w:val="es-ES"/>
        </w:rPr>
        <w:t xml:space="preserve">ente motivada y demostrada su necesidad. </w:t>
      </w:r>
    </w:p>
    <w:p w:rsidR="004742C9" w:rsidRPr="005A2345" w:rsidRDefault="005A2345" w:rsidP="0000262E">
      <w:pPr>
        <w:rPr>
          <w:rFonts w:ascii="Times New Roman" w:hAnsi="Times New Roman" w:cs="Times New Roman"/>
          <w:sz w:val="28"/>
        </w:rPr>
      </w:pPr>
    </w:p>
    <w:p w:rsidR="00AC3D73" w:rsidRPr="005A2345" w:rsidRDefault="005A2345" w:rsidP="00076595">
      <w:pPr>
        <w:pStyle w:val="Prrafodelista"/>
        <w:numPr>
          <w:ilvl w:val="0"/>
          <w:numId w:val="5"/>
        </w:numPr>
        <w:tabs>
          <w:tab w:val="left" w:pos="567"/>
        </w:tabs>
        <w:spacing w:after="0" w:line="240" w:lineRule="auto"/>
        <w:ind w:left="0" w:firstLine="0"/>
        <w:jc w:val="both"/>
        <w:rPr>
          <w:rFonts w:ascii="Times New Roman" w:hAnsi="Times New Roman" w:cs="Times New Roman"/>
        </w:rPr>
      </w:pPr>
      <w:r w:rsidRPr="005A2345">
        <w:rPr>
          <w:rFonts w:ascii="Times New Roman" w:hAnsi="Times New Roman" w:cs="Times New Roman"/>
          <w:i/>
          <w:iCs/>
        </w:rPr>
        <w:t>La inexequibilidad de la reserva en</w:t>
      </w:r>
      <w:r w:rsidRPr="005A2345">
        <w:rPr>
          <w:rFonts w:ascii="Times New Roman" w:hAnsi="Times New Roman" w:cs="Times New Roman"/>
          <w:i/>
          <w:iCs/>
        </w:rPr>
        <w:t xml:space="preserve"> el</w:t>
      </w:r>
      <w:r w:rsidRPr="005A2345">
        <w:rPr>
          <w:rFonts w:ascii="Times New Roman" w:hAnsi="Times New Roman" w:cs="Times New Roman"/>
          <w:i/>
          <w:iCs/>
        </w:rPr>
        <w:t xml:space="preserve"> caso de los “acuerdos” con </w:t>
      </w:r>
      <w:r w:rsidRPr="005A2345">
        <w:rPr>
          <w:rFonts w:ascii="Times New Roman" w:hAnsi="Times New Roman" w:cs="Times New Roman"/>
          <w:i/>
          <w:iCs/>
        </w:rPr>
        <w:t>actores armados que se traten en las sesiones del Gabinete de Paz, así como la información y documentos que se expidan en esta materia.</w:t>
      </w:r>
      <w:r w:rsidRPr="005A2345">
        <w:rPr>
          <w:rFonts w:ascii="Times New Roman" w:hAnsi="Times New Roman" w:cs="Times New Roman"/>
        </w:rPr>
        <w:t xml:space="preserve"> La Sala Plena estima que</w:t>
      </w:r>
      <w:r w:rsidRPr="005A2345">
        <w:rPr>
          <w:rFonts w:ascii="Times New Roman" w:hAnsi="Times New Roman" w:cs="Times New Roman"/>
        </w:rPr>
        <w:t>,</w:t>
      </w:r>
      <w:r w:rsidRPr="005A2345">
        <w:rPr>
          <w:rFonts w:ascii="Times New Roman" w:hAnsi="Times New Roman" w:cs="Times New Roman"/>
        </w:rPr>
        <w:t xml:space="preserve"> a diferencia de los expuesto en el caso de la posibilidad de la reserva en las fa</w:t>
      </w:r>
      <w:r w:rsidRPr="005A2345">
        <w:rPr>
          <w:rFonts w:ascii="Times New Roman" w:hAnsi="Times New Roman" w:cs="Times New Roman"/>
        </w:rPr>
        <w:t>s</w:t>
      </w:r>
      <w:r w:rsidRPr="005A2345">
        <w:rPr>
          <w:rFonts w:ascii="Times New Roman" w:hAnsi="Times New Roman" w:cs="Times New Roman"/>
        </w:rPr>
        <w:t>es de negociaciones y conversaciones, en el caso de los acuerdos con grupos armados no puede proceder ningún tipo de reserva de información, toda v</w:t>
      </w:r>
      <w:r w:rsidRPr="005A2345">
        <w:rPr>
          <w:rFonts w:ascii="Times New Roman" w:hAnsi="Times New Roman" w:cs="Times New Roman"/>
        </w:rPr>
        <w:t xml:space="preserve">ez que, precisamente, </w:t>
      </w:r>
      <w:r w:rsidRPr="005A2345">
        <w:rPr>
          <w:rFonts w:ascii="Times New Roman" w:hAnsi="Times New Roman" w:cs="Times New Roman"/>
        </w:rPr>
        <w:t>cuando se llega a un acuerdo se configura</w:t>
      </w:r>
      <w:r w:rsidRPr="005A2345">
        <w:rPr>
          <w:rFonts w:ascii="Times New Roman" w:hAnsi="Times New Roman" w:cs="Times New Roman"/>
        </w:rPr>
        <w:t xml:space="preserve"> la culminación del proceso. </w:t>
      </w:r>
      <w:r w:rsidRPr="005A2345">
        <w:rPr>
          <w:rFonts w:ascii="Times New Roman" w:hAnsi="Times New Roman" w:cs="Times New Roman"/>
        </w:rPr>
        <w:t>Como se señaló en la parte motiva y caso concreto de esta providencia, en el caso de procesos de paz, el acceso a la información pública puede tener una reserva gra</w:t>
      </w:r>
      <w:r w:rsidRPr="005A2345">
        <w:rPr>
          <w:rFonts w:ascii="Times New Roman" w:hAnsi="Times New Roman" w:cs="Times New Roman"/>
        </w:rPr>
        <w:t xml:space="preserve">dual que va disminuyendo en la medida en que las negociaciones con los actores armados avanzan. </w:t>
      </w:r>
    </w:p>
    <w:p w:rsidR="00AC3D73" w:rsidRPr="005A2345" w:rsidRDefault="005A2345" w:rsidP="00AC3D73">
      <w:pPr>
        <w:pStyle w:val="Prrafodelista"/>
        <w:rPr>
          <w:rFonts w:ascii="Times New Roman" w:hAnsi="Times New Roman" w:cs="Times New Roman"/>
        </w:rPr>
      </w:pPr>
    </w:p>
    <w:p w:rsidR="00A2371A" w:rsidRPr="005A2345" w:rsidRDefault="005A2345" w:rsidP="00076595">
      <w:pPr>
        <w:pStyle w:val="Prrafodelista"/>
        <w:numPr>
          <w:ilvl w:val="0"/>
          <w:numId w:val="5"/>
        </w:numPr>
        <w:tabs>
          <w:tab w:val="left" w:pos="567"/>
        </w:tabs>
        <w:spacing w:after="0" w:line="240" w:lineRule="auto"/>
        <w:ind w:left="0" w:firstLine="0"/>
        <w:jc w:val="both"/>
        <w:rPr>
          <w:rFonts w:ascii="Times New Roman" w:hAnsi="Times New Roman" w:cs="Times New Roman"/>
        </w:rPr>
      </w:pPr>
      <w:r w:rsidRPr="005A2345">
        <w:rPr>
          <w:rFonts w:ascii="Times New Roman" w:hAnsi="Times New Roman" w:cs="Times New Roman"/>
        </w:rPr>
        <w:t>En ese orden</w:t>
      </w:r>
      <w:r w:rsidRPr="005A2345">
        <w:rPr>
          <w:rFonts w:ascii="Times New Roman" w:hAnsi="Times New Roman" w:cs="Times New Roman"/>
        </w:rPr>
        <w:t xml:space="preserve">, </w:t>
      </w:r>
      <w:r w:rsidRPr="005A2345">
        <w:rPr>
          <w:rFonts w:ascii="Times New Roman" w:hAnsi="Times New Roman" w:cs="Times New Roman"/>
        </w:rPr>
        <w:t>una vez se alcanza un acuerdo no hay un fin legítimo que deba proteger la reserva de la información</w:t>
      </w:r>
      <w:r w:rsidRPr="005A2345">
        <w:rPr>
          <w:rFonts w:ascii="Times New Roman" w:hAnsi="Times New Roman" w:cs="Times New Roman"/>
        </w:rPr>
        <w:t>, pues cualquiera de las causales expuestas e</w:t>
      </w:r>
      <w:r w:rsidRPr="005A2345">
        <w:rPr>
          <w:rFonts w:ascii="Times New Roman" w:hAnsi="Times New Roman" w:cs="Times New Roman"/>
        </w:rPr>
        <w:t xml:space="preserve">n el régimen estatutario, harán parte de documentos de política pública que deben ser ejecutados acorde con los acordado entre las partes. </w:t>
      </w:r>
      <w:r w:rsidRPr="005A2345">
        <w:rPr>
          <w:rFonts w:ascii="Times New Roman" w:hAnsi="Times New Roman" w:cs="Times New Roman"/>
        </w:rPr>
        <w:t xml:space="preserve"> Además, </w:t>
      </w:r>
      <w:r w:rsidRPr="005A2345">
        <w:rPr>
          <w:rFonts w:ascii="Times New Roman" w:hAnsi="Times New Roman" w:cs="Times New Roman"/>
        </w:rPr>
        <w:t xml:space="preserve">la reserva en el caso de los acuerdos </w:t>
      </w:r>
      <w:r w:rsidRPr="005A2345">
        <w:rPr>
          <w:rFonts w:ascii="Times New Roman" w:hAnsi="Times New Roman" w:cs="Times New Roman"/>
        </w:rPr>
        <w:t xml:space="preserve">es desproporcionada en estricto sentido, toda vez que se entiende que </w:t>
      </w:r>
      <w:r w:rsidRPr="005A2345">
        <w:rPr>
          <w:rFonts w:ascii="Times New Roman" w:hAnsi="Times New Roman" w:cs="Times New Roman"/>
        </w:rPr>
        <w:t xml:space="preserve">al ser “acuerdos” se van </w:t>
      </w:r>
      <w:r w:rsidRPr="005A2345">
        <w:rPr>
          <w:rFonts w:ascii="Times New Roman" w:hAnsi="Times New Roman" w:cs="Times New Roman"/>
        </w:rPr>
        <w:t>a ver</w:t>
      </w:r>
      <w:r w:rsidRPr="005A2345">
        <w:rPr>
          <w:rFonts w:ascii="Times New Roman" w:hAnsi="Times New Roman" w:cs="Times New Roman"/>
        </w:rPr>
        <w:t xml:space="preserve"> reflejados en las políticas públicas del Estado y, en consecuencia, como lo indica la misma norma, en la ejecución presupuestal de los Ministerios a cargo, al ser parte de los planes de desarrollo</w:t>
      </w:r>
      <w:r w:rsidRPr="005A2345">
        <w:rPr>
          <w:rFonts w:ascii="Times New Roman" w:hAnsi="Times New Roman" w:cs="Times New Roman"/>
        </w:rPr>
        <w:t>, programas, entre otros</w:t>
      </w:r>
      <w:r w:rsidRPr="005A2345">
        <w:rPr>
          <w:rFonts w:ascii="Times New Roman" w:hAnsi="Times New Roman" w:cs="Times New Roman"/>
        </w:rPr>
        <w:t>.</w:t>
      </w:r>
      <w:r w:rsidRPr="005A2345">
        <w:rPr>
          <w:rFonts w:ascii="Times New Roman" w:hAnsi="Times New Roman" w:cs="Times New Roman"/>
        </w:rPr>
        <w:t xml:space="preserve"> En </w:t>
      </w:r>
      <w:r w:rsidRPr="005A2345">
        <w:rPr>
          <w:rFonts w:ascii="Times New Roman" w:hAnsi="Times New Roman" w:cs="Times New Roman"/>
        </w:rPr>
        <w:t xml:space="preserve">efecto, la información relacionada con la ejecución presupuestal de los Ministerios a cargo, no es una excepción a la reserva, sino que se entiende como un elemento que está a disposición de la ciudadanía en todo momento, bien sea en los acuerdos, como en </w:t>
      </w:r>
      <w:r w:rsidRPr="005A2345">
        <w:rPr>
          <w:rFonts w:ascii="Times New Roman" w:hAnsi="Times New Roman" w:cs="Times New Roman"/>
        </w:rPr>
        <w:t>las negociaciones y conversaciones.</w:t>
      </w:r>
      <w:r w:rsidRPr="005A2345">
        <w:rPr>
          <w:rFonts w:ascii="Times New Roman" w:hAnsi="Times New Roman" w:cs="Times New Roman"/>
        </w:rPr>
        <w:t xml:space="preserve"> Lo anterior se ve respaldado con otras disposiciones de la Ley 2272 que contemplan que “se fijarán programas, políticas y proyectos dirigidos al cumplimiento de los </w:t>
      </w:r>
      <w:r w:rsidRPr="005A2345">
        <w:rPr>
          <w:rFonts w:ascii="Times New Roman" w:hAnsi="Times New Roman" w:cs="Times New Roman"/>
          <w:i/>
          <w:iCs/>
        </w:rPr>
        <w:t>acuerdos pactados</w:t>
      </w:r>
      <w:r w:rsidRPr="005A2345">
        <w:rPr>
          <w:rFonts w:ascii="Times New Roman" w:hAnsi="Times New Roman" w:cs="Times New Roman"/>
        </w:rPr>
        <w:t xml:space="preserve">” y que establecen que los acuerdos y </w:t>
      </w:r>
      <w:r w:rsidRPr="005A2345">
        <w:rPr>
          <w:rFonts w:ascii="Times New Roman" w:hAnsi="Times New Roman" w:cs="Times New Roman"/>
        </w:rPr>
        <w:t xml:space="preserve">acuerdos parciales constituyen una política pública de Estado. </w:t>
      </w:r>
      <w:r w:rsidRPr="005A2345">
        <w:rPr>
          <w:rFonts w:ascii="Times New Roman" w:hAnsi="Times New Roman" w:cs="Times New Roman"/>
        </w:rPr>
        <w:t>S</w:t>
      </w:r>
      <w:r w:rsidRPr="005A2345">
        <w:rPr>
          <w:rFonts w:ascii="Times New Roman" w:hAnsi="Times New Roman" w:cs="Times New Roman"/>
          <w:bCs/>
          <w:color w:val="000000"/>
          <w:lang w:val="es-ES"/>
        </w:rPr>
        <w:t>on especialmente relevantes</w:t>
      </w:r>
      <w:r w:rsidRPr="005A2345">
        <w:rPr>
          <w:rFonts w:ascii="Times New Roman" w:hAnsi="Times New Roman" w:cs="Times New Roman"/>
          <w:bCs/>
          <w:color w:val="000000"/>
          <w:lang w:val="es-ES"/>
        </w:rPr>
        <w:t>,</w:t>
      </w:r>
      <w:r w:rsidRPr="005A2345">
        <w:rPr>
          <w:rFonts w:ascii="Times New Roman" w:hAnsi="Times New Roman" w:cs="Times New Roman"/>
          <w:bCs/>
          <w:color w:val="000000"/>
          <w:lang w:val="es-ES"/>
        </w:rPr>
        <w:t xml:space="preserve"> el artículo 6 y el parágrafo 7 del artículo 8 de la Ley 418 de 1997 -modificados ambos por la Ley 2272 de 2022-:</w:t>
      </w:r>
    </w:p>
    <w:p w:rsidR="00A2371A" w:rsidRPr="005A2345" w:rsidRDefault="005A2345" w:rsidP="00A2371A">
      <w:pPr>
        <w:contextualSpacing/>
        <w:jc w:val="both"/>
        <w:rPr>
          <w:rFonts w:ascii="Times New Roman" w:hAnsi="Times New Roman" w:cs="Times New Roman"/>
          <w:bCs/>
          <w:color w:val="000000"/>
          <w:sz w:val="28"/>
          <w:lang w:val="es-ES"/>
        </w:rPr>
      </w:pPr>
    </w:p>
    <w:p w:rsidR="00A2371A" w:rsidRPr="005A2345" w:rsidRDefault="005A2345" w:rsidP="003E6184">
      <w:pPr>
        <w:ind w:left="851" w:right="618"/>
        <w:contextualSpacing/>
        <w:jc w:val="both"/>
        <w:rPr>
          <w:rFonts w:ascii="Times New Roman" w:hAnsi="Times New Roman" w:cs="Times New Roman"/>
          <w:bCs/>
          <w:color w:val="000000"/>
          <w:sz w:val="28"/>
          <w:szCs w:val="26"/>
          <w:lang w:val="es-ES"/>
        </w:rPr>
      </w:pPr>
      <w:r w:rsidRPr="005A2345">
        <w:rPr>
          <w:rFonts w:ascii="Times New Roman" w:hAnsi="Times New Roman" w:cs="Times New Roman"/>
          <w:color w:val="000000"/>
          <w:sz w:val="28"/>
          <w:szCs w:val="26"/>
        </w:rPr>
        <w:t>«</w:t>
      </w:r>
      <w:r w:rsidRPr="005A2345">
        <w:rPr>
          <w:rFonts w:ascii="Times New Roman" w:hAnsi="Times New Roman" w:cs="Times New Roman"/>
          <w:color w:val="000000"/>
          <w:sz w:val="28"/>
          <w:szCs w:val="26"/>
        </w:rPr>
        <w:t xml:space="preserve">Artículo 6. En el Plan Nacional de Desarrollo y en los Planes de Desarrollo Locales de las entidades territoriales </w:t>
      </w:r>
      <w:r w:rsidRPr="005A2345">
        <w:rPr>
          <w:rFonts w:ascii="Times New Roman" w:hAnsi="Times New Roman" w:cs="Times New Roman"/>
          <w:color w:val="000000"/>
          <w:sz w:val="28"/>
          <w:szCs w:val="26"/>
          <w:u w:val="single"/>
        </w:rPr>
        <w:t>se fijarán políticas, programas y proyectos, dirigidos al cumplimiento de los acuerdos de paz pactados</w:t>
      </w:r>
      <w:r w:rsidRPr="005A2345">
        <w:rPr>
          <w:rFonts w:ascii="Times New Roman" w:hAnsi="Times New Roman" w:cs="Times New Roman"/>
          <w:color w:val="000000"/>
          <w:sz w:val="28"/>
          <w:szCs w:val="26"/>
        </w:rPr>
        <w:t xml:space="preserve"> y el logro de la paz, así como el desa</w:t>
      </w:r>
      <w:r w:rsidRPr="005A2345">
        <w:rPr>
          <w:rFonts w:ascii="Times New Roman" w:hAnsi="Times New Roman" w:cs="Times New Roman"/>
          <w:color w:val="000000"/>
          <w:sz w:val="28"/>
          <w:szCs w:val="26"/>
        </w:rPr>
        <w:t>rrollo social y económico equitativo, la protección de la naturaleza y la integración de las regiones, en especial, los municipios más afectados por la violencia o aquellos en los que la presencia del Estado ha sido insuficiente, a través de la promoción d</w:t>
      </w:r>
      <w:r w:rsidRPr="005A2345">
        <w:rPr>
          <w:rFonts w:ascii="Times New Roman" w:hAnsi="Times New Roman" w:cs="Times New Roman"/>
          <w:color w:val="000000"/>
          <w:sz w:val="28"/>
          <w:szCs w:val="26"/>
        </w:rPr>
        <w:t>e su integración e inclusión. Lo anterior, con el propósito de alcanzar los fines del Estado, contenidos en el artículo </w:t>
      </w:r>
      <w:hyperlink r:id="rId39" w:anchor="2" w:history="1">
        <w:r w:rsidRPr="005A2345">
          <w:rPr>
            <w:rFonts w:ascii="Times New Roman" w:hAnsi="Times New Roman" w:cs="Times New Roman"/>
            <w:color w:val="000000"/>
            <w:sz w:val="28"/>
            <w:szCs w:val="26"/>
            <w:u w:val="single"/>
          </w:rPr>
          <w:t>2o</w:t>
        </w:r>
      </w:hyperlink>
      <w:r w:rsidRPr="005A2345">
        <w:rPr>
          <w:rFonts w:ascii="Times New Roman" w:hAnsi="Times New Roman" w:cs="Times New Roman"/>
          <w:color w:val="000000"/>
          <w:sz w:val="28"/>
          <w:szCs w:val="26"/>
        </w:rPr>
        <w:t> de la Constitución Política,</w:t>
      </w:r>
      <w:r w:rsidRPr="005A2345">
        <w:rPr>
          <w:rFonts w:ascii="Times New Roman" w:hAnsi="Times New Roman" w:cs="Times New Roman"/>
          <w:color w:val="000000"/>
          <w:sz w:val="28"/>
          <w:szCs w:val="26"/>
        </w:rPr>
        <w:t xml:space="preserve"> un orden justo democrático y pacífico, la convivencia y la paz. </w:t>
      </w:r>
      <w:r w:rsidRPr="005A2345">
        <w:rPr>
          <w:rFonts w:ascii="Times New Roman" w:hAnsi="Times New Roman" w:cs="Times New Roman"/>
          <w:color w:val="000000"/>
          <w:sz w:val="28"/>
          <w:szCs w:val="26"/>
          <w:u w:val="single"/>
        </w:rPr>
        <w:t>El cumplimiento de los acuerdos de paz pactados deberá estar acompañado de partidas presupuestales</w:t>
      </w:r>
      <w:r w:rsidRPr="005A2345">
        <w:rPr>
          <w:rFonts w:ascii="Times New Roman" w:hAnsi="Times New Roman" w:cs="Times New Roman"/>
          <w:color w:val="000000"/>
          <w:sz w:val="28"/>
          <w:szCs w:val="26"/>
        </w:rPr>
        <w:t xml:space="preserve"> garantizadas por el Gobierno nacional.</w:t>
      </w:r>
      <w:r w:rsidRPr="005A2345">
        <w:rPr>
          <w:rFonts w:ascii="Times New Roman" w:hAnsi="Times New Roman" w:cs="Times New Roman"/>
          <w:bCs/>
          <w:color w:val="000000"/>
          <w:sz w:val="28"/>
          <w:szCs w:val="26"/>
          <w:lang w:val="es-ES"/>
        </w:rPr>
        <w:t xml:space="preserve"> // Para el cumplimiento de lo dispuesto en el artícul</w:t>
      </w:r>
      <w:r w:rsidRPr="005A2345">
        <w:rPr>
          <w:rFonts w:ascii="Times New Roman" w:hAnsi="Times New Roman" w:cs="Times New Roman"/>
          <w:bCs/>
          <w:color w:val="000000"/>
          <w:sz w:val="28"/>
          <w:szCs w:val="26"/>
          <w:lang w:val="es-ES"/>
        </w:rPr>
        <w:t>o anterior estará sujeto a la disponibilidad presupuestal de las entidades territoriales. // El Plan Nacional de Desarrollo y los Planes de Desarrollo Locales tendrán un capítulo denominado “Proyectos, políticas y programas para la construcción de paz</w:t>
      </w:r>
      <w:r w:rsidRPr="005A2345">
        <w:rPr>
          <w:rFonts w:ascii="Times New Roman" w:hAnsi="Times New Roman" w:cs="Times New Roman"/>
          <w:bCs/>
          <w:color w:val="000000"/>
          <w:sz w:val="28"/>
          <w:szCs w:val="26"/>
          <w:lang w:val="es-ES"/>
        </w:rPr>
        <w:t>»</w:t>
      </w:r>
      <w:r w:rsidRPr="005A2345">
        <w:rPr>
          <w:rFonts w:ascii="Times New Roman" w:hAnsi="Times New Roman" w:cs="Times New Roman"/>
          <w:bCs/>
          <w:color w:val="000000"/>
          <w:sz w:val="28"/>
          <w:szCs w:val="26"/>
          <w:lang w:val="es-ES"/>
        </w:rPr>
        <w:t>. (É</w:t>
      </w:r>
      <w:r w:rsidRPr="005A2345">
        <w:rPr>
          <w:rFonts w:ascii="Times New Roman" w:hAnsi="Times New Roman" w:cs="Times New Roman"/>
          <w:bCs/>
          <w:color w:val="000000"/>
          <w:sz w:val="28"/>
          <w:szCs w:val="26"/>
          <w:lang w:val="es-ES"/>
        </w:rPr>
        <w:t xml:space="preserve">nfasis </w:t>
      </w:r>
      <w:r w:rsidRPr="005A2345">
        <w:rPr>
          <w:rFonts w:ascii="Times New Roman" w:hAnsi="Times New Roman" w:cs="Times New Roman"/>
          <w:bCs/>
          <w:color w:val="000000"/>
          <w:sz w:val="28"/>
          <w:szCs w:val="26"/>
          <w:lang w:val="es-ES"/>
        </w:rPr>
        <w:t>propio</w:t>
      </w:r>
      <w:r w:rsidRPr="005A2345">
        <w:rPr>
          <w:rFonts w:ascii="Times New Roman" w:hAnsi="Times New Roman" w:cs="Times New Roman"/>
          <w:bCs/>
          <w:color w:val="000000"/>
          <w:sz w:val="28"/>
          <w:szCs w:val="26"/>
          <w:lang w:val="es-ES"/>
        </w:rPr>
        <w:t>)</w:t>
      </w:r>
    </w:p>
    <w:p w:rsidR="00A2371A" w:rsidRPr="005A2345" w:rsidRDefault="005A2345" w:rsidP="003E6184">
      <w:pPr>
        <w:ind w:left="851" w:right="618"/>
        <w:contextualSpacing/>
        <w:jc w:val="both"/>
        <w:rPr>
          <w:rFonts w:ascii="Times New Roman" w:hAnsi="Times New Roman" w:cs="Times New Roman"/>
          <w:bCs/>
          <w:color w:val="000000"/>
          <w:sz w:val="28"/>
          <w:szCs w:val="26"/>
          <w:lang w:val="es-ES"/>
        </w:rPr>
      </w:pPr>
    </w:p>
    <w:p w:rsidR="00A2371A" w:rsidRPr="005A2345" w:rsidRDefault="005A2345" w:rsidP="003E6184">
      <w:pPr>
        <w:ind w:left="851" w:right="618"/>
        <w:contextualSpacing/>
        <w:jc w:val="both"/>
        <w:rPr>
          <w:rFonts w:ascii="Times New Roman" w:hAnsi="Times New Roman" w:cs="Times New Roman"/>
          <w:bCs/>
          <w:color w:val="000000"/>
          <w:sz w:val="28"/>
          <w:szCs w:val="26"/>
          <w:lang w:val="es-ES"/>
        </w:rPr>
      </w:pPr>
      <w:r w:rsidRPr="005A2345">
        <w:rPr>
          <w:rFonts w:ascii="Times New Roman" w:hAnsi="Times New Roman" w:cs="Times New Roman"/>
          <w:bCs/>
          <w:color w:val="000000"/>
          <w:sz w:val="28"/>
          <w:szCs w:val="26"/>
          <w:lang w:val="es-ES"/>
        </w:rPr>
        <w:t>«</w:t>
      </w:r>
      <w:r w:rsidRPr="005A2345">
        <w:rPr>
          <w:rFonts w:ascii="Times New Roman" w:hAnsi="Times New Roman" w:cs="Times New Roman"/>
          <w:bCs/>
          <w:color w:val="000000"/>
          <w:sz w:val="28"/>
          <w:szCs w:val="26"/>
          <w:lang w:val="es-ES"/>
        </w:rPr>
        <w:t xml:space="preserve">ARTÍCULO 8 (…) PARÁGRAFO 7o. </w:t>
      </w:r>
      <w:r w:rsidRPr="005A2345">
        <w:rPr>
          <w:rFonts w:ascii="Times New Roman" w:hAnsi="Times New Roman" w:cs="Times New Roman"/>
          <w:bCs/>
          <w:color w:val="000000"/>
          <w:sz w:val="28"/>
          <w:szCs w:val="26"/>
          <w:u w:val="single"/>
          <w:lang w:val="es-ES"/>
        </w:rPr>
        <w:t xml:space="preserve">Los acuerdos, acuerdos parciales </w:t>
      </w:r>
      <w:r w:rsidRPr="005A2345">
        <w:rPr>
          <w:rFonts w:ascii="Times New Roman" w:hAnsi="Times New Roman" w:cs="Times New Roman"/>
          <w:bCs/>
          <w:color w:val="000000"/>
          <w:sz w:val="28"/>
          <w:szCs w:val="26"/>
          <w:lang w:val="es-ES"/>
        </w:rPr>
        <w:t>y protocolos que se pacten en el marco de los diálogos y negociaciones de paz del Gobierno nacional con grupos armados al margen de la ley, que tengan por propósito la consecuci</w:t>
      </w:r>
      <w:r w:rsidRPr="005A2345">
        <w:rPr>
          <w:rFonts w:ascii="Times New Roman" w:hAnsi="Times New Roman" w:cs="Times New Roman"/>
          <w:bCs/>
          <w:color w:val="000000"/>
          <w:sz w:val="28"/>
          <w:szCs w:val="26"/>
          <w:lang w:val="es-ES"/>
        </w:rPr>
        <w:t xml:space="preserve">ón y la consolidación de la paz, </w:t>
      </w:r>
      <w:r w:rsidRPr="005A2345">
        <w:rPr>
          <w:rFonts w:ascii="Times New Roman" w:hAnsi="Times New Roman" w:cs="Times New Roman"/>
          <w:bCs/>
          <w:color w:val="000000"/>
          <w:sz w:val="28"/>
          <w:szCs w:val="26"/>
          <w:u w:val="single"/>
          <w:lang w:val="es-ES"/>
        </w:rPr>
        <w:t>constituyen una política pública de Estado</w:t>
      </w:r>
      <w:r w:rsidRPr="005A2345">
        <w:rPr>
          <w:rFonts w:ascii="Times New Roman" w:hAnsi="Times New Roman" w:cs="Times New Roman"/>
          <w:bCs/>
          <w:color w:val="000000"/>
          <w:sz w:val="28"/>
          <w:szCs w:val="26"/>
          <w:lang w:val="es-ES"/>
        </w:rPr>
        <w:t>, por tanto, es deber de las autoridades garantizar los mecanismos e instrumentos a su alcance tendientes a su cumplimiento. // Los acuerdos parciales tendrán que cumplir en toda ci</w:t>
      </w:r>
      <w:r w:rsidRPr="005A2345">
        <w:rPr>
          <w:rFonts w:ascii="Times New Roman" w:hAnsi="Times New Roman" w:cs="Times New Roman"/>
          <w:bCs/>
          <w:color w:val="000000"/>
          <w:sz w:val="28"/>
          <w:szCs w:val="26"/>
          <w:lang w:val="es-ES"/>
        </w:rPr>
        <w:t>rcunstancia los deberes constitucionales del Estado o leyes vigentes y serán vinculantes en tanto se ajusten a estos preceptos</w:t>
      </w:r>
      <w:r w:rsidRPr="005A2345">
        <w:rPr>
          <w:rFonts w:ascii="Times New Roman" w:hAnsi="Times New Roman" w:cs="Times New Roman"/>
          <w:bCs/>
          <w:color w:val="000000"/>
          <w:sz w:val="28"/>
          <w:szCs w:val="26"/>
          <w:lang w:val="es-ES"/>
        </w:rPr>
        <w:t>»</w:t>
      </w:r>
      <w:r w:rsidRPr="005A2345">
        <w:rPr>
          <w:rFonts w:ascii="Times New Roman" w:hAnsi="Times New Roman" w:cs="Times New Roman"/>
          <w:bCs/>
          <w:color w:val="000000"/>
          <w:sz w:val="28"/>
          <w:szCs w:val="26"/>
          <w:lang w:val="es-ES"/>
        </w:rPr>
        <w:t xml:space="preserve">. (Énfasis </w:t>
      </w:r>
      <w:r w:rsidRPr="005A2345">
        <w:rPr>
          <w:rFonts w:ascii="Times New Roman" w:hAnsi="Times New Roman" w:cs="Times New Roman"/>
          <w:bCs/>
          <w:color w:val="000000"/>
          <w:sz w:val="28"/>
          <w:szCs w:val="26"/>
          <w:lang w:val="es-ES"/>
        </w:rPr>
        <w:t>propio</w:t>
      </w:r>
      <w:r w:rsidRPr="005A2345">
        <w:rPr>
          <w:rFonts w:ascii="Times New Roman" w:hAnsi="Times New Roman" w:cs="Times New Roman"/>
          <w:bCs/>
          <w:color w:val="000000"/>
          <w:sz w:val="28"/>
          <w:szCs w:val="26"/>
          <w:lang w:val="es-ES"/>
        </w:rPr>
        <w:t>)</w:t>
      </w:r>
    </w:p>
    <w:p w:rsidR="00A2371A" w:rsidRPr="005A2345" w:rsidRDefault="005A2345" w:rsidP="003E6184">
      <w:pPr>
        <w:ind w:left="851" w:right="618"/>
        <w:contextualSpacing/>
        <w:jc w:val="both"/>
        <w:rPr>
          <w:rFonts w:ascii="Times New Roman" w:hAnsi="Times New Roman" w:cs="Times New Roman"/>
          <w:bCs/>
          <w:color w:val="000000"/>
          <w:sz w:val="28"/>
          <w:szCs w:val="26"/>
        </w:rPr>
      </w:pPr>
    </w:p>
    <w:p w:rsidR="00A2371A" w:rsidRPr="005A2345" w:rsidRDefault="005A2345" w:rsidP="00076595">
      <w:pPr>
        <w:pStyle w:val="Prrafodelista"/>
        <w:numPr>
          <w:ilvl w:val="0"/>
          <w:numId w:val="5"/>
        </w:numPr>
        <w:spacing w:after="0" w:line="240" w:lineRule="auto"/>
        <w:ind w:left="0" w:firstLine="0"/>
        <w:jc w:val="both"/>
        <w:rPr>
          <w:rFonts w:ascii="Times New Roman" w:hAnsi="Times New Roman" w:cs="Times New Roman"/>
          <w:bCs/>
          <w:color w:val="000000"/>
          <w:lang w:val="es-ES"/>
        </w:rPr>
      </w:pPr>
      <w:r w:rsidRPr="005A2345">
        <w:rPr>
          <w:rFonts w:ascii="Times New Roman" w:hAnsi="Times New Roman" w:cs="Times New Roman"/>
          <w:bCs/>
          <w:color w:val="000000"/>
          <w:lang w:val="es-ES"/>
        </w:rPr>
        <w:t xml:space="preserve">Como se observa, es claro que todo acuerdo es parte formal de la política pública y, por tanto, también de </w:t>
      </w:r>
      <w:r w:rsidRPr="005A2345">
        <w:rPr>
          <w:rFonts w:ascii="Times New Roman" w:hAnsi="Times New Roman" w:cs="Times New Roman"/>
          <w:bCs/>
          <w:color w:val="000000"/>
          <w:lang w:val="es-ES"/>
        </w:rPr>
        <w:t>los planes de desarrollo</w:t>
      </w:r>
      <w:r w:rsidRPr="005A2345">
        <w:rPr>
          <w:rFonts w:ascii="Times New Roman" w:hAnsi="Times New Roman" w:cs="Times New Roman"/>
          <w:bCs/>
          <w:color w:val="000000"/>
          <w:lang w:val="es-ES"/>
        </w:rPr>
        <w:t xml:space="preserve">, y en ese orden, </w:t>
      </w:r>
      <w:r w:rsidRPr="005A2345">
        <w:rPr>
          <w:rFonts w:ascii="Times New Roman" w:hAnsi="Times New Roman" w:cs="Times New Roman"/>
          <w:bCs/>
          <w:color w:val="000000"/>
          <w:lang w:val="es-ES"/>
        </w:rPr>
        <w:t>cuentan con partidas presupuestales para su ejecución</w:t>
      </w:r>
      <w:r w:rsidRPr="005A2345">
        <w:rPr>
          <w:rFonts w:ascii="Times New Roman" w:hAnsi="Times New Roman" w:cs="Times New Roman"/>
          <w:bCs/>
          <w:color w:val="000000"/>
          <w:lang w:val="es-ES"/>
        </w:rPr>
        <w:t xml:space="preserve"> por parte de cada ministerio</w:t>
      </w:r>
      <w:r w:rsidRPr="005A2345">
        <w:rPr>
          <w:rFonts w:ascii="Times New Roman" w:hAnsi="Times New Roman" w:cs="Times New Roman"/>
          <w:bCs/>
          <w:color w:val="000000"/>
          <w:lang w:val="es-ES"/>
        </w:rPr>
        <w:t xml:space="preserve">. </w:t>
      </w:r>
      <w:r w:rsidRPr="005A2345">
        <w:rPr>
          <w:rFonts w:ascii="Times New Roman" w:hAnsi="Times New Roman" w:cs="Times New Roman"/>
          <w:bCs/>
          <w:color w:val="000000"/>
          <w:lang w:val="es-ES"/>
        </w:rPr>
        <w:t>Así, s</w:t>
      </w:r>
      <w:r w:rsidRPr="005A2345">
        <w:rPr>
          <w:rFonts w:ascii="Times New Roman" w:hAnsi="Times New Roman" w:cs="Times New Roman"/>
          <w:bCs/>
          <w:color w:val="000000"/>
          <w:lang w:val="es-ES"/>
        </w:rPr>
        <w:t>ólo las fases preliminares de conversaciones</w:t>
      </w:r>
      <w:r w:rsidRPr="005A2345">
        <w:rPr>
          <w:rFonts w:ascii="Times New Roman" w:hAnsi="Times New Roman" w:cs="Times New Roman"/>
          <w:bCs/>
          <w:color w:val="000000"/>
          <w:lang w:val="es-ES"/>
        </w:rPr>
        <w:t xml:space="preserve"> y negociaciones</w:t>
      </w:r>
      <w:r w:rsidRPr="005A2345">
        <w:rPr>
          <w:rFonts w:ascii="Times New Roman" w:hAnsi="Times New Roman" w:cs="Times New Roman"/>
          <w:bCs/>
          <w:color w:val="000000"/>
          <w:lang w:val="es-ES"/>
        </w:rPr>
        <w:t xml:space="preserve"> podrían ser consideradas</w:t>
      </w:r>
      <w:r w:rsidRPr="005A2345">
        <w:rPr>
          <w:rFonts w:ascii="Times New Roman" w:hAnsi="Times New Roman" w:cs="Times New Roman"/>
          <w:bCs/>
          <w:color w:val="000000"/>
          <w:lang w:val="es-ES"/>
        </w:rPr>
        <w:t xml:space="preserve"> - en algunos documentos e informacione</w:t>
      </w:r>
      <w:r w:rsidRPr="005A2345">
        <w:rPr>
          <w:rFonts w:ascii="Times New Roman" w:hAnsi="Times New Roman" w:cs="Times New Roman"/>
          <w:bCs/>
          <w:color w:val="000000"/>
          <w:lang w:val="es-ES"/>
        </w:rPr>
        <w:t xml:space="preserve">s- </w:t>
      </w:r>
      <w:r w:rsidRPr="005A2345">
        <w:rPr>
          <w:rFonts w:ascii="Times New Roman" w:hAnsi="Times New Roman" w:cs="Times New Roman"/>
          <w:bCs/>
          <w:color w:val="000000"/>
          <w:lang w:val="es-ES"/>
        </w:rPr>
        <w:t>reservadas</w:t>
      </w:r>
      <w:r w:rsidRPr="005A2345">
        <w:rPr>
          <w:rFonts w:ascii="Times New Roman" w:hAnsi="Times New Roman" w:cs="Times New Roman"/>
          <w:bCs/>
          <w:color w:val="000000"/>
          <w:lang w:val="es-ES"/>
        </w:rPr>
        <w:t xml:space="preserve"> de acuerdo a lo expuesto en la primera parte de este capítulo.</w:t>
      </w:r>
      <w:r w:rsidRPr="005A2345">
        <w:rPr>
          <w:rFonts w:ascii="Times New Roman" w:hAnsi="Times New Roman" w:cs="Times New Roman"/>
          <w:bCs/>
          <w:color w:val="000000"/>
          <w:lang w:val="es-ES"/>
        </w:rPr>
        <w:t xml:space="preserve"> </w:t>
      </w:r>
      <w:r w:rsidRPr="005A2345">
        <w:rPr>
          <w:rFonts w:ascii="Times New Roman" w:hAnsi="Times New Roman" w:cs="Times New Roman"/>
          <w:bCs/>
          <w:color w:val="000000"/>
          <w:lang w:val="es-ES"/>
        </w:rPr>
        <w:t>Finalmente es preciso recordar que una vez se llega a un acuerdo, bien sea parcial o definitivo, las instituciones deben colaborar con la información relacionada con la memoria hi</w:t>
      </w:r>
      <w:r w:rsidRPr="005A2345">
        <w:rPr>
          <w:rFonts w:ascii="Times New Roman" w:hAnsi="Times New Roman" w:cs="Times New Roman"/>
          <w:bCs/>
          <w:color w:val="000000"/>
          <w:lang w:val="es-ES"/>
        </w:rPr>
        <w:t>stórica, así como la búsqueda de personas desaparecidas, y entre otros asuntos que involucren la verdad, justicia y reparación y garantías de no repetición para las víctimas.</w:t>
      </w:r>
    </w:p>
    <w:p w:rsidR="00A2371A" w:rsidRPr="005A2345" w:rsidRDefault="005A2345" w:rsidP="00DD4EDE">
      <w:pPr>
        <w:rPr>
          <w:rFonts w:ascii="Times New Roman" w:hAnsi="Times New Roman" w:cs="Times New Roman"/>
          <w:sz w:val="28"/>
        </w:rPr>
      </w:pPr>
    </w:p>
    <w:p w:rsidR="0090306D" w:rsidRPr="005A2345" w:rsidRDefault="005A2345" w:rsidP="00076595">
      <w:pPr>
        <w:pStyle w:val="Prrafodelista"/>
        <w:numPr>
          <w:ilvl w:val="0"/>
          <w:numId w:val="5"/>
        </w:numPr>
        <w:tabs>
          <w:tab w:val="left" w:pos="567"/>
        </w:tabs>
        <w:spacing w:after="0" w:line="240" w:lineRule="auto"/>
        <w:ind w:left="0" w:firstLine="0"/>
        <w:jc w:val="both"/>
        <w:rPr>
          <w:rFonts w:ascii="Times New Roman" w:hAnsi="Times New Roman" w:cs="Times New Roman"/>
        </w:rPr>
      </w:pPr>
      <w:r w:rsidRPr="005A2345">
        <w:rPr>
          <w:rFonts w:ascii="Times New Roman" w:hAnsi="Times New Roman" w:cs="Times New Roman"/>
        </w:rPr>
        <w:t>De acuerdo con ello, no se justifica razonablemente la existencia de una reserva</w:t>
      </w:r>
      <w:r w:rsidRPr="005A2345">
        <w:rPr>
          <w:rFonts w:ascii="Times New Roman" w:hAnsi="Times New Roman" w:cs="Times New Roman"/>
        </w:rPr>
        <w:t xml:space="preserve"> de información sobre la documentación que sea parte de estos acuerdos. Por tanto, la Sala Plena declar</w:t>
      </w:r>
      <w:r w:rsidRPr="005A2345">
        <w:rPr>
          <w:rFonts w:ascii="Times New Roman" w:hAnsi="Times New Roman" w:cs="Times New Roman"/>
        </w:rPr>
        <w:t>ará</w:t>
      </w:r>
      <w:r w:rsidRPr="005A2345">
        <w:rPr>
          <w:rFonts w:ascii="Times New Roman" w:hAnsi="Times New Roman" w:cs="Times New Roman"/>
        </w:rPr>
        <w:t xml:space="preserve"> inconstitucional la palabra “acuerdos” del parágrafo 1º del artículo 6 de la Ley 2272 de 2022. </w:t>
      </w:r>
    </w:p>
    <w:p w:rsidR="005A5BBD" w:rsidRPr="005A2345" w:rsidRDefault="005A2345" w:rsidP="000940B0">
      <w:pPr>
        <w:pStyle w:val="Prrafodelista"/>
        <w:tabs>
          <w:tab w:val="left" w:pos="426"/>
        </w:tabs>
        <w:spacing w:after="0" w:line="240" w:lineRule="auto"/>
        <w:ind w:left="0"/>
        <w:jc w:val="both"/>
        <w:rPr>
          <w:rFonts w:ascii="Times New Roman" w:hAnsi="Times New Roman" w:cs="Times New Roman"/>
        </w:rPr>
      </w:pPr>
    </w:p>
    <w:p w:rsidR="00E91042" w:rsidRPr="005A2345" w:rsidRDefault="005A2345" w:rsidP="008C70B4">
      <w:pPr>
        <w:pStyle w:val="Lista"/>
        <w:shd w:val="clear" w:color="auto" w:fill="FFFFFF"/>
        <w:tabs>
          <w:tab w:val="left" w:pos="0"/>
          <w:tab w:val="left" w:pos="284"/>
          <w:tab w:val="left" w:pos="426"/>
        </w:tabs>
        <w:spacing w:after="0" w:line="240" w:lineRule="auto"/>
        <w:ind w:left="0" w:firstLine="0"/>
        <w:jc w:val="both"/>
        <w:rPr>
          <w:rFonts w:ascii="Times New Roman" w:hAnsi="Times New Roman" w:cs="Times New Roman"/>
          <w:bCs/>
          <w:szCs w:val="28"/>
          <w:lang w:val="es-ES"/>
        </w:rPr>
      </w:pPr>
      <w:r w:rsidRPr="005A2345">
        <w:rPr>
          <w:rFonts w:ascii="Times New Roman" w:hAnsi="Times New Roman" w:cs="Times New Roman"/>
          <w:bCs/>
          <w:szCs w:val="28"/>
          <w:lang w:val="es-ES"/>
        </w:rPr>
        <w:t xml:space="preserve">En mérito de lo expuesto, </w:t>
      </w:r>
      <w:r w:rsidRPr="005A2345">
        <w:rPr>
          <w:rFonts w:ascii="Times New Roman" w:hAnsi="Times New Roman" w:cs="Times New Roman"/>
          <w:szCs w:val="28"/>
          <w:lang w:val="es-ES"/>
        </w:rPr>
        <w:t>la Corte Constitucional de</w:t>
      </w:r>
      <w:r w:rsidRPr="005A2345">
        <w:rPr>
          <w:rFonts w:ascii="Times New Roman" w:hAnsi="Times New Roman" w:cs="Times New Roman"/>
          <w:szCs w:val="28"/>
          <w:lang w:val="es-ES"/>
        </w:rPr>
        <w:t xml:space="preserve"> la República de Colombia, administrando justicia en nombre del pueblo y por mandato de la Constitución,</w:t>
      </w:r>
    </w:p>
    <w:p w:rsidR="00E91042" w:rsidRPr="005A2345" w:rsidRDefault="005A2345" w:rsidP="008C70B4">
      <w:pPr>
        <w:pStyle w:val="NormalWeb"/>
        <w:spacing w:before="0" w:beforeAutospacing="0" w:after="0" w:afterAutospacing="0"/>
        <w:jc w:val="both"/>
        <w:rPr>
          <w:rFonts w:ascii="Times New Roman" w:hAnsi="Times New Roman" w:cs="Times New Roman"/>
          <w:bCs/>
          <w:sz w:val="28"/>
          <w:szCs w:val="28"/>
        </w:rPr>
      </w:pPr>
    </w:p>
    <w:p w:rsidR="00E91042" w:rsidRPr="005A2345" w:rsidRDefault="005A2345" w:rsidP="008C70B4">
      <w:pPr>
        <w:pStyle w:val="Ttulo1"/>
        <w:spacing w:before="0" w:after="0" w:line="240" w:lineRule="auto"/>
        <w:jc w:val="center"/>
        <w:rPr>
          <w:rFonts w:ascii="Times New Roman" w:hAnsi="Times New Roman" w:cs="Times New Roman"/>
          <w:sz w:val="28"/>
          <w:szCs w:val="28"/>
          <w:lang w:val="es-ES"/>
        </w:rPr>
      </w:pPr>
      <w:r w:rsidRPr="005A2345">
        <w:rPr>
          <w:rFonts w:ascii="Times New Roman" w:hAnsi="Times New Roman" w:cs="Times New Roman"/>
          <w:sz w:val="28"/>
          <w:szCs w:val="28"/>
          <w:lang w:val="es-ES"/>
        </w:rPr>
        <w:t>RESUELVE</w:t>
      </w:r>
    </w:p>
    <w:p w:rsidR="00E91042" w:rsidRPr="005A2345" w:rsidRDefault="005A2345" w:rsidP="008C70B4">
      <w:pPr>
        <w:tabs>
          <w:tab w:val="left" w:pos="3544"/>
        </w:tabs>
        <w:jc w:val="both"/>
        <w:rPr>
          <w:rFonts w:ascii="Times New Roman" w:hAnsi="Times New Roman" w:cs="Times New Roman"/>
          <w:b/>
          <w:sz w:val="28"/>
          <w:szCs w:val="28"/>
          <w:lang w:val="es-ES"/>
        </w:rPr>
      </w:pPr>
    </w:p>
    <w:p w:rsidR="008B0076" w:rsidRPr="005A2345" w:rsidRDefault="005A2345" w:rsidP="008B0076">
      <w:pPr>
        <w:jc w:val="both"/>
        <w:rPr>
          <w:rFonts w:ascii="Times New Roman" w:eastAsia="Calibri" w:hAnsi="Times New Roman" w:cs="Times New Roman"/>
          <w:sz w:val="28"/>
          <w:szCs w:val="28"/>
          <w:lang w:val="es-ES" w:eastAsia="en-US"/>
        </w:rPr>
      </w:pPr>
      <w:r w:rsidRPr="005A2345">
        <w:rPr>
          <w:rFonts w:ascii="Times New Roman" w:hAnsi="Times New Roman" w:cs="Times New Roman"/>
          <w:b/>
          <w:bCs/>
          <w:sz w:val="28"/>
          <w:szCs w:val="28"/>
          <w:lang w:val="es-ES_tradnl"/>
        </w:rPr>
        <w:t>Único</w:t>
      </w:r>
      <w:r w:rsidRPr="005A2345">
        <w:rPr>
          <w:rFonts w:ascii="Times New Roman" w:hAnsi="Times New Roman" w:cs="Times New Roman"/>
          <w:b/>
          <w:sz w:val="28"/>
          <w:szCs w:val="28"/>
          <w:lang w:val="es-ES_tradnl"/>
        </w:rPr>
        <w:t>.</w:t>
      </w:r>
      <w:r w:rsidRPr="005A2345">
        <w:rPr>
          <w:rFonts w:ascii="Times New Roman" w:hAnsi="Times New Roman" w:cs="Times New Roman"/>
          <w:b/>
          <w:bCs/>
          <w:sz w:val="28"/>
          <w:szCs w:val="28"/>
          <w:lang w:val="es-ES_tradnl"/>
        </w:rPr>
        <w:t xml:space="preserve"> </w:t>
      </w:r>
      <w:r w:rsidRPr="005A2345">
        <w:rPr>
          <w:rFonts w:ascii="Times New Roman" w:eastAsia="Calibri" w:hAnsi="Times New Roman" w:cs="Times New Roman"/>
          <w:b/>
          <w:bCs/>
          <w:sz w:val="28"/>
          <w:szCs w:val="28"/>
          <w:lang w:val="es-ES" w:eastAsia="en-US"/>
        </w:rPr>
        <w:t>DECLARAR EXEQUIBLE</w:t>
      </w:r>
      <w:r w:rsidRPr="005A2345">
        <w:rPr>
          <w:rFonts w:ascii="Times New Roman" w:eastAsia="Calibri" w:hAnsi="Times New Roman" w:cs="Times New Roman"/>
          <w:sz w:val="28"/>
          <w:szCs w:val="28"/>
          <w:lang w:val="es-ES" w:eastAsia="en-US"/>
        </w:rPr>
        <w:t xml:space="preserve"> el parágrafo 1º del artículo 6 de la Ley 2272 de 2022 en el entendido de que </w:t>
      </w:r>
      <w:bookmarkStart w:id="34" w:name="_Hlk178878351"/>
      <w:r w:rsidRPr="005A2345">
        <w:rPr>
          <w:rFonts w:ascii="Times New Roman" w:eastAsia="Calibri" w:hAnsi="Times New Roman" w:cs="Times New Roman"/>
          <w:sz w:val="28"/>
          <w:szCs w:val="28"/>
          <w:lang w:val="es-ES" w:eastAsia="en-US"/>
        </w:rPr>
        <w:t xml:space="preserve">la información de las conversaciones </w:t>
      </w:r>
      <w:r w:rsidRPr="005A2345">
        <w:rPr>
          <w:rFonts w:ascii="Times New Roman" w:eastAsia="Calibri" w:hAnsi="Times New Roman" w:cs="Times New Roman"/>
          <w:sz w:val="28"/>
          <w:szCs w:val="28"/>
          <w:lang w:val="es-ES" w:eastAsia="en-US"/>
        </w:rPr>
        <w:t>y negociaciones con actores armados que se traten en las sesiones del Gabinete de Paz, así como la información y documentos que se expidan en esta materia, es reservada, según la Constitución y el régimen estatutario vigente, y por tanto, su denegación deb</w:t>
      </w:r>
      <w:r w:rsidRPr="005A2345">
        <w:rPr>
          <w:rFonts w:ascii="Times New Roman" w:eastAsia="Calibri" w:hAnsi="Times New Roman" w:cs="Times New Roman"/>
          <w:sz w:val="28"/>
          <w:szCs w:val="28"/>
          <w:lang w:val="es-ES" w:eastAsia="en-US"/>
        </w:rPr>
        <w:t>erá estar suficientemente motivada y demostrada su necesidad</w:t>
      </w:r>
      <w:bookmarkEnd w:id="34"/>
      <w:r w:rsidRPr="005A2345">
        <w:rPr>
          <w:rFonts w:ascii="Times New Roman" w:eastAsia="Calibri" w:hAnsi="Times New Roman" w:cs="Times New Roman"/>
          <w:sz w:val="28"/>
          <w:szCs w:val="28"/>
          <w:lang w:val="es-ES" w:eastAsia="en-US"/>
        </w:rPr>
        <w:t xml:space="preserve">, salvo la palabra </w:t>
      </w:r>
      <w:r w:rsidRPr="005A2345">
        <w:rPr>
          <w:rFonts w:ascii="Times New Roman" w:eastAsia="Calibri" w:hAnsi="Times New Roman" w:cs="Times New Roman"/>
          <w:b/>
          <w:bCs/>
          <w:sz w:val="28"/>
          <w:szCs w:val="28"/>
          <w:lang w:val="es-ES" w:eastAsia="en-US"/>
        </w:rPr>
        <w:t>“acuerdos”</w:t>
      </w:r>
      <w:r w:rsidRPr="005A2345">
        <w:rPr>
          <w:rFonts w:ascii="Times New Roman" w:eastAsia="Calibri" w:hAnsi="Times New Roman" w:cs="Times New Roman"/>
          <w:sz w:val="28"/>
          <w:szCs w:val="28"/>
          <w:lang w:val="es-ES" w:eastAsia="en-US"/>
        </w:rPr>
        <w:t xml:space="preserve"> que se declara </w:t>
      </w:r>
      <w:r w:rsidRPr="005A2345">
        <w:rPr>
          <w:rFonts w:ascii="Times New Roman" w:eastAsia="Calibri" w:hAnsi="Times New Roman" w:cs="Times New Roman"/>
          <w:b/>
          <w:bCs/>
          <w:sz w:val="28"/>
          <w:szCs w:val="28"/>
          <w:lang w:val="es-ES" w:eastAsia="en-US"/>
        </w:rPr>
        <w:t>inexequible</w:t>
      </w:r>
      <w:r w:rsidRPr="005A2345">
        <w:rPr>
          <w:rFonts w:ascii="Times New Roman" w:eastAsia="Calibri" w:hAnsi="Times New Roman" w:cs="Times New Roman"/>
          <w:sz w:val="28"/>
          <w:szCs w:val="28"/>
          <w:lang w:val="es-ES" w:eastAsia="en-US"/>
        </w:rPr>
        <w:t xml:space="preserve">. </w:t>
      </w:r>
    </w:p>
    <w:p w:rsidR="008B0076" w:rsidRPr="005A2345" w:rsidRDefault="005A2345" w:rsidP="008B0076">
      <w:pPr>
        <w:jc w:val="both"/>
        <w:rPr>
          <w:rFonts w:ascii="Times New Roman" w:eastAsia="Calibri" w:hAnsi="Times New Roman" w:cs="Times New Roman"/>
          <w:sz w:val="28"/>
          <w:szCs w:val="28"/>
          <w:lang w:val="es-ES" w:eastAsia="en-US"/>
        </w:rPr>
      </w:pPr>
    </w:p>
    <w:p w:rsidR="00737CD0" w:rsidRPr="005A2345" w:rsidRDefault="005A2345" w:rsidP="002D2BA5">
      <w:pPr>
        <w:tabs>
          <w:tab w:val="left" w:pos="3544"/>
        </w:tabs>
        <w:jc w:val="both"/>
        <w:rPr>
          <w:rFonts w:ascii="Times New Roman" w:hAnsi="Times New Roman" w:cs="Times New Roman"/>
          <w:sz w:val="28"/>
          <w:szCs w:val="28"/>
          <w:lang w:val="es-ES_tradnl"/>
        </w:rPr>
      </w:pPr>
    </w:p>
    <w:p w:rsidR="00E95A09" w:rsidRPr="005A2345" w:rsidRDefault="005A2345" w:rsidP="00E95A09">
      <w:pPr>
        <w:tabs>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cs="Times New Roman"/>
          <w:color w:val="000000"/>
          <w:sz w:val="28"/>
          <w:szCs w:val="28"/>
          <w:lang w:val="es-ES_tradnl"/>
        </w:rPr>
      </w:pPr>
      <w:r w:rsidRPr="005A2345">
        <w:rPr>
          <w:rFonts w:ascii="Times New Roman" w:hAnsi="Times New Roman" w:cs="Times New Roman"/>
          <w:color w:val="000000"/>
          <w:sz w:val="28"/>
          <w:szCs w:val="28"/>
          <w:shd w:val="clear" w:color="auto" w:fill="FFFFFF"/>
          <w:lang w:val="es-ES_tradnl"/>
        </w:rPr>
        <w:t>Comuníquese, cúmplase y publíquese,</w:t>
      </w:r>
    </w:p>
    <w:bookmarkEnd w:id="1"/>
    <w:p w:rsidR="00552565" w:rsidRPr="005A2345" w:rsidRDefault="005A2345" w:rsidP="002A6FFC">
      <w:pPr>
        <w:pStyle w:val="NormalWeb"/>
        <w:spacing w:before="0" w:beforeAutospacing="0" w:after="0" w:afterAutospacing="0"/>
        <w:jc w:val="both"/>
        <w:rPr>
          <w:rFonts w:ascii="Times New Roman" w:hAnsi="Times New Roman" w:cs="Times New Roman"/>
          <w:bCs/>
          <w:sz w:val="28"/>
          <w:szCs w:val="28"/>
        </w:rPr>
      </w:pPr>
    </w:p>
    <w:p w:rsidR="00CE30DB" w:rsidRPr="005A2345" w:rsidRDefault="005A2345" w:rsidP="002A6FFC">
      <w:pPr>
        <w:pStyle w:val="NormalWeb"/>
        <w:spacing w:before="0" w:beforeAutospacing="0" w:after="0" w:afterAutospacing="0"/>
        <w:jc w:val="both"/>
        <w:rPr>
          <w:rFonts w:ascii="Times New Roman" w:hAnsi="Times New Roman" w:cs="Times New Roman"/>
          <w:bCs/>
          <w:sz w:val="28"/>
          <w:szCs w:val="28"/>
        </w:rPr>
      </w:pPr>
    </w:p>
    <w:p w:rsidR="00CE30DB" w:rsidRPr="005A2345" w:rsidRDefault="005A2345" w:rsidP="002A6FFC">
      <w:pPr>
        <w:pStyle w:val="NormalWeb"/>
        <w:spacing w:before="0" w:beforeAutospacing="0" w:after="0" w:afterAutospacing="0"/>
        <w:jc w:val="both"/>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JOSE FERNANDO REYES CUARTAS</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Presidente</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NATALIA ÁNGEL CABO</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Magistrada</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 xml:space="preserve">JUAN CARLOS CORTÉS </w:t>
      </w:r>
      <w:r w:rsidRPr="005A2345">
        <w:rPr>
          <w:rFonts w:ascii="Times New Roman" w:hAnsi="Times New Roman" w:cs="Times New Roman"/>
          <w:bCs/>
          <w:sz w:val="28"/>
          <w:szCs w:val="28"/>
        </w:rPr>
        <w:t>GONZÁLEZ</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Magistrado</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DIANA FAJARDO RIVERA</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Magistrada</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VLADIMIR FERNÁNDEZ ANDRADE</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Magistrado</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Con impedimento aceptado</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 xml:space="preserve">JORGE ENRIQUE IBÁÑEZ NAJAR </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Magistrado</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ANTONIO JOSÉ LIZARAZO OCAMPO</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Magistrado</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PAOLA ANDREA MENESES MOSQUERA</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Magistrada</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CRISTINA PARDO SCHLESINGER</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Magistrada</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ANDREA LILIANA ROMERO LOPEZ</w:t>
      </w:r>
    </w:p>
    <w:p w:rsidR="00CE30DB" w:rsidRPr="005A2345" w:rsidRDefault="005A2345" w:rsidP="00CE30DB">
      <w:pPr>
        <w:pStyle w:val="NormalWeb"/>
        <w:spacing w:before="0" w:beforeAutospacing="0" w:after="0" w:afterAutospacing="0"/>
        <w:jc w:val="center"/>
        <w:rPr>
          <w:rFonts w:ascii="Times New Roman" w:hAnsi="Times New Roman" w:cs="Times New Roman"/>
          <w:bCs/>
          <w:sz w:val="28"/>
          <w:szCs w:val="28"/>
        </w:rPr>
      </w:pPr>
      <w:r w:rsidRPr="005A2345">
        <w:rPr>
          <w:rFonts w:ascii="Times New Roman" w:hAnsi="Times New Roman" w:cs="Times New Roman"/>
          <w:bCs/>
          <w:sz w:val="28"/>
          <w:szCs w:val="28"/>
        </w:rPr>
        <w:t>Secretaria General</w:t>
      </w:r>
    </w:p>
    <w:sectPr w:rsidR="00CE30DB" w:rsidRPr="005A2345">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A2345">
      <w:pPr>
        <w:spacing w:after="0" w:line="240" w:lineRule="auto"/>
      </w:pPr>
      <w:r>
        <w:separator/>
      </w:r>
    </w:p>
  </w:endnote>
  <w:endnote w:type="continuationSeparator" w:id="0">
    <w:p w:rsidR="00000000" w:rsidRDefault="005A2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A2345">
      <w:pPr>
        <w:spacing w:after="0" w:line="240" w:lineRule="auto"/>
      </w:pPr>
      <w:r>
        <w:separator/>
      </w:r>
    </w:p>
  </w:footnote>
  <w:footnote w:type="continuationSeparator" w:id="0">
    <w:p w:rsidR="00000000" w:rsidRDefault="005A2345">
      <w:pPr>
        <w:spacing w:after="0" w:line="240" w:lineRule="auto"/>
      </w:pPr>
      <w:r>
        <w:continuationSeparator/>
      </w:r>
    </w:p>
  </w:footnote>
  <w:footnote w:id="1">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La Secretaría General remitió el expediente al despacho sustanciador el 1° de marzo de 2024. </w:t>
      </w:r>
    </w:p>
  </w:footnote>
  <w:footnote w:id="2">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Expediente digital. Escrito de corrección de la demanda, folio 2. </w:t>
      </w:r>
    </w:p>
  </w:footnote>
  <w:footnote w:id="3">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Expediente digital. Escrito de corrección de la demanda, folio 3.</w:t>
      </w:r>
    </w:p>
  </w:footnote>
  <w:footnote w:id="4">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Expediente digital. Escrito de corrección de la demanda, folio 4.</w:t>
      </w:r>
    </w:p>
  </w:footnote>
  <w:footnote w:id="5">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Expediente digital. Escrito de corrección de la demanda, folio 5. </w:t>
      </w:r>
    </w:p>
  </w:footnote>
  <w:footnote w:id="6">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Expediente digital. Escrito de corrección de la de</w:t>
      </w:r>
      <w:r w:rsidRPr="00E50709">
        <w:rPr>
          <w:sz w:val="22"/>
          <w:szCs w:val="22"/>
        </w:rPr>
        <w:t>manda, folio 5.</w:t>
      </w:r>
    </w:p>
  </w:footnote>
  <w:footnote w:id="7">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Expediente digital. Escrito de corrección de la demanda, folio 7. </w:t>
      </w:r>
    </w:p>
  </w:footnote>
  <w:footnote w:id="8">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Expediente digital. Escrito de corrección de la demanda, folio 8.</w:t>
      </w:r>
    </w:p>
  </w:footnote>
  <w:footnote w:id="9">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Expediente digital. Escrito de corrección de la demanda, folio 8.</w:t>
      </w:r>
    </w:p>
  </w:footnote>
  <w:footnote w:id="10">
    <w:p w:rsidR="00BA74B6" w:rsidRPr="00E50709" w:rsidRDefault="005A2345" w:rsidP="00AD4396">
      <w:pPr>
        <w:pStyle w:val="Textonotapie"/>
        <w:tabs>
          <w:tab w:val="left" w:pos="142"/>
          <w:tab w:val="left" w:pos="284"/>
          <w:tab w:val="left" w:pos="8364"/>
        </w:tabs>
        <w:jc w:val="both"/>
        <w:rPr>
          <w:sz w:val="22"/>
          <w:szCs w:val="22"/>
        </w:rPr>
      </w:pPr>
      <w:r w:rsidRPr="00E50709">
        <w:rPr>
          <w:rStyle w:val="Refdenotaalpie"/>
          <w:sz w:val="22"/>
          <w:szCs w:val="22"/>
        </w:rPr>
        <w:footnoteRef/>
      </w:r>
      <w:r w:rsidRPr="00E50709">
        <w:rPr>
          <w:sz w:val="22"/>
          <w:szCs w:val="22"/>
        </w:rPr>
        <w:t xml:space="preserve"> Corte Constitucional, sentencia C-1052 de 2001 (MP Manuel José Cepeda Espinosa). Los criterios recogidos y fijados en esta sentencia han sido reiterados en muchas decisiones posteriores de la Sala Plena. Entre otras, ver por ejemplo: Sentencia C-874 de 20</w:t>
      </w:r>
      <w:r w:rsidRPr="00E50709">
        <w:rPr>
          <w:sz w:val="22"/>
          <w:szCs w:val="22"/>
        </w:rPr>
        <w:t>02 (MP Rodrigo Escobar Gil), Sentencia C-371 de 2004 (MP Jaime Córdoba Triviño), Auto 033 de 2005 (MP Álvaro Tafur Galvis), Auto 031 de 2006 (MP Clara Inés Vargas Gutiérrez), Auto 267 de 2007 (MP Marco Gerardo Monroy Cabra), Auto 091 de 2008 (MP Humberto A</w:t>
      </w:r>
      <w:r w:rsidRPr="00E50709">
        <w:rPr>
          <w:sz w:val="22"/>
          <w:szCs w:val="22"/>
        </w:rPr>
        <w:t>ntonio Sierra Porto), Auto 112 de 2009 (MP Clara Elena Reales Gutiérrez), Sentencia C-942 de 2010 (MP Juan Carlos Henao Pérez), Auto 070 de 2011 (MP Gabriel Eduardo Mendoza Martelo), Sentencia C-243 de 2012 (MP Luis Ernesto Vargas Silva; AV Nilson Elías Pi</w:t>
      </w:r>
      <w:r w:rsidRPr="00E50709">
        <w:rPr>
          <w:sz w:val="22"/>
          <w:szCs w:val="22"/>
        </w:rPr>
        <w:t>nilla Pinilla y Humberto Antonio Sierra Porto), Auto 105 de 2013 (MP Jorge Ignacio Pretelt Chaljub), Auto 243 de 2014 (MP Mauricio González Cuervo), Auto 145 de 2014 (MP Alberto Rojas Ríos), Auto 324 de 2014 (MP Gloria Stella Ortiz Delgado), Auto 367 de 20</w:t>
      </w:r>
      <w:r w:rsidRPr="00E50709">
        <w:rPr>
          <w:sz w:val="22"/>
          <w:szCs w:val="22"/>
        </w:rPr>
        <w:t>15 (MP Jorge Iván Palacio Palacio), Auto 527 de 2015 (MP María Victoria Calle Correa), Sentencia C-088 de 2016 (MP Jorge Iván Palacio Palacio), Sentencia C-539 de 2019 (MP José Fernando Reyes Cuartas), Sentencia C-025 de 2021 (MP Cristina Pardo Schlesinger</w:t>
      </w:r>
      <w:r w:rsidRPr="00E50709">
        <w:rPr>
          <w:sz w:val="22"/>
          <w:szCs w:val="22"/>
        </w:rPr>
        <w:t xml:space="preserve">) y Sentencia C-427 de 2023 (MP Cristina Pardo Schlesinger). En todas estas providencias se citan y emplean los criterios establecidos en la sentencia C-1052 de 2001 para resolver los asuntos tratados en cada uno de aquellos procesos. </w:t>
      </w:r>
    </w:p>
  </w:footnote>
  <w:footnote w:id="11">
    <w:p w:rsidR="00BA74B6" w:rsidRPr="00E50709" w:rsidRDefault="005A2345" w:rsidP="00AD4396">
      <w:pPr>
        <w:pStyle w:val="Textonotapie"/>
        <w:tabs>
          <w:tab w:val="left" w:pos="142"/>
          <w:tab w:val="left" w:pos="284"/>
          <w:tab w:val="left" w:pos="8364"/>
        </w:tabs>
        <w:jc w:val="both"/>
        <w:rPr>
          <w:sz w:val="22"/>
          <w:szCs w:val="22"/>
        </w:rPr>
      </w:pPr>
      <w:r w:rsidRPr="00E50709">
        <w:rPr>
          <w:rStyle w:val="Refdenotaalpie"/>
          <w:sz w:val="22"/>
          <w:szCs w:val="22"/>
        </w:rPr>
        <w:footnoteRef/>
      </w:r>
      <w:r w:rsidRPr="00E50709">
        <w:rPr>
          <w:sz w:val="22"/>
          <w:szCs w:val="22"/>
        </w:rPr>
        <w:t xml:space="preserve"> Corte Constitucion</w:t>
      </w:r>
      <w:r w:rsidRPr="00E50709">
        <w:rPr>
          <w:sz w:val="22"/>
          <w:szCs w:val="22"/>
        </w:rPr>
        <w:t>al, sentencia C-1052 de 2001 (MP Manuel José Cepeda Espinosa).</w:t>
      </w:r>
    </w:p>
  </w:footnote>
  <w:footnote w:id="12">
    <w:p w:rsidR="00BA74B6" w:rsidRPr="00E50709" w:rsidRDefault="005A2345" w:rsidP="00AD4396">
      <w:pPr>
        <w:pStyle w:val="Textonotapie"/>
        <w:tabs>
          <w:tab w:val="left" w:pos="142"/>
          <w:tab w:val="left" w:pos="284"/>
          <w:tab w:val="left" w:pos="8364"/>
        </w:tabs>
        <w:jc w:val="both"/>
        <w:rPr>
          <w:sz w:val="22"/>
          <w:szCs w:val="22"/>
        </w:rPr>
      </w:pPr>
      <w:r w:rsidRPr="00E50709">
        <w:rPr>
          <w:rStyle w:val="Refdenotaalpie"/>
          <w:sz w:val="22"/>
          <w:szCs w:val="22"/>
        </w:rPr>
        <w:footnoteRef/>
      </w:r>
      <w:r w:rsidRPr="00E50709">
        <w:rPr>
          <w:sz w:val="22"/>
          <w:szCs w:val="22"/>
        </w:rPr>
        <w:t xml:space="preserve"> Corte Constitucional, Sentencia C-1052 de 2001 (MP Manuel José Cepeda Espinosa).</w:t>
      </w:r>
    </w:p>
  </w:footnote>
  <w:footnote w:id="13">
    <w:p w:rsidR="00BA74B6" w:rsidRPr="00E50709" w:rsidRDefault="005A2345" w:rsidP="00AD4396">
      <w:pPr>
        <w:pStyle w:val="Textonotapie"/>
        <w:tabs>
          <w:tab w:val="left" w:pos="142"/>
          <w:tab w:val="left" w:pos="284"/>
          <w:tab w:val="left" w:pos="8364"/>
        </w:tabs>
        <w:jc w:val="both"/>
        <w:rPr>
          <w:sz w:val="22"/>
          <w:szCs w:val="22"/>
        </w:rPr>
      </w:pPr>
      <w:r w:rsidRPr="00E50709">
        <w:rPr>
          <w:rStyle w:val="Refdenotaalpie"/>
          <w:sz w:val="22"/>
          <w:szCs w:val="22"/>
        </w:rPr>
        <w:footnoteRef/>
      </w:r>
      <w:r w:rsidRPr="00E50709">
        <w:rPr>
          <w:sz w:val="22"/>
          <w:szCs w:val="22"/>
        </w:rPr>
        <w:t xml:space="preserve"> Corte Constitucional, Sentencia C-1052 de 2001 (MP Manuel José Cepeda Espinosa). Al respecto, ver el apartad</w:t>
      </w:r>
      <w:r w:rsidRPr="00E50709">
        <w:rPr>
          <w:sz w:val="22"/>
          <w:szCs w:val="22"/>
        </w:rPr>
        <w:t xml:space="preserve">o (3.4.2) de las consideraciones de la sentencia. </w:t>
      </w:r>
    </w:p>
  </w:footnote>
  <w:footnote w:id="14">
    <w:p w:rsidR="00BA74B6" w:rsidRPr="00E50709" w:rsidRDefault="005A2345" w:rsidP="00AD4396">
      <w:pPr>
        <w:pStyle w:val="Textonotapie"/>
        <w:tabs>
          <w:tab w:val="left" w:pos="142"/>
          <w:tab w:val="left" w:pos="284"/>
          <w:tab w:val="left" w:pos="8364"/>
        </w:tabs>
        <w:jc w:val="both"/>
        <w:rPr>
          <w:sz w:val="22"/>
          <w:szCs w:val="22"/>
        </w:rPr>
      </w:pPr>
      <w:r w:rsidRPr="00E50709">
        <w:rPr>
          <w:rStyle w:val="Refdenotaalpie"/>
          <w:sz w:val="22"/>
          <w:szCs w:val="22"/>
        </w:rPr>
        <w:footnoteRef/>
      </w:r>
      <w:r w:rsidRPr="00E50709">
        <w:rPr>
          <w:sz w:val="22"/>
          <w:szCs w:val="22"/>
        </w:rPr>
        <w:t xml:space="preserve"> Corte Constitucional, Sentencia C-382 de 2012 (MP Gabriel Eduardo Mendoza Martelo), en la cual la Corte puntualizó que no se cumple con el requisito de claridad al no explicarse por qué el precepto acusa</w:t>
      </w:r>
      <w:r w:rsidRPr="00E50709">
        <w:rPr>
          <w:sz w:val="22"/>
          <w:szCs w:val="22"/>
        </w:rPr>
        <w:t>do infringe la norma superior, y Sentencia C- 227 de 2015 (MP Jorge Ignacio Pretelt Chaljub), providencia en la cual se explicó que se presenta falta de claridad al existir en la demanda consideraciones que pueden ser contradictorias.</w:t>
      </w:r>
    </w:p>
  </w:footnote>
  <w:footnote w:id="15">
    <w:p w:rsidR="00BA74B6" w:rsidRPr="00E50709" w:rsidRDefault="005A2345" w:rsidP="00AD4396">
      <w:pPr>
        <w:tabs>
          <w:tab w:val="left" w:pos="142"/>
          <w:tab w:val="left" w:pos="284"/>
          <w:tab w:val="left" w:pos="8364"/>
        </w:tabs>
        <w:jc w:val="both"/>
        <w:rPr>
          <w:rFonts w:eastAsia="Arial Unicode MS"/>
          <w:bCs/>
          <w:bdr w:val="none" w:sz="0" w:space="0" w:color="auto" w:frame="1"/>
        </w:rPr>
      </w:pPr>
      <w:r w:rsidRPr="00E50709">
        <w:rPr>
          <w:rStyle w:val="Refdenotaalpie"/>
        </w:rPr>
        <w:footnoteRef/>
      </w:r>
      <w:r w:rsidRPr="00E50709">
        <w:t xml:space="preserve"> Corte Constituciona</w:t>
      </w:r>
      <w:r w:rsidRPr="00E50709">
        <w:t xml:space="preserve">l, </w:t>
      </w:r>
      <w:r w:rsidRPr="00E50709">
        <w:rPr>
          <w:rFonts w:eastAsia="Arial Unicode MS"/>
          <w:bCs/>
          <w:bdr w:val="none" w:sz="0" w:space="0" w:color="auto" w:frame="1"/>
        </w:rPr>
        <w:t>Sentencia C-913 de 2004 (MP Manuel José Cepeda Espinosa), en la que se aclaró que no se observó el requisito de certeza, por cuanto la demanda no recae sobre una proposición jurídica real y existente, sino en una deducida por quien plantea la demanda, o</w:t>
      </w:r>
      <w:r w:rsidRPr="00E50709">
        <w:rPr>
          <w:rFonts w:eastAsia="Arial Unicode MS"/>
          <w:bCs/>
          <w:bdr w:val="none" w:sz="0" w:space="0" w:color="auto" w:frame="1"/>
        </w:rPr>
        <w:t xml:space="preserve"> que está contenida en una norma jurídica que no fue demandada</w:t>
      </w:r>
      <w:r w:rsidRPr="00E50709">
        <w:t xml:space="preserve"> </w:t>
      </w:r>
      <w:r w:rsidRPr="00E50709">
        <w:rPr>
          <w:rFonts w:eastAsia="Arial Unicode MS"/>
          <w:bCs/>
          <w:bdr w:val="none" w:sz="0" w:space="0" w:color="auto" w:frame="1"/>
        </w:rPr>
        <w:t>Sentencia C-1154 de 2005, (MP Manuel José Cepeda Espinosa), en la cual se señala que se presenta falta de certeza cuando el cargo no se predica del texto acusado,  y Sentencia C-619 de 2015 (MP</w:t>
      </w:r>
      <w:r w:rsidRPr="00E50709">
        <w:rPr>
          <w:rFonts w:eastAsia="Arial Unicode MS"/>
          <w:bCs/>
          <w:bdr w:val="none" w:sz="0" w:space="0" w:color="auto" w:frame="1"/>
        </w:rPr>
        <w:t xml:space="preserve"> Gloria Stella Ortiz Delgado), en la que se indica que la demanda carece de tal requisito </w:t>
      </w:r>
      <w:r w:rsidRPr="00E50709">
        <w:rPr>
          <w:shd w:val="clear" w:color="auto" w:fill="FFFFFF"/>
        </w:rPr>
        <w:t>al fundarse en una proposición normativa que no está contenida en la expresión demandada</w:t>
      </w:r>
      <w:r w:rsidRPr="00E50709">
        <w:rPr>
          <w:rFonts w:eastAsia="Arial Unicode MS"/>
          <w:bCs/>
          <w:bdr w:val="none" w:sz="0" w:space="0" w:color="auto" w:frame="1"/>
        </w:rPr>
        <w:t xml:space="preserve">. </w:t>
      </w:r>
    </w:p>
  </w:footnote>
  <w:footnote w:id="16">
    <w:p w:rsidR="00BA74B6" w:rsidRPr="00E50709" w:rsidRDefault="005A2345" w:rsidP="00AD4396">
      <w:pPr>
        <w:tabs>
          <w:tab w:val="left" w:pos="142"/>
          <w:tab w:val="left" w:pos="284"/>
          <w:tab w:val="left" w:pos="8364"/>
        </w:tabs>
        <w:jc w:val="both"/>
        <w:rPr>
          <w:shd w:val="clear" w:color="auto" w:fill="FFFFFF"/>
        </w:rPr>
      </w:pPr>
      <w:r w:rsidRPr="00E50709">
        <w:rPr>
          <w:rStyle w:val="Refdenotaalpie"/>
        </w:rPr>
        <w:footnoteRef/>
      </w:r>
      <w:r w:rsidRPr="00E50709">
        <w:t xml:space="preserve"> Corte Constitucional, Sentencia C-555 de 2005 (MP Clara Inés Vargas Herná</w:t>
      </w:r>
      <w:r w:rsidRPr="00E50709">
        <w:t xml:space="preserve">ndez), en la cual se afirmó que no se cumplió con el requisito de especificidad porque los </w:t>
      </w:r>
      <w:r w:rsidRPr="00E50709">
        <w:rPr>
          <w:shd w:val="clear" w:color="auto" w:fill="FFFFFF"/>
        </w:rPr>
        <w:t>fundamentos fueron formulados a partir de apreciaciones subjetivas o propias del pensamiento e ideología que el actor tiene sobre el alcance de la manipulación genét</w:t>
      </w:r>
      <w:r w:rsidRPr="00E50709">
        <w:rPr>
          <w:shd w:val="clear" w:color="auto" w:fill="FFFFFF"/>
        </w:rPr>
        <w:t>ica y su incidencia en la humanidad y Sentencia C-614 de 2013 (MP Mauricio González Cuervo), en la que se concluyó que no se trataba de razones específicas porque la argumentación se limitó a citar algunas sentencias de la Corte acompañadas de motivos de o</w:t>
      </w:r>
      <w:r w:rsidRPr="00E50709">
        <w:rPr>
          <w:shd w:val="clear" w:color="auto" w:fill="FFFFFF"/>
        </w:rPr>
        <w:t xml:space="preserve">rden legal y de mera conveniencia. </w:t>
      </w:r>
    </w:p>
  </w:footnote>
  <w:footnote w:id="17">
    <w:p w:rsidR="00BA74B6" w:rsidRPr="00E50709" w:rsidRDefault="005A2345" w:rsidP="00AD4396">
      <w:pPr>
        <w:shd w:val="clear" w:color="auto" w:fill="FFFFFF"/>
        <w:tabs>
          <w:tab w:val="left" w:pos="142"/>
          <w:tab w:val="left" w:pos="284"/>
          <w:tab w:val="left" w:pos="8364"/>
        </w:tabs>
        <w:jc w:val="both"/>
        <w:rPr>
          <w:bdr w:val="none" w:sz="0" w:space="0" w:color="auto" w:frame="1"/>
        </w:rPr>
      </w:pPr>
      <w:r w:rsidRPr="00E50709">
        <w:rPr>
          <w:rStyle w:val="Refdenotaalpie"/>
        </w:rPr>
        <w:footnoteRef/>
      </w:r>
      <w:r w:rsidRPr="00E50709">
        <w:t xml:space="preserve"> Corte Constitucional, Sentencia C-259 de 2008 (MP Jaime Araújo Rentería), en la cual se </w:t>
      </w:r>
      <w:r w:rsidRPr="00E50709">
        <w:rPr>
          <w:bCs/>
          <w:bdr w:val="none" w:sz="0" w:space="0" w:color="auto" w:frame="1"/>
        </w:rPr>
        <w:t xml:space="preserve">señala que la demanda carece de pertinencia por cuanto se funda simplemente en </w:t>
      </w:r>
      <w:r w:rsidRPr="00E50709">
        <w:rPr>
          <w:bdr w:val="none" w:sz="0" w:space="0" w:color="auto" w:frame="1"/>
        </w:rPr>
        <w:t>conjeturas relacionadas con los provechos o las ven</w:t>
      </w:r>
      <w:r w:rsidRPr="00E50709">
        <w:rPr>
          <w:bdr w:val="none" w:sz="0" w:space="0" w:color="auto" w:frame="1"/>
        </w:rPr>
        <w:t>tajas de la norma en cuestión y Sentencia C-229 de 2015, (MP Gabriel Eduardo Mendoza Martelo), en la que se consideró que la acción pública de inconstitucionalidad en razón de su objeto, no es un mecanismo encaminado a resolver situaciones particulares, ni</w:t>
      </w:r>
      <w:r w:rsidRPr="00E50709">
        <w:rPr>
          <w:bdr w:val="none" w:sz="0" w:space="0" w:color="auto" w:frame="1"/>
        </w:rPr>
        <w:t xml:space="preserve"> a revivir disposiciones que resulten deseables para quien formula una demanda.</w:t>
      </w:r>
    </w:p>
  </w:footnote>
  <w:footnote w:id="18">
    <w:p w:rsidR="00BA74B6" w:rsidRPr="00E50709" w:rsidRDefault="005A2345" w:rsidP="00AD4396">
      <w:pPr>
        <w:pStyle w:val="Textonotapie"/>
        <w:tabs>
          <w:tab w:val="left" w:pos="142"/>
          <w:tab w:val="left" w:pos="284"/>
          <w:tab w:val="left" w:pos="8364"/>
        </w:tabs>
        <w:jc w:val="both"/>
        <w:rPr>
          <w:sz w:val="22"/>
          <w:szCs w:val="22"/>
        </w:rPr>
      </w:pPr>
      <w:r w:rsidRPr="00E50709">
        <w:rPr>
          <w:rStyle w:val="Refdenotaalpie"/>
          <w:sz w:val="22"/>
          <w:szCs w:val="22"/>
        </w:rPr>
        <w:footnoteRef/>
      </w:r>
      <w:r w:rsidRPr="00E50709">
        <w:rPr>
          <w:sz w:val="22"/>
          <w:szCs w:val="22"/>
        </w:rPr>
        <w:t xml:space="preserve"> Corte Constitucional,  Sentencia C-048 de 2006 (MP Marco Gerardo Monroy Cabra), en la que esta Corporación señaló que las razones expuestas en la demanda no eran suficientes al no haberse estructurado una argumentación completa que explicara con todos los</w:t>
      </w:r>
      <w:r w:rsidRPr="00E50709">
        <w:rPr>
          <w:sz w:val="22"/>
          <w:szCs w:val="22"/>
        </w:rPr>
        <w:t xml:space="preserve"> elementos necesarios, por qué la norma acusada es contraria al precepto constitucional supuestamente vulnerado, y  Sentencia C-819 de 2011 (MP Gabriel Eduardo Mendoza Martelo), en la cual se afirmó que la acusación carecía de suficiencia al no contener lo</w:t>
      </w:r>
      <w:r w:rsidRPr="00E50709">
        <w:rPr>
          <w:sz w:val="22"/>
          <w:szCs w:val="22"/>
        </w:rPr>
        <w:t>s elementos fácticos necesarios para generar una sospecha o duda mínima sobre la constitucionalidad del precepto impugnado.</w:t>
      </w:r>
    </w:p>
  </w:footnote>
  <w:footnote w:id="19">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Presidencia de la República, Ministerio del Interior y Ministerio de Justicia y del Derecho. </w:t>
      </w:r>
    </w:p>
  </w:footnote>
  <w:footnote w:id="20">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El presente título se fundamenta p</w:t>
      </w:r>
      <w:r w:rsidRPr="00E50709">
        <w:rPr>
          <w:sz w:val="22"/>
          <w:szCs w:val="22"/>
          <w:lang w:val="es-ES"/>
        </w:rPr>
        <w:t>articularmente en la línea jurisprudencial desarrollada por la Corte Constitucional sobre el derecho al acceso a la información pública, en las sentencias T-464 de 1992, T-473 de 1992, C-089 de 1994, T-605 de 1996, C-857 de 1999, T-227 de 2003, C-872 de 20</w:t>
      </w:r>
      <w:r w:rsidRPr="00E50709">
        <w:rPr>
          <w:sz w:val="22"/>
          <w:szCs w:val="22"/>
          <w:lang w:val="es-ES"/>
        </w:rPr>
        <w:t xml:space="preserve">03, C-491 de 2007, C-540 de 2012, C-274 de 2013, C-951 de 2014, T-828 de 2014, C-017 de 2018, C-559 de 2019, T-330 de 2021, SU-355 de 2022, T-273 de 2023 y T-324 de 2024. </w:t>
      </w:r>
    </w:p>
  </w:footnote>
  <w:footnote w:id="21">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Corte Constitucional de Colombia. Sentencia C-559 de 2019. </w:t>
      </w:r>
    </w:p>
  </w:footnote>
  <w:footnote w:id="22">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vertAlign w:val="superscript"/>
        </w:rPr>
        <w:t xml:space="preserve"> </w:t>
      </w:r>
      <w:r w:rsidRPr="00E50709">
        <w:rPr>
          <w:sz w:val="22"/>
          <w:szCs w:val="22"/>
        </w:rPr>
        <w:t>Corte Constitucional</w:t>
      </w:r>
      <w:r w:rsidRPr="00E50709">
        <w:rPr>
          <w:sz w:val="22"/>
          <w:szCs w:val="22"/>
        </w:rPr>
        <w:t xml:space="preserve"> de Colombia. Sentencias T-473 de 1992, C-872 de 2003, C-274 de 2013, SU-355 de 2022 y T-273 de 2023. </w:t>
      </w:r>
    </w:p>
  </w:footnote>
  <w:footnote w:id="23">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vertAlign w:val="superscript"/>
        </w:rPr>
        <w:t xml:space="preserve"> </w:t>
      </w:r>
      <w:r w:rsidRPr="00E50709">
        <w:rPr>
          <w:sz w:val="22"/>
          <w:szCs w:val="22"/>
        </w:rPr>
        <w:t xml:space="preserve">Corte Constitucional de Colombia. Sentencias T-473 de 1992, C-872 de 2003, C-274 de 2013, SU-355 de 2022 y T-273 de 2023. </w:t>
      </w:r>
    </w:p>
  </w:footnote>
  <w:footnote w:id="24">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de Co</w:t>
      </w:r>
      <w:r w:rsidRPr="00E50709">
        <w:rPr>
          <w:sz w:val="22"/>
          <w:szCs w:val="22"/>
          <w:lang w:val="es-ES"/>
        </w:rPr>
        <w:t xml:space="preserve">lombia. Sentencia C-491 de 2007. </w:t>
      </w:r>
    </w:p>
  </w:footnote>
  <w:footnote w:id="25">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Corte Constitucional de Colombia. Sentencias C-491 de 2007, C-274 de 2013 y SU-355 de 2022. </w:t>
      </w:r>
    </w:p>
  </w:footnote>
  <w:footnote w:id="26">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de Colombia. Sentencias T-605 de 1996, C-274 de 2013, SU-355 de 2022 y T-273 de 2023.</w:t>
      </w:r>
    </w:p>
  </w:footnote>
  <w:footnote w:id="27">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Corte Constituci</w:t>
      </w:r>
      <w:r w:rsidRPr="00E50709">
        <w:rPr>
          <w:sz w:val="22"/>
          <w:szCs w:val="22"/>
        </w:rPr>
        <w:t>onal de Colombia. Sentencias C-274 de 2013 y SU-355 de 2022. En la primera providencia, la Corte recordó lo establecido en la sentencia 473 de 1992, en la cual se señaló: «el acceso a los documentos públicos se vincula con el más genérico concepto del dere</w:t>
      </w:r>
      <w:r w:rsidRPr="00E50709">
        <w:rPr>
          <w:sz w:val="22"/>
          <w:szCs w:val="22"/>
        </w:rPr>
        <w:t>cho a la información. Ese derecho del hombre a informar y a estar informado, según algunos autores, es una "garantía de ejercicio consciente de sus derechos políticos de participación en la cosa pública (…)  El desarrollo profesional, social e incluso vita</w:t>
      </w:r>
      <w:r w:rsidRPr="00E50709">
        <w:rPr>
          <w:sz w:val="22"/>
          <w:szCs w:val="22"/>
        </w:rPr>
        <w:t>l, en la sociedad del mundo contemporáneo está íntimamente ligado a la disponibilidad de información. A diferencia de épocas anteriores, en las cuales la posesión de tierra y de minerales preciosos era indispensable para el desarrollo y el progreso social,</w:t>
      </w:r>
      <w:r w:rsidRPr="00E50709">
        <w:rPr>
          <w:sz w:val="22"/>
          <w:szCs w:val="22"/>
        </w:rPr>
        <w:t xml:space="preserve"> hoy en día buena parte de la actividad económica y del ejercicio del poder se fundan en el recurso inmaterial de la información. En consecuencia, el ejercicio de los derechos humanos, y en especial de los derechos de libertad e igualdad política, tienen c</w:t>
      </w:r>
      <w:r w:rsidRPr="00E50709">
        <w:rPr>
          <w:sz w:val="22"/>
          <w:szCs w:val="22"/>
        </w:rPr>
        <w:t xml:space="preserve">omo presupuesto indispensable el acceso a la información”». </w:t>
      </w:r>
    </w:p>
  </w:footnote>
  <w:footnote w:id="28">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Corte Constitucional de Colombia. Sentencias C-491 de 2007, C-274 de 2013 y SU-355 de 2022.</w:t>
      </w:r>
    </w:p>
  </w:footnote>
  <w:footnote w:id="29">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Corte Constitucional de Colombia. Sentencias C-491 de 2007, C-274 de 2013 y SU-355 de 2022. </w:t>
      </w:r>
    </w:p>
  </w:footnote>
  <w:footnote w:id="30">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Corte Constitucional de Colombia. Sentencia C-089 de 1994. </w:t>
      </w:r>
    </w:p>
  </w:footnote>
  <w:footnote w:id="31">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de Colombia. Sentencia C-274 de 2013.</w:t>
      </w:r>
    </w:p>
  </w:footnote>
  <w:footnote w:id="32">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de Colombia. Sentencia C-274 de 2013.</w:t>
      </w:r>
    </w:p>
  </w:footnote>
  <w:footnote w:id="33">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Corte Constitucional de Colombia. Sentencia SU-355 de 2022. </w:t>
      </w:r>
    </w:p>
  </w:footnote>
  <w:footnote w:id="34">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w:t>
      </w:r>
      <w:r w:rsidRPr="00E50709">
        <w:rPr>
          <w:sz w:val="22"/>
          <w:szCs w:val="22"/>
          <w:lang w:val="es-ES"/>
        </w:rPr>
        <w:t xml:space="preserve">stitucional de Colombia. Sentencias SU-355 de 2022 y T-273 de 2023. </w:t>
      </w:r>
    </w:p>
  </w:footnote>
  <w:footnote w:id="35">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Corte Constitucional de Colombia. Sentencia C-491 de 2007. Se afirmó, «De la regla “pro publicidad” se derivan dos consecuencias: las normas que limitan el derecho de acceso a la inform</w:t>
      </w:r>
      <w:r w:rsidRPr="00E50709">
        <w:rPr>
          <w:sz w:val="22"/>
          <w:szCs w:val="22"/>
        </w:rPr>
        <w:t>ación deben ser interpretadas de manera restrictiva y toda limitación debe estar adecuadamente motivada».</w:t>
      </w:r>
    </w:p>
  </w:footnote>
  <w:footnote w:id="36">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de Colombia. Sentencias C-491 de 2007 y C-274 de 2013.</w:t>
      </w:r>
    </w:p>
  </w:footnote>
  <w:footnote w:id="37">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Corte Constitucional de Colombia. Sentencia C-491 de 2007. La Corte </w:t>
      </w:r>
      <w:r w:rsidRPr="00E50709">
        <w:rPr>
          <w:sz w:val="22"/>
          <w:szCs w:val="22"/>
          <w:lang w:val="es-ES"/>
        </w:rPr>
        <w:t>resaltó que «</w:t>
      </w:r>
      <w:r w:rsidRPr="00E50709">
        <w:rPr>
          <w:sz w:val="22"/>
          <w:szCs w:val="22"/>
        </w:rPr>
        <w:t>En suma, en una sociedad democrática, la regla general consiste en permitir el acceso ciudadano a todos los documentos públicos. De allí que constituya un deber constitucional de las autoridades públicas entregarle, a quien lo solicite, inform</w:t>
      </w:r>
      <w:r w:rsidRPr="00E50709">
        <w:rPr>
          <w:sz w:val="22"/>
          <w:szCs w:val="22"/>
        </w:rPr>
        <w:t>aciones claras, completas, oportunas, ciertas y actualizadas sobre cualquier actividad del Estado».</w:t>
      </w:r>
    </w:p>
  </w:footnote>
  <w:footnote w:id="38">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Corte Constitucional de Colombia. Sentencia C-491 de 2007: </w:t>
      </w:r>
      <w:r w:rsidRPr="00E50709">
        <w:rPr>
          <w:sz w:val="22"/>
          <w:szCs w:val="22"/>
          <w:lang w:val="es-ES"/>
        </w:rPr>
        <w:t>«</w:t>
      </w:r>
      <w:r w:rsidRPr="00E50709">
        <w:rPr>
          <w:sz w:val="22"/>
          <w:szCs w:val="22"/>
        </w:rPr>
        <w:t>El objeto de protección constitucional es exclusivamente el contenido del documento. Su existe</w:t>
      </w:r>
      <w:r w:rsidRPr="00E50709">
        <w:rPr>
          <w:sz w:val="22"/>
          <w:szCs w:val="22"/>
        </w:rPr>
        <w:t>ncia, por el contrario, ha de ser pública, a fin de garantizar que los ciudadanos tengan una oportunidad mínima a fin de poder ejercer, de alguna manera, el derecho fundamental al control del poder público (art. 40 de la C.P.)»</w:t>
      </w:r>
    </w:p>
  </w:footnote>
  <w:footnote w:id="39">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de Co</w:t>
      </w:r>
      <w:r w:rsidRPr="00E50709">
        <w:rPr>
          <w:sz w:val="22"/>
          <w:szCs w:val="22"/>
          <w:lang w:val="es-ES"/>
        </w:rPr>
        <w:t>lombia. Sentencias T-511 de 2010, C-274 de 2013, SU-355 de 2022 y T-273 de 2023.</w:t>
      </w:r>
    </w:p>
  </w:footnote>
  <w:footnote w:id="40">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de Colombia. Sentencia C-491 de 2007: «[a]</w:t>
      </w:r>
      <w:r w:rsidRPr="00E50709">
        <w:rPr>
          <w:sz w:val="22"/>
          <w:szCs w:val="22"/>
        </w:rPr>
        <w:t>sí por ejemplo, resultaría abiertamente inconstitucional que se estableciera una reserva sobre el contenido de</w:t>
      </w:r>
      <w:r w:rsidRPr="00E50709">
        <w:rPr>
          <w:sz w:val="22"/>
          <w:szCs w:val="22"/>
        </w:rPr>
        <w:t xml:space="preserve"> las leyes de la República, el trámite legislativo, los nombres de los servidores públicos de elección popular, en fin, todos los procesos y actuaciones cuya publicidad es constitucionalmente obligatoria. En este sentido, para mencionar un tema que tiene r</w:t>
      </w:r>
      <w:r w:rsidRPr="00E50709">
        <w:rPr>
          <w:sz w:val="22"/>
          <w:szCs w:val="22"/>
        </w:rPr>
        <w:t>elación directa con las normas demandadas, resultaría inadmisible constitucionalmente hablando que la cuantía de los gastos reservados de cada entidad estuviera también bajo reserva. Al ser este un tema que debe encontrarse dispuesto en la ley de presupues</w:t>
      </w:r>
      <w:r w:rsidRPr="00E50709">
        <w:rPr>
          <w:sz w:val="22"/>
          <w:szCs w:val="22"/>
        </w:rPr>
        <w:t>to, dicha información debe ser pública de forma tal que pueda ser conocida y controvertida por la ciudadanía».</w:t>
      </w:r>
    </w:p>
  </w:footnote>
  <w:footnote w:id="41">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de Colombia. Sentencia T-273 de 2023.</w:t>
      </w:r>
    </w:p>
  </w:footnote>
  <w:footnote w:id="42">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Congreso de la República de Colombia. Ley Estatutaria 1712 de 2014, Artículo 2. </w:t>
      </w:r>
    </w:p>
  </w:footnote>
  <w:footnote w:id="43">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Corte Constitucional de Colombia. Sentencia T-273 de 2023. Reitera lo establecido en la sentencia C-274 de 2013. </w:t>
      </w:r>
    </w:p>
  </w:footnote>
  <w:footnote w:id="44">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de Colombia. Sentencia C-274 de 2013.</w:t>
      </w:r>
    </w:p>
  </w:footnote>
  <w:footnote w:id="45">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de Colombia. Sentencia C-274 de 2013.</w:t>
      </w:r>
    </w:p>
  </w:footnote>
  <w:footnote w:id="46">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w:t>
      </w:r>
      <w:r w:rsidRPr="00E50709">
        <w:rPr>
          <w:sz w:val="22"/>
          <w:szCs w:val="22"/>
          <w:lang w:val="es-ES"/>
        </w:rPr>
        <w:t>Congreso de la Re</w:t>
      </w:r>
      <w:r w:rsidRPr="00E50709">
        <w:rPr>
          <w:sz w:val="22"/>
          <w:szCs w:val="22"/>
          <w:lang w:val="es-ES"/>
        </w:rPr>
        <w:t>pública de Colombia. Ley 1437 de 2011. «</w:t>
      </w:r>
      <w:r w:rsidRPr="00E50709">
        <w:rPr>
          <w:color w:val="333333"/>
          <w:sz w:val="22"/>
          <w:szCs w:val="22"/>
          <w:lang w:eastAsia="es-CO"/>
        </w:rPr>
        <w:t xml:space="preserve">Artículo 26. Insistencia del solicitante en caso de reserva. </w:t>
      </w:r>
      <w:r w:rsidRPr="00E50709">
        <w:rPr>
          <w:sz w:val="22"/>
          <w:szCs w:val="22"/>
        </w:rPr>
        <w:t>Si la persona interesada insistiere en su petición de información o de documentos ante la autoridad que invoca la reserva, corresponderá al Tribunal Admini</w:t>
      </w:r>
      <w:r w:rsidRPr="00E50709">
        <w:rPr>
          <w:sz w:val="22"/>
          <w:szCs w:val="22"/>
        </w:rPr>
        <w:t>strativo con jurisdicción en el lugar donde se encuentren los documentos, si se trata de autoridades nacionales, departamentales o del Distrito Capital de Bogotá, o al juez administrativo si se trata de autoridades distritales y municipales decidir en únic</w:t>
      </w:r>
      <w:r w:rsidRPr="00E50709">
        <w:rPr>
          <w:sz w:val="22"/>
          <w:szCs w:val="22"/>
        </w:rPr>
        <w:t>a instancia si se niega o se acepta, total o parcialmente la petición formulada.</w:t>
      </w:r>
    </w:p>
    <w:p w:rsidR="00BA74B6" w:rsidRPr="00E50709" w:rsidRDefault="005A2345" w:rsidP="00AD4396">
      <w:pPr>
        <w:pStyle w:val="Textonotapie"/>
        <w:jc w:val="both"/>
        <w:rPr>
          <w:sz w:val="22"/>
          <w:szCs w:val="22"/>
        </w:rPr>
      </w:pPr>
      <w:r w:rsidRPr="00E50709">
        <w:rPr>
          <w:sz w:val="22"/>
          <w:szCs w:val="22"/>
        </w:rPr>
        <w:t>Para ello, el funcionario respectivo enviará la documentación correspondiente al tribunal o al juez administrativo, el cual decidirá dentro de los diez (10) días siguientes. E</w:t>
      </w:r>
      <w:r w:rsidRPr="00E50709">
        <w:rPr>
          <w:sz w:val="22"/>
          <w:szCs w:val="22"/>
        </w:rPr>
        <w:t>ste término se interrumpirá en los siguientes casos:</w:t>
      </w:r>
    </w:p>
    <w:p w:rsidR="00BA74B6" w:rsidRPr="00E50709" w:rsidRDefault="005A2345" w:rsidP="00AD4396">
      <w:pPr>
        <w:pStyle w:val="Textonotapie"/>
        <w:jc w:val="both"/>
        <w:rPr>
          <w:sz w:val="22"/>
          <w:szCs w:val="22"/>
        </w:rPr>
      </w:pPr>
      <w:r w:rsidRPr="00E50709">
        <w:rPr>
          <w:sz w:val="22"/>
          <w:szCs w:val="22"/>
        </w:rPr>
        <w:t>1. Cuando el tribunal o el juez administrativo solicite copia o fotocopia de los documentos sobre cuya divulgación deba decidir, o cualquier otra información que requieran, y hasta la fecha en la cual la</w:t>
      </w:r>
      <w:r w:rsidRPr="00E50709">
        <w:rPr>
          <w:sz w:val="22"/>
          <w:szCs w:val="22"/>
        </w:rPr>
        <w:t>s reciba oficialmente.</w:t>
      </w:r>
    </w:p>
    <w:p w:rsidR="00BA74B6" w:rsidRPr="00E50709" w:rsidRDefault="005A2345" w:rsidP="00AD4396">
      <w:pPr>
        <w:pStyle w:val="Textonotapie"/>
        <w:jc w:val="both"/>
        <w:rPr>
          <w:sz w:val="22"/>
          <w:szCs w:val="22"/>
        </w:rPr>
      </w:pPr>
      <w:r w:rsidRPr="00E50709">
        <w:rPr>
          <w:sz w:val="22"/>
          <w:szCs w:val="22"/>
        </w:rPr>
        <w:t>2. Cuando la autoridad solicite, a la sección del Consejo de Estado que el reglamento disponga, asumir conocimiento del asunto en atención a su importancia jurídica o con el objeto de unificar criterios sobre el tema. Si al cabo de c</w:t>
      </w:r>
      <w:r w:rsidRPr="00E50709">
        <w:rPr>
          <w:sz w:val="22"/>
          <w:szCs w:val="22"/>
        </w:rPr>
        <w:t>inco (5) días la sección guarda silencio, o decide no avocar conocimiento, la actuación continuará ante el respectivo tribunal o juzgado administrativo</w:t>
      </w:r>
    </w:p>
    <w:p w:rsidR="00BA74B6" w:rsidRPr="00E50709" w:rsidRDefault="005A2345" w:rsidP="00AD4396">
      <w:pPr>
        <w:pStyle w:val="Textonotapie"/>
        <w:jc w:val="both"/>
        <w:rPr>
          <w:sz w:val="22"/>
          <w:szCs w:val="22"/>
        </w:rPr>
      </w:pPr>
      <w:r w:rsidRPr="00E50709">
        <w:rPr>
          <w:b/>
          <w:bCs/>
          <w:sz w:val="22"/>
          <w:szCs w:val="22"/>
        </w:rPr>
        <w:t>PARÁGRAFO.</w:t>
      </w:r>
      <w:r w:rsidRPr="00E50709">
        <w:rPr>
          <w:sz w:val="22"/>
          <w:szCs w:val="22"/>
        </w:rPr>
        <w:t> El recurso de insistencia deberá interponerse por escrito y sustentado en la diligencia de no</w:t>
      </w:r>
      <w:r w:rsidRPr="00E50709">
        <w:rPr>
          <w:sz w:val="22"/>
          <w:szCs w:val="22"/>
        </w:rPr>
        <w:t>tificación, o dentro de los diez (10) días siguientes a ella».</w:t>
      </w:r>
    </w:p>
  </w:footnote>
  <w:footnote w:id="47">
    <w:p w:rsidR="00BA74B6" w:rsidRPr="00E50709" w:rsidRDefault="005A2345" w:rsidP="00AD4396">
      <w:pPr>
        <w:jc w:val="both"/>
      </w:pPr>
      <w:r w:rsidRPr="00E50709">
        <w:rPr>
          <w:rStyle w:val="Refdenotaalpie"/>
        </w:rPr>
        <w:footnoteRef/>
      </w:r>
      <w:r w:rsidRPr="00E50709">
        <w:t xml:space="preserve"> OEA. Convención Americana sobre Derechos Humanos. «Artículo 13. Libertad de Pensamiento y de Expresión 1. Toda persona tiene derecho a la libertad de pensamiento y de expresión. Este derecho </w:t>
      </w:r>
      <w:r w:rsidRPr="00E50709">
        <w:t xml:space="preserve">comprende la </w:t>
      </w:r>
      <w:r w:rsidRPr="00E50709">
        <w:rPr>
          <w:b/>
          <w:bCs/>
        </w:rPr>
        <w:t>libertad de buscar, recibir y difundir informaciones</w:t>
      </w:r>
      <w:r w:rsidRPr="00E50709">
        <w:t xml:space="preserve"> e ideas de toda índole, sin consideración de fronteras, ya sea oralmente, por escrito o en forma impresa o artística, o por cualquier otro procedimiento de su elección. 2. El ejercicio del d</w:t>
      </w:r>
      <w:r w:rsidRPr="00E50709">
        <w:t>erecho previsto en el inciso precedente no puede estar sujeto a previa censura sino a responsabilidades ulteriores, las que deben estar expresamente fijadas por la ley y ser necesarias para asegurar: a) el respeto a los derechos o a la reputación de los de</w:t>
      </w:r>
      <w:r w:rsidRPr="00E50709">
        <w:t>más, o b) la protección de la seguridad nacional, el orden público o la salud o la moral públicas. 3. No se puede restringir el derecho de expresión por vías o medios indirectos, tales como el abuso de controles oficiales o particulares de papel para perió</w:t>
      </w:r>
      <w:r w:rsidRPr="00E50709">
        <w:t>dicos, de frecuencias radioeléctricas, o de enseres y aparatos usados en la difusión de información o por cualesquiera otros medios encaminados a impedir la comunicación y la circulación de ideas y opiniones. 4. Los espectáculos públicos pueden ser sometid</w:t>
      </w:r>
      <w:r w:rsidRPr="00E50709">
        <w:t>os por la ley a censura previa, con el exclusivo objeto de regular el acceso a ellos para la protección moral de la infancia y la adolescencia, sin perjuicio de lo establecido en el inciso 2. 5. Estará prohibida por la ley toda propaganda en favor de la gu</w:t>
      </w:r>
      <w:r w:rsidRPr="00E50709">
        <w:t xml:space="preserve">erra y toda apología del odio nacional, racial o religioso que constituyan incitaciones a la violencia o cualquier otra acción ilegal similar contra cualquier persona o grupo de personas, por ningún motivo, inclusive los de raza, color, religión, idioma u </w:t>
      </w:r>
      <w:r w:rsidRPr="00E50709">
        <w:t>origen nacional».</w:t>
      </w:r>
    </w:p>
  </w:footnote>
  <w:footnote w:id="48">
    <w:p w:rsidR="00BA74B6" w:rsidRPr="00E50709" w:rsidRDefault="005A2345" w:rsidP="00AD4396">
      <w:pPr>
        <w:jc w:val="both"/>
      </w:pPr>
      <w:r w:rsidRPr="00E50709">
        <w:rPr>
          <w:rStyle w:val="Refdenotaalpie"/>
        </w:rPr>
        <w:footnoteRef/>
      </w:r>
      <w:r w:rsidRPr="00E50709">
        <w:t xml:space="preserve"> </w:t>
      </w:r>
      <w:r w:rsidRPr="00E50709">
        <w:rPr>
          <w:lang w:val="es-ES"/>
        </w:rPr>
        <w:t>ONU. Pacto Internacional de Derechos Civiles y Políticos. «</w:t>
      </w:r>
      <w:r w:rsidRPr="00E50709">
        <w:t>Artículo 19. 1. Nadie podrá ser molestado a causa de sus opiniones.</w:t>
      </w:r>
      <w:r w:rsidRPr="00E50709">
        <w:br/>
        <w:t xml:space="preserve">2. Toda persona tiene derecho a la libertad de expresión; este derecho comprende </w:t>
      </w:r>
      <w:r w:rsidRPr="00E50709">
        <w:rPr>
          <w:b/>
          <w:bCs/>
        </w:rPr>
        <w:t>la libertad de buscar, recib</w:t>
      </w:r>
      <w:r w:rsidRPr="00E50709">
        <w:rPr>
          <w:b/>
          <w:bCs/>
        </w:rPr>
        <w:t>ir y difundir informaciones</w:t>
      </w:r>
      <w:r w:rsidRPr="00E50709">
        <w:t xml:space="preserve"> e ideas de toda índole, sin consideración de fronteras, ya sea oralmente, por escrito o en forma impresa o artística, o por cualquier otro procedimiento de su elección. 3. El ejercicio del derecho previsto en el párrafo 2 de est</w:t>
      </w:r>
      <w:r w:rsidRPr="00E50709">
        <w:t xml:space="preserve">e artículo entraña deberes y responsabilidades especiales. Por consiguiente, puede estar sujeto a ciertas restricciones, que deberán, sin embargo, estar expresamente fijadas por la ley y ser necesarias para: </w:t>
      </w:r>
      <w:r w:rsidRPr="00E50709">
        <w:rPr>
          <w:iCs/>
        </w:rPr>
        <w:t>a</w:t>
      </w:r>
      <w:r w:rsidRPr="00E50709">
        <w:t xml:space="preserve">) Asegurar el respeto a los derechos o a la </w:t>
      </w:r>
      <w:r w:rsidRPr="00E50709">
        <w:t>reputación de los demás;</w:t>
      </w:r>
      <w:r w:rsidRPr="00E50709">
        <w:br/>
      </w:r>
      <w:r w:rsidRPr="00E50709">
        <w:rPr>
          <w:iCs/>
        </w:rPr>
        <w:t>b</w:t>
      </w:r>
      <w:r w:rsidRPr="00E50709">
        <w:t>) La protección de la seguridad nacional, el orden público o la salud o la moral públicas».</w:t>
      </w:r>
    </w:p>
  </w:footnote>
  <w:footnote w:id="49">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Jurisprudencia que reiteraría posteriormente en sentencias; </w:t>
      </w:r>
      <w:r w:rsidRPr="00E50709">
        <w:rPr>
          <w:sz w:val="22"/>
          <w:szCs w:val="22"/>
        </w:rPr>
        <w:t>Caso Gomes Lund y otros ("Guerrilha do Araguaia") Vs. Brasil (2010), Caso Pu</w:t>
      </w:r>
      <w:r w:rsidRPr="00E50709">
        <w:rPr>
          <w:sz w:val="22"/>
          <w:szCs w:val="22"/>
        </w:rPr>
        <w:t>eblos Kaliña y Lokono Vs. Surinam (2015) y Caso I.V. Vs. Bolivia (2016).</w:t>
      </w:r>
    </w:p>
  </w:footnote>
  <w:footnote w:id="50">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IDH. C</w:t>
      </w:r>
      <w:r w:rsidRPr="00E50709">
        <w:rPr>
          <w:sz w:val="22"/>
          <w:szCs w:val="22"/>
        </w:rPr>
        <w:t>aso Claude Reyes y otros Vs. Chile. Fondo, Reparaciones y Costas. Sentencia de 19 de septiembre de 2006. Serie C No. 151. Párr. 84-86.</w:t>
      </w:r>
    </w:p>
  </w:footnote>
  <w:footnote w:id="51">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IDH. C</w:t>
      </w:r>
      <w:r w:rsidRPr="00E50709">
        <w:rPr>
          <w:sz w:val="22"/>
          <w:szCs w:val="22"/>
        </w:rPr>
        <w:t>aso Claude Reyes y o</w:t>
      </w:r>
      <w:r w:rsidRPr="00E50709">
        <w:rPr>
          <w:sz w:val="22"/>
          <w:szCs w:val="22"/>
        </w:rPr>
        <w:t xml:space="preserve">tros Vs. Chile. Fondo, Reparaciones y Costas. Sentencia de 19 de septiembre de 2006. Serie C No. 151. Párr. 92. </w:t>
      </w:r>
    </w:p>
  </w:footnote>
  <w:footnote w:id="52">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IDH. C</w:t>
      </w:r>
      <w:r w:rsidRPr="00E50709">
        <w:rPr>
          <w:sz w:val="22"/>
          <w:szCs w:val="22"/>
        </w:rPr>
        <w:t>aso Claude Reyes y otros Vs. Chile. Fondo, Reparaciones y Costas. Sentencia de 19 de septiembre de 2006. Serie C No. 151. Párr. 9</w:t>
      </w:r>
      <w:r w:rsidRPr="00E50709">
        <w:rPr>
          <w:sz w:val="22"/>
          <w:szCs w:val="22"/>
        </w:rPr>
        <w:t>1.</w:t>
      </w:r>
    </w:p>
  </w:footnote>
  <w:footnote w:id="53">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Corte IDH. Caso Gomes Lund y otros ("Guerrilha do Araguaia") Vs. Brasil. Excepciones Preliminares, Fondo, Reparaciones y Costas. Sentencia de 24 de noviembre de 2010. Serie C No. 219. Párr. 200. </w:t>
      </w:r>
    </w:p>
  </w:footnote>
  <w:footnote w:id="54">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Corte IDH. Caso Gomes Lund y otros ("Guerrilha do Araguaia") Vs. Brasil. Excepciones Preliminares, Fondo, Reparaciones y Costas. Sentencia de 24 de noviembre de 2010. Serie C No. 219. Párr. 202.</w:t>
      </w:r>
    </w:p>
  </w:footnote>
  <w:footnote w:id="55">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OEA. Comisión Interamericana de Derechos Humanos. </w:t>
      </w:r>
      <w:r w:rsidRPr="00E50709">
        <w:rPr>
          <w:sz w:val="22"/>
          <w:szCs w:val="22"/>
        </w:rPr>
        <w:t>Relatorí</w:t>
      </w:r>
      <w:r w:rsidRPr="00E50709">
        <w:rPr>
          <w:sz w:val="22"/>
          <w:szCs w:val="22"/>
        </w:rPr>
        <w:t xml:space="preserve">a Especial para la Libertad de Expresión. “Derecho a la información y seguridad nacional”. Disponible en: </w:t>
      </w:r>
      <w:hyperlink r:id="rId1" w:history="1">
        <w:r w:rsidRPr="00E50709">
          <w:rPr>
            <w:rStyle w:val="Hipervnculo"/>
            <w:sz w:val="22"/>
            <w:szCs w:val="22"/>
          </w:rPr>
          <w:t>https://www.oas.org/es/cidh/expresion/informes/</w:t>
        </w:r>
        <w:r w:rsidRPr="00E50709">
          <w:rPr>
            <w:rStyle w:val="Hipervnculo"/>
            <w:sz w:val="22"/>
            <w:szCs w:val="22"/>
          </w:rPr>
          <w:t>DerechoInformacionSeguridadNacional.pdf</w:t>
        </w:r>
      </w:hyperlink>
      <w:r w:rsidRPr="00E50709">
        <w:rPr>
          <w:sz w:val="22"/>
          <w:szCs w:val="22"/>
        </w:rPr>
        <w:t xml:space="preserve"> </w:t>
      </w:r>
    </w:p>
  </w:footnote>
  <w:footnote w:id="56">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OEA. Comisión Interamericana de Derechos Humanos. </w:t>
      </w:r>
      <w:r w:rsidRPr="00E50709">
        <w:rPr>
          <w:sz w:val="22"/>
          <w:szCs w:val="22"/>
        </w:rPr>
        <w:t xml:space="preserve">Relatoría Especial para la Libertad de Expresión. “Derecho a la información y seguridad nacional”. Disponible en: </w:t>
      </w:r>
      <w:hyperlink r:id="rId2" w:history="1">
        <w:r w:rsidRPr="00E50709">
          <w:rPr>
            <w:rStyle w:val="Hipervnculo"/>
            <w:sz w:val="22"/>
            <w:szCs w:val="22"/>
          </w:rPr>
          <w:t>https://www.oas.org/es/cidh/expresion/informes/DerechoInformacionSeguridadNacional.pdf</w:t>
        </w:r>
      </w:hyperlink>
    </w:p>
  </w:footnote>
  <w:footnote w:id="57">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OEA. Comisión Interamericana de Derechos Humanos. </w:t>
      </w:r>
      <w:r w:rsidRPr="00E50709">
        <w:rPr>
          <w:sz w:val="22"/>
          <w:szCs w:val="22"/>
        </w:rPr>
        <w:t>Relatoría Especial para la Libertad de Expresión. “Derecho a la</w:t>
      </w:r>
      <w:r w:rsidRPr="00E50709">
        <w:rPr>
          <w:sz w:val="22"/>
          <w:szCs w:val="22"/>
        </w:rPr>
        <w:t xml:space="preserve"> información y seguridad nacional”. Disponible en: </w:t>
      </w:r>
      <w:hyperlink r:id="rId3" w:history="1">
        <w:r w:rsidRPr="00E50709">
          <w:rPr>
            <w:rStyle w:val="Hipervnculo"/>
            <w:sz w:val="22"/>
            <w:szCs w:val="22"/>
          </w:rPr>
          <w:t>https://www.oas.org/es/cidh/expresion/informes/DerechoInformacionSeguridadNacional.pdf</w:t>
        </w:r>
      </w:hyperlink>
    </w:p>
  </w:footnote>
  <w:footnote w:id="58">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w:t>
      </w:r>
      <w:r w:rsidRPr="00E50709">
        <w:rPr>
          <w:sz w:val="22"/>
          <w:szCs w:val="22"/>
          <w:lang w:val="es-ES"/>
        </w:rPr>
        <w:t>«</w:t>
      </w:r>
      <w:r w:rsidRPr="00E50709">
        <w:rPr>
          <w:sz w:val="22"/>
          <w:szCs w:val="22"/>
        </w:rPr>
        <w:t>No existe ni</w:t>
      </w:r>
      <w:r w:rsidRPr="00E50709">
        <w:rPr>
          <w:sz w:val="22"/>
          <w:szCs w:val="22"/>
        </w:rPr>
        <w:t>ngún interés legítimo de seguridad nacional que justifique clasificar como reservada o secreta información sobre graves violaciones de derechos humanos, basado en razones de seguridad nacional. Como la CIDH ha señalado al resolver diversos casos que involu</w:t>
      </w:r>
      <w:r w:rsidRPr="00E50709">
        <w:rPr>
          <w:sz w:val="22"/>
          <w:szCs w:val="22"/>
        </w:rPr>
        <w:t xml:space="preserve">cran graves violaciones a los derechos humanos, “cuando se trata de la investigación y persecución de ilícitos atribuibles a las fuerzas de seguridad del Estado, surge una eventual colisión de intereses entre la necesidad de proteger el secreto de Estado, </w:t>
      </w:r>
      <w:r w:rsidRPr="00E50709">
        <w:rPr>
          <w:sz w:val="22"/>
          <w:szCs w:val="22"/>
        </w:rPr>
        <w:t xml:space="preserve">por un lado, y las obligaciones de proteger a las personas de los actos ilícitos cometidos por sus agentes públicos y la de investigar, juzgar y sancionar a los responsables de los mismos, por el otro lado”. [L]os poderes públicos no pueden escudarse tras </w:t>
      </w:r>
      <w:r w:rsidRPr="00E50709">
        <w:rPr>
          <w:sz w:val="22"/>
          <w:szCs w:val="22"/>
        </w:rPr>
        <w:t xml:space="preserve">el manto protector del secreto de Estado para evitar o dificultar la investigación de ilícitos atribuidos a los miembros de sus propios órganos». </w:t>
      </w:r>
      <w:r w:rsidRPr="00E50709">
        <w:rPr>
          <w:sz w:val="22"/>
          <w:szCs w:val="22"/>
          <w:lang w:val="es-ES"/>
        </w:rPr>
        <w:t xml:space="preserve">OEA. Comisión Interamericana de Derechos Humanos. </w:t>
      </w:r>
      <w:r w:rsidRPr="00E50709">
        <w:rPr>
          <w:sz w:val="22"/>
          <w:szCs w:val="22"/>
        </w:rPr>
        <w:t>Relatoría Especial para la Libertad de Expresión. “Derecho a</w:t>
      </w:r>
      <w:r w:rsidRPr="00E50709">
        <w:rPr>
          <w:sz w:val="22"/>
          <w:szCs w:val="22"/>
        </w:rPr>
        <w:t xml:space="preserve"> la información y seguridad nacional”. Disponible en: </w:t>
      </w:r>
      <w:hyperlink r:id="rId4" w:history="1">
        <w:r w:rsidRPr="00E50709">
          <w:rPr>
            <w:rStyle w:val="Hipervnculo"/>
            <w:sz w:val="22"/>
            <w:szCs w:val="22"/>
          </w:rPr>
          <w:t>https://www.oas.org/es/cidh/expresion/informes/DerechoInformacionSeguridadNacional.pdf</w:t>
        </w:r>
      </w:hyperlink>
    </w:p>
  </w:footnote>
  <w:footnote w:id="59">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Corte Constitucional de Colombia. Sentencias T-580 de 2012, C-274 de 2013, C-017 de 2018, T-374 de 2020, T-273 de 2023. </w:t>
      </w:r>
    </w:p>
  </w:footnote>
  <w:footnote w:id="60">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Aprobada por la Asamblea General de la OEA en el vigésimo octavo periodo extraordinario de sesiones en la ciudad de Lima, Perú el 11 </w:t>
      </w:r>
      <w:r w:rsidRPr="00E50709">
        <w:rPr>
          <w:sz w:val="22"/>
          <w:szCs w:val="22"/>
        </w:rPr>
        <w:t xml:space="preserve">de septiembre de 2001. Disponible en: </w:t>
      </w:r>
      <w:hyperlink r:id="rId5" w:history="1">
        <w:r w:rsidRPr="00E50709">
          <w:rPr>
            <w:rStyle w:val="Hipervnculo"/>
            <w:sz w:val="22"/>
            <w:szCs w:val="22"/>
          </w:rPr>
          <w:t>https://www.oas.org/charter/docs_es/resolucion1_es.htm</w:t>
        </w:r>
      </w:hyperlink>
      <w:r w:rsidRPr="00E50709">
        <w:rPr>
          <w:sz w:val="22"/>
          <w:szCs w:val="22"/>
        </w:rPr>
        <w:t xml:space="preserve"> </w:t>
      </w:r>
    </w:p>
  </w:footnote>
  <w:footnote w:id="61">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Adoptada por la conferencia hemisférica sobre libertad de expresión celebrada en México, </w:t>
      </w:r>
      <w:r w:rsidRPr="00E50709">
        <w:rPr>
          <w:sz w:val="22"/>
          <w:szCs w:val="22"/>
        </w:rPr>
        <w:t xml:space="preserve">D.F. el 11 de marzo de 1994. Disponible en: </w:t>
      </w:r>
      <w:hyperlink r:id="rId6" w:history="1">
        <w:r w:rsidRPr="00E50709">
          <w:rPr>
            <w:rStyle w:val="Hipervnculo"/>
            <w:sz w:val="22"/>
            <w:szCs w:val="22"/>
          </w:rPr>
          <w:t>https://www.oas.org/es/cidh/expresion/showarticle.asp?artID=60&amp;lID=2</w:t>
        </w:r>
      </w:hyperlink>
      <w:r w:rsidRPr="00E50709">
        <w:rPr>
          <w:sz w:val="22"/>
          <w:szCs w:val="22"/>
        </w:rPr>
        <w:t xml:space="preserve"> </w:t>
      </w:r>
    </w:p>
  </w:footnote>
  <w:footnote w:id="62">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Adoptada por la Comisión Interamericana de Derechos Hum</w:t>
      </w:r>
      <w:r w:rsidRPr="00E50709">
        <w:rPr>
          <w:sz w:val="22"/>
          <w:szCs w:val="22"/>
        </w:rPr>
        <w:t xml:space="preserve">anos en su 108° período ordinario de sesiones celebrado en la ciudad de Washington, EEUU, del 2 al 20 octubre del 2000. Disponible en: </w:t>
      </w:r>
      <w:hyperlink r:id="rId7" w:history="1">
        <w:r w:rsidRPr="00E50709">
          <w:rPr>
            <w:rStyle w:val="Hipervnculo"/>
            <w:sz w:val="22"/>
            <w:szCs w:val="22"/>
          </w:rPr>
          <w:t>http</w:t>
        </w:r>
        <w:r w:rsidRPr="00E50709">
          <w:rPr>
            <w:rStyle w:val="Hipervnculo"/>
            <w:sz w:val="22"/>
            <w:szCs w:val="22"/>
          </w:rPr>
          <w:t>s://www.oas.org/es/cidh/mandato/documentos-basicos/declaracion-principios-libertad-expresion.pdf</w:t>
        </w:r>
      </w:hyperlink>
      <w:r w:rsidRPr="00E50709">
        <w:rPr>
          <w:sz w:val="22"/>
          <w:szCs w:val="22"/>
        </w:rPr>
        <w:t xml:space="preserve"> </w:t>
      </w:r>
    </w:p>
  </w:footnote>
  <w:footnote w:id="63">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Aprobados el 1 de octubre de 1995 en la ciudad de Londres, por un grupo de expertos en derecho internacional, seguridad nacional y derechos humanos convocad</w:t>
      </w:r>
      <w:r w:rsidRPr="00E50709">
        <w:rPr>
          <w:sz w:val="22"/>
          <w:szCs w:val="22"/>
        </w:rPr>
        <w:t xml:space="preserve">o por ARTÍCULO 19, el Centro Internacional Contra la Censura, en colaboración con el Centro de Estudios Legales Aplicados de la Universidad de Witwatersrand, en Johannesburgo. Disponible en: </w:t>
      </w:r>
      <w:hyperlink r:id="rId8" w:history="1">
        <w:r w:rsidRPr="00E50709">
          <w:rPr>
            <w:rStyle w:val="Hipervnculo"/>
            <w:sz w:val="22"/>
            <w:szCs w:val="22"/>
          </w:rPr>
          <w:t>http</w:t>
        </w:r>
        <w:r w:rsidRPr="00E50709">
          <w:rPr>
            <w:rStyle w:val="Hipervnculo"/>
            <w:sz w:val="22"/>
            <w:szCs w:val="22"/>
          </w:rPr>
          <w:t>s://www.corteidh.or.cr/tablas/a22440.pdf</w:t>
        </w:r>
      </w:hyperlink>
      <w:r w:rsidRPr="00E50709">
        <w:rPr>
          <w:sz w:val="22"/>
          <w:szCs w:val="22"/>
        </w:rPr>
        <w:t xml:space="preserve"> </w:t>
      </w:r>
    </w:p>
  </w:footnote>
  <w:footnote w:id="64">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Aprobados por varias organizaciones de la sociedad civil y las relatorías para la libertad de expresión de la ONU y la CIDH, en la ciudad de Lima, Perú el 16 de noviembre de 2000. Disponible en: </w:t>
      </w:r>
      <w:hyperlink r:id="rId9" w:history="1">
        <w:r w:rsidRPr="00E50709">
          <w:rPr>
            <w:rStyle w:val="Hipervnculo"/>
            <w:sz w:val="22"/>
            <w:szCs w:val="22"/>
          </w:rPr>
          <w:t>https://www.oas.org/es/cidh/expresion/showarticle.asp?artID=158&amp;lID=2</w:t>
        </w:r>
      </w:hyperlink>
      <w:r w:rsidRPr="00E50709">
        <w:rPr>
          <w:sz w:val="22"/>
          <w:szCs w:val="22"/>
        </w:rPr>
        <w:t xml:space="preserve"> </w:t>
      </w:r>
    </w:p>
  </w:footnote>
  <w:footnote w:id="65">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Aprobados el 12 de junio de 2013, «fueron redactados por 22 organizaciones durante un periodo de dos años, en el q</w:t>
      </w:r>
      <w:r w:rsidRPr="00E50709">
        <w:rPr>
          <w:sz w:val="22"/>
          <w:szCs w:val="22"/>
        </w:rPr>
        <w:t xml:space="preserve">ue se contó con la asesoría de más de 500 expertos de al menos 70 países. El proceso de redacción culminó con una reunión en la ciudad sudafricana de Tshwane, de la que estos Principios tomaron su nombre». Disponible en: </w:t>
      </w:r>
      <w:hyperlink r:id="rId10" w:history="1">
        <w:r w:rsidRPr="00E50709">
          <w:rPr>
            <w:rStyle w:val="Hipervnculo"/>
            <w:sz w:val="22"/>
            <w:szCs w:val="22"/>
          </w:rPr>
          <w:t>https://www.oas.org/es/sla/ddi/docs/acceso_informacion_Taller_Alto_Nivel_Paraguay_2018_documentos_referencia_Principios_Tshwane.pdf</w:t>
        </w:r>
      </w:hyperlink>
      <w:r w:rsidRPr="00E50709">
        <w:rPr>
          <w:sz w:val="22"/>
          <w:szCs w:val="22"/>
        </w:rPr>
        <w:t xml:space="preserve"> </w:t>
      </w:r>
    </w:p>
  </w:footnote>
  <w:footnote w:id="66">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Especial</w:t>
      </w:r>
      <w:r w:rsidRPr="00E50709">
        <w:rPr>
          <w:sz w:val="22"/>
          <w:szCs w:val="22"/>
          <w:lang w:val="es-ES"/>
        </w:rPr>
        <w:t xml:space="preserve">mente, los escritos de las organizaciones de la Fundación para la Libertad de Prensa – FLIP, El Veinte y la Comisión Colombiana de Juristas, presentaron algunas consideraciones y bibliografía sobre este tema. </w:t>
      </w:r>
    </w:p>
  </w:footnote>
  <w:footnote w:id="67">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Intervención presentada por la Fundación Par</w:t>
      </w:r>
      <w:r w:rsidRPr="00E50709">
        <w:rPr>
          <w:sz w:val="22"/>
          <w:szCs w:val="22"/>
          <w:lang w:val="es-ES"/>
        </w:rPr>
        <w:t xml:space="preserve">a la Libertad de Prensa FLIP y El Veinte. </w:t>
      </w:r>
    </w:p>
  </w:footnote>
  <w:footnote w:id="68">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Disponible en: </w:t>
      </w:r>
      <w:hyperlink r:id="rId11" w:history="1">
        <w:r w:rsidRPr="00E50709">
          <w:rPr>
            <w:rStyle w:val="Hipervnculo"/>
            <w:sz w:val="22"/>
            <w:szCs w:val="22"/>
            <w:lang w:val="es-ES"/>
          </w:rPr>
          <w:t>https://ifit-transitions.org/wp-content/uploads/2021/03/La-fase-exploratoria-del</w:t>
        </w:r>
        <w:r w:rsidRPr="00E50709">
          <w:rPr>
            <w:rStyle w:val="Hipervnculo"/>
            <w:sz w:val="22"/>
            <w:szCs w:val="22"/>
            <w:lang w:val="es-ES"/>
          </w:rPr>
          <w:t>-proceso-de-paz.pdf</w:t>
        </w:r>
      </w:hyperlink>
      <w:r w:rsidRPr="00E50709">
        <w:rPr>
          <w:sz w:val="22"/>
          <w:szCs w:val="22"/>
          <w:lang w:val="es-ES"/>
        </w:rPr>
        <w:t xml:space="preserve"> </w:t>
      </w:r>
    </w:p>
  </w:footnote>
  <w:footnote w:id="69">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Disponible en: </w:t>
      </w:r>
      <w:hyperlink r:id="rId12" w:history="1">
        <w:r w:rsidRPr="00E50709">
          <w:rPr>
            <w:rStyle w:val="Hipervnculo"/>
            <w:sz w:val="22"/>
            <w:szCs w:val="22"/>
            <w:lang w:val="es-ES"/>
          </w:rPr>
          <w:t>https://ifit-transitions.org/wp-content/uploads/2021/03/La-fase-exploratoria-del-proceso-de-paz.pdf</w:t>
        </w:r>
      </w:hyperlink>
      <w:r w:rsidRPr="00E50709">
        <w:rPr>
          <w:sz w:val="22"/>
          <w:szCs w:val="22"/>
          <w:lang w:val="es-ES"/>
        </w:rPr>
        <w:t xml:space="preserve"> </w:t>
      </w:r>
    </w:p>
  </w:footnote>
  <w:footnote w:id="70">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w:t>
      </w:r>
      <w:r w:rsidRPr="00E50709">
        <w:rPr>
          <w:sz w:val="22"/>
          <w:szCs w:val="22"/>
        </w:rPr>
        <w:t>En la fase preparatoria de los diálogos de paz colombianos, a la discreción del emisario se sumaba la necesidad de que los contactos preliminares permanecieran secretos para la opinión pública, al menos hasta que las partes comprobaran que era viable una</w:t>
      </w:r>
      <w:r w:rsidRPr="00E50709">
        <w:rPr>
          <w:sz w:val="22"/>
          <w:szCs w:val="22"/>
        </w:rPr>
        <w:t xml:space="preserve"> negociación y estuvieran listas para llevarlos a un siguiente paso. Entre otras razones, esto es esencial porque con frecuencia estos esfuerzos no prosperan, algo que también debe figurar en las cuentas de quienes los inician, y porque revelarlos antes de</w:t>
      </w:r>
      <w:r w:rsidRPr="00E50709">
        <w:rPr>
          <w:sz w:val="22"/>
          <w:szCs w:val="22"/>
        </w:rPr>
        <w:t xml:space="preserve"> que haya un resultado tangible puede conllevar un alto costo político». Disponible en: </w:t>
      </w:r>
      <w:hyperlink r:id="rId13" w:history="1">
        <w:r w:rsidRPr="00E50709">
          <w:rPr>
            <w:rStyle w:val="Hipervnculo"/>
            <w:sz w:val="22"/>
            <w:szCs w:val="22"/>
            <w:lang w:val="es-ES"/>
          </w:rPr>
          <w:t>https://ifit-transitions.org/wp-content/uploads/2021</w:t>
        </w:r>
        <w:r w:rsidRPr="00E50709">
          <w:rPr>
            <w:rStyle w:val="Hipervnculo"/>
            <w:sz w:val="22"/>
            <w:szCs w:val="22"/>
            <w:lang w:val="es-ES"/>
          </w:rPr>
          <w:t>/03/La-fase-exploratoria-del-proceso-de-paz.pdf</w:t>
        </w:r>
      </w:hyperlink>
      <w:r w:rsidRPr="00E50709">
        <w:rPr>
          <w:sz w:val="22"/>
          <w:szCs w:val="22"/>
          <w:lang w:val="es-ES"/>
        </w:rPr>
        <w:t xml:space="preserve"> </w:t>
      </w:r>
    </w:p>
  </w:footnote>
  <w:footnote w:id="71">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Disponible en: </w:t>
      </w:r>
      <w:bookmarkStart w:id="24" w:name="_Hlk169102521"/>
      <w:bookmarkStart w:id="25" w:name="_Hlk169102522"/>
      <w:r w:rsidRPr="00E50709">
        <w:rPr>
          <w:sz w:val="22"/>
          <w:szCs w:val="22"/>
          <w:lang w:val="es-ES"/>
        </w:rPr>
        <w:fldChar w:fldCharType="begin"/>
      </w:r>
      <w:r w:rsidRPr="00E50709">
        <w:rPr>
          <w:sz w:val="22"/>
          <w:szCs w:val="22"/>
          <w:lang w:val="es-ES"/>
        </w:rPr>
        <w:instrText xml:space="preserve"> HYPERLINK "https://ifit-transitions.org/wp-content/uploads/2021/03/La-fase-exploratoria-del-proceso-de-paz.pdf" </w:instrText>
      </w:r>
      <w:r w:rsidRPr="00E50709">
        <w:rPr>
          <w:sz w:val="22"/>
          <w:szCs w:val="22"/>
          <w:lang w:val="es-ES"/>
        </w:rPr>
        <w:fldChar w:fldCharType="separate"/>
      </w:r>
      <w:r w:rsidRPr="00E50709">
        <w:rPr>
          <w:rStyle w:val="Hipervnculo"/>
          <w:sz w:val="22"/>
          <w:szCs w:val="22"/>
          <w:lang w:val="es-ES"/>
        </w:rPr>
        <w:t>https://ifit-transitions.org/wp-content/uploads/2021/03/La-fase-exploratoria-</w:t>
      </w:r>
      <w:r w:rsidRPr="00E50709">
        <w:rPr>
          <w:rStyle w:val="Hipervnculo"/>
          <w:sz w:val="22"/>
          <w:szCs w:val="22"/>
          <w:lang w:val="es-ES"/>
        </w:rPr>
        <w:t>del-proceso-de-paz.pdf</w:t>
      </w:r>
      <w:r w:rsidRPr="00E50709">
        <w:rPr>
          <w:sz w:val="22"/>
          <w:szCs w:val="22"/>
        </w:rPr>
        <w:fldChar w:fldCharType="end"/>
      </w:r>
      <w:r w:rsidRPr="00E50709">
        <w:rPr>
          <w:sz w:val="22"/>
          <w:szCs w:val="22"/>
          <w:lang w:val="es-ES"/>
        </w:rPr>
        <w:t xml:space="preserve"> </w:t>
      </w:r>
      <w:bookmarkEnd w:id="24"/>
      <w:bookmarkEnd w:id="25"/>
    </w:p>
  </w:footnote>
  <w:footnote w:id="72">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Disponible en: </w:t>
      </w:r>
      <w:hyperlink r:id="rId14" w:history="1">
        <w:r w:rsidRPr="00E50709">
          <w:rPr>
            <w:rStyle w:val="Hipervnculo"/>
            <w:sz w:val="22"/>
            <w:szCs w:val="22"/>
            <w:lang w:val="es-ES"/>
          </w:rPr>
          <w:t>https://ifit-transitions.org/wp-content/uploads/2021/03/La-fase-exploratoria-del-proceso-de-paz.</w:t>
        </w:r>
        <w:r w:rsidRPr="00E50709">
          <w:rPr>
            <w:rStyle w:val="Hipervnculo"/>
            <w:sz w:val="22"/>
            <w:szCs w:val="22"/>
            <w:lang w:val="es-ES"/>
          </w:rPr>
          <w:t>pdf</w:t>
        </w:r>
      </w:hyperlink>
      <w:r w:rsidRPr="00E50709">
        <w:rPr>
          <w:sz w:val="22"/>
          <w:szCs w:val="22"/>
          <w:lang w:val="es-ES"/>
        </w:rPr>
        <w:t xml:space="preserve"> </w:t>
      </w:r>
    </w:p>
  </w:footnote>
  <w:footnote w:id="73">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«Al principio, las conversaciones no solo se realizaron en un lugar alejado de Colombia, sino que también se llevaron a cabo con un nivel de confidencialidad sin precedentes. El proceso se abrió lentamente a los expertos, la prensa y sociedad civil,</w:t>
      </w:r>
      <w:r w:rsidRPr="00E50709">
        <w:rPr>
          <w:sz w:val="22"/>
          <w:szCs w:val="22"/>
        </w:rPr>
        <w:t xml:space="preserve"> pero la participación permaneció controlada y limitada. Aunque esto facilitó las propias negociaciones, tuvo un enorme costo político». Mechoulan, Delphine y Segura, Renata. “Made in La Habana: Cómo Colombia y las FARC decidieron terminar la guerra”. Disp</w:t>
      </w:r>
      <w:r w:rsidRPr="00E50709">
        <w:rPr>
          <w:sz w:val="22"/>
          <w:szCs w:val="22"/>
        </w:rPr>
        <w:t xml:space="preserve">onible en:  </w:t>
      </w:r>
      <w:hyperlink r:id="rId15" w:history="1">
        <w:r w:rsidRPr="00E50709">
          <w:rPr>
            <w:rStyle w:val="Hipervnculo"/>
            <w:sz w:val="22"/>
            <w:szCs w:val="22"/>
          </w:rPr>
          <w:t>https://www.ipinst.org/wp-content/uploads/2017/02/IPI-Rpt-Made-in-HavanaSpan.pdf</w:t>
        </w:r>
      </w:hyperlink>
      <w:r w:rsidRPr="00E50709">
        <w:rPr>
          <w:sz w:val="22"/>
          <w:szCs w:val="22"/>
        </w:rPr>
        <w:t xml:space="preserve"> </w:t>
      </w:r>
    </w:p>
  </w:footnote>
  <w:footnote w:id="74">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“Lecciones para los diálogos de paz en Oslo y La Habana”. Insti</w:t>
      </w:r>
      <w:r w:rsidRPr="00E50709">
        <w:rPr>
          <w:sz w:val="22"/>
          <w:szCs w:val="22"/>
        </w:rPr>
        <w:t xml:space="preserve">tute of Peace, Georgetown University, Universidad de Los Andes, Cinep y Programa para la Paz (2012). Disponible en: </w:t>
      </w:r>
      <w:hyperlink r:id="rId16" w:history="1">
        <w:r w:rsidRPr="00E50709">
          <w:rPr>
            <w:rStyle w:val="Hipervnculo"/>
            <w:sz w:val="22"/>
            <w:szCs w:val="22"/>
          </w:rPr>
          <w:t>https://www.usip.org/sites/default/files/Colombi</w:t>
        </w:r>
        <w:r w:rsidRPr="00E50709">
          <w:rPr>
            <w:rStyle w:val="Hipervnculo"/>
            <w:sz w:val="22"/>
            <w:szCs w:val="22"/>
          </w:rPr>
          <w:t>a/Lecciones-Oslo-Habana.pdf</w:t>
        </w:r>
      </w:hyperlink>
      <w:r w:rsidRPr="00E50709">
        <w:rPr>
          <w:sz w:val="22"/>
          <w:szCs w:val="22"/>
        </w:rPr>
        <w:t xml:space="preserve"> </w:t>
      </w:r>
    </w:p>
  </w:footnote>
  <w:footnote w:id="75">
    <w:p w:rsidR="00BA74B6" w:rsidRPr="00E50709" w:rsidRDefault="005A2345" w:rsidP="00AD4396">
      <w:pPr>
        <w:jc w:val="both"/>
      </w:pPr>
      <w:r w:rsidRPr="00E50709">
        <w:rPr>
          <w:rStyle w:val="Refdenotaalpie"/>
        </w:rPr>
        <w:footnoteRef/>
      </w:r>
      <w:r w:rsidRPr="00E50709">
        <w:t xml:space="preserve"> Alianza “más información, más derechos” (compuesta por Dejusticia, Corporación Ocasa, Fundación para la Libertad de Prensa y Transparencia por Colombia). Investigación adelantada por El Veinte, Revista Destápate. “Acceso a la</w:t>
      </w:r>
      <w:r w:rsidRPr="00E50709">
        <w:t xml:space="preserve"> información de interés público sobre los esfuerzos de paz en Colombia” (diciembre, 2023). Disponible en: </w:t>
      </w:r>
      <w:hyperlink r:id="rId17" w:history="1">
        <w:r w:rsidRPr="00E50709">
          <w:rPr>
            <w:rStyle w:val="Hipervnculo"/>
          </w:rPr>
          <w:t>https://transparenciacolombia.org.co/wp-content/</w:t>
        </w:r>
        <w:r w:rsidRPr="00E50709">
          <w:rPr>
            <w:rStyle w:val="Hipervnculo"/>
          </w:rPr>
          <w:t>uploads/2023/12/Luz-para-la-paz-3.pdf</w:t>
        </w:r>
      </w:hyperlink>
      <w:r w:rsidRPr="00E50709">
        <w:t xml:space="preserve"> </w:t>
      </w:r>
    </w:p>
  </w:footnote>
  <w:footnote w:id="76">
    <w:p w:rsidR="00BA74B6" w:rsidRPr="00E50709" w:rsidRDefault="005A2345" w:rsidP="00AD4396">
      <w:pPr>
        <w:jc w:val="both"/>
      </w:pPr>
      <w:r w:rsidRPr="00E50709">
        <w:rPr>
          <w:rStyle w:val="Refdenotaalpie"/>
        </w:rPr>
        <w:footnoteRef/>
      </w:r>
      <w:r w:rsidRPr="00E50709">
        <w:t xml:space="preserve"> «Si bien formuladores de política pública de justicia transicional argumentan en favor de políticas de confidencialidad como presupuesto que garantiza el éxito del proceso, como se decretó oficialmente en el caso del Acuerdo de Paz con las FARC, en el mar</w:t>
      </w:r>
      <w:r w:rsidRPr="00E50709">
        <w:t>co de las negociaciones de la Paz Total se observa una inercia institucional injustificada a la opacidad en medio de la publicidad. No se identifica una política estructurada en torno a la transparencia y acceso a la información para la protección de las n</w:t>
      </w:r>
      <w:r w:rsidRPr="00E50709">
        <w:t>egociaciones e implementación de los eventuales acuerdos aunque se conozcan ciertos aspectos y detalles de los avances.» Alianza “más información, más derechos” (compuesta por Dejusticia, Corporación Ocasa, Fundación para la Libertad de Prensa y Transparen</w:t>
      </w:r>
      <w:r w:rsidRPr="00E50709">
        <w:t xml:space="preserve">cia por Colombia). Investigación adelantada por El Veinte, Revista Destápate. “Acceso a la información de interés público sobre los esfuerzos de paz en Colombia” (diciembre, 2023). Disponible en: </w:t>
      </w:r>
      <w:hyperlink r:id="rId18" w:history="1">
        <w:r w:rsidRPr="00E50709">
          <w:rPr>
            <w:rStyle w:val="Hipervnculo"/>
          </w:rPr>
          <w:t>https://transparenciacolombia.org.co/wp-content/uploads/2023/12/Luz-para-la-paz-3.pdf</w:t>
        </w:r>
      </w:hyperlink>
      <w:r w:rsidRPr="00E50709">
        <w:t xml:space="preserve"> </w:t>
      </w:r>
    </w:p>
  </w:footnote>
  <w:footnote w:id="77">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«CIDH, </w:t>
      </w:r>
      <w:r w:rsidRPr="00E50709">
        <w:rPr>
          <w:iCs/>
          <w:sz w:val="22"/>
          <w:szCs w:val="22"/>
        </w:rPr>
        <w:t>El derecho de acceso a la información en el marco jurídico interamericano</w:t>
      </w:r>
      <w:r w:rsidRPr="00E50709">
        <w:rPr>
          <w:sz w:val="22"/>
          <w:szCs w:val="22"/>
        </w:rPr>
        <w:t>, Segunda Edición, 2012, pp. 32 y ss».</w:t>
      </w:r>
    </w:p>
  </w:footnote>
  <w:footnote w:id="78">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Bibl</w:t>
      </w:r>
      <w:r w:rsidRPr="00E50709">
        <w:rPr>
          <w:sz w:val="22"/>
          <w:szCs w:val="22"/>
        </w:rPr>
        <w:t xml:space="preserve">ioteca abierta del proceso de paz colombiano. Disponible en: </w:t>
      </w:r>
      <w:hyperlink r:id="rId19" w:history="1">
        <w:r w:rsidRPr="00E50709">
          <w:rPr>
            <w:rStyle w:val="Hipervnculo"/>
            <w:sz w:val="22"/>
            <w:szCs w:val="22"/>
          </w:rPr>
          <w:t>https://bapp.com.co/</w:t>
        </w:r>
      </w:hyperlink>
      <w:r w:rsidRPr="00E50709">
        <w:rPr>
          <w:sz w:val="22"/>
          <w:szCs w:val="22"/>
        </w:rPr>
        <w:t xml:space="preserve"> </w:t>
      </w:r>
    </w:p>
  </w:footnote>
  <w:footnote w:id="79">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bookmarkStart w:id="27" w:name="_Hlk169532454"/>
      <w:r w:rsidRPr="00E50709">
        <w:rPr>
          <w:sz w:val="22"/>
          <w:szCs w:val="22"/>
          <w:lang w:val="es-ES"/>
        </w:rPr>
        <w:t>Congreso de la República. Gaceta No. 1041 del 8 de septiembre de 2022.</w:t>
      </w:r>
    </w:p>
    <w:bookmarkEnd w:id="27"/>
  </w:footnote>
  <w:footnote w:id="80">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La Corte Constitucional ha estudiado varias demandas de inconstitucionalidad contra esta ley en las sentencias C-262, C-542, C-363 y C-525 de 2023. </w:t>
      </w:r>
    </w:p>
  </w:footnote>
  <w:footnote w:id="81">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Congreso de la República. Gaceta No. 1041 del 8 de septiembre de 2022.</w:t>
      </w:r>
    </w:p>
  </w:footnote>
  <w:footnote w:id="82">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Congreso de la República. Gaceta</w:t>
      </w:r>
      <w:r w:rsidRPr="00E50709">
        <w:rPr>
          <w:sz w:val="22"/>
          <w:szCs w:val="22"/>
          <w:lang w:val="es-ES"/>
        </w:rPr>
        <w:t xml:space="preserve"> No. 1261 de 18 de octubre de 2022. </w:t>
      </w:r>
    </w:p>
  </w:footnote>
  <w:footnote w:id="83">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Congreso de la República. Gaceta No. 1261 de 18 de octubre de 2022.</w:t>
      </w:r>
    </w:p>
  </w:footnote>
  <w:footnote w:id="84">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Congreso de la República. Gaceta No. 1264 de 18 de octubre de 2022, texto definitivo aprobado en la plenaria del Senado de la República, Gaceta No.</w:t>
      </w:r>
      <w:r w:rsidRPr="00E50709">
        <w:rPr>
          <w:sz w:val="22"/>
          <w:szCs w:val="22"/>
        </w:rPr>
        <w:t xml:space="preserve"> 1361 de 1 de noviembre de 2022, texto definitivo aprobado en la plenaria de la Cámara de Representantes, Gaceta No. 1714 del 21 de diciembre de 2022; Informes de Conciliación Senado y Cámara, Gacetas No. 1360 y 1362 de 2022. </w:t>
      </w:r>
    </w:p>
  </w:footnote>
  <w:footnote w:id="85">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sente</w:t>
      </w:r>
      <w:r w:rsidRPr="00E50709">
        <w:rPr>
          <w:sz w:val="22"/>
          <w:szCs w:val="22"/>
          <w:lang w:val="es-ES"/>
        </w:rPr>
        <w:t xml:space="preserve">ncia C-559 de 2019. </w:t>
      </w:r>
    </w:p>
  </w:footnote>
  <w:footnote w:id="86">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sentencia C-559 de 2019.</w:t>
      </w:r>
    </w:p>
  </w:footnote>
  <w:footnote w:id="87">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 xml:space="preserve">Corte Constitucional, sentencias C-540 de 2012, C-274 de 2013, C-559 de 2019, </w:t>
      </w:r>
      <w:r w:rsidRPr="00E50709">
        <w:rPr>
          <w:sz w:val="22"/>
          <w:szCs w:val="22"/>
          <w:lang w:val="es-ES" w:eastAsia="en-US"/>
        </w:rPr>
        <w:t xml:space="preserve">SU-274 de 2019 y </w:t>
      </w:r>
      <w:r w:rsidRPr="00E50709">
        <w:rPr>
          <w:rFonts w:eastAsia="Calibri"/>
          <w:sz w:val="22"/>
          <w:szCs w:val="22"/>
          <w:lang w:val="es-ES" w:eastAsia="en-US"/>
        </w:rPr>
        <w:t>C-135 de 2021.</w:t>
      </w:r>
    </w:p>
  </w:footnote>
  <w:footnote w:id="88">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Ley 2272 de 2022. Artículo 6. Parágrafo1º. «El Gabinete de Paz será convocado por el Presidente de la República o por quien él designe</w:t>
      </w:r>
      <w:r w:rsidRPr="00E50709">
        <w:rPr>
          <w:b/>
          <w:bCs/>
          <w:sz w:val="22"/>
          <w:szCs w:val="22"/>
        </w:rPr>
        <w:t>, y los asuntos referidos a conversaciones, acuerdos y negociaciones con actores armados que se traten en sus sesiones, a</w:t>
      </w:r>
      <w:r w:rsidRPr="00E50709">
        <w:rPr>
          <w:b/>
          <w:bCs/>
          <w:sz w:val="22"/>
          <w:szCs w:val="22"/>
        </w:rPr>
        <w:t>sí como la información y documentos que se expidan en esta materia, podrán tener el carácter de reservados, excepto la información relacionada con la ejecución presupuestal de los Ministerios.</w:t>
      </w:r>
      <w:r w:rsidRPr="00E50709">
        <w:rPr>
          <w:sz w:val="22"/>
          <w:szCs w:val="22"/>
        </w:rPr>
        <w:t xml:space="preserve"> A sus sesiones podrán ser invitadas las autoridades que defina </w:t>
      </w:r>
      <w:r w:rsidRPr="00E50709">
        <w:rPr>
          <w:sz w:val="22"/>
          <w:szCs w:val="22"/>
        </w:rPr>
        <w:t>el Presidente de la República. Deberá rendir un informe a la Nación acerca del desarrollo de los diálogos o acercamientos, sin vulnerar los compromisos de reserva pactados en los procesos».</w:t>
      </w:r>
    </w:p>
  </w:footnote>
  <w:footnote w:id="89">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Corte Constitucional. Sentencia C-135 de 2021.</w:t>
      </w:r>
    </w:p>
  </w:footnote>
  <w:footnote w:id="90">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w:t>
      </w:r>
      <w:r w:rsidRPr="00E50709">
        <w:rPr>
          <w:sz w:val="22"/>
          <w:szCs w:val="22"/>
          <w:lang w:val="es-ES"/>
        </w:rPr>
        <w:t xml:space="preserve">ional. Sentencia </w:t>
      </w:r>
      <w:r w:rsidRPr="00E50709">
        <w:rPr>
          <w:sz w:val="22"/>
          <w:szCs w:val="22"/>
        </w:rPr>
        <w:t xml:space="preserve">C-345 de 2019. </w:t>
      </w:r>
    </w:p>
  </w:footnote>
  <w:footnote w:id="91">
    <w:p w:rsidR="00BA74B6" w:rsidRPr="00E50709" w:rsidRDefault="005A2345" w:rsidP="00AD4396">
      <w:pPr>
        <w:pStyle w:val="Textonotapie"/>
        <w:jc w:val="both"/>
        <w:rPr>
          <w:sz w:val="22"/>
          <w:szCs w:val="22"/>
          <w:lang w:val="es-ES"/>
        </w:rPr>
      </w:pPr>
      <w:r w:rsidRPr="00E50709">
        <w:rPr>
          <w:rStyle w:val="Refdenotaalpie"/>
          <w:sz w:val="22"/>
          <w:szCs w:val="22"/>
        </w:rPr>
        <w:footnoteRef/>
      </w:r>
      <w:r w:rsidRPr="00E50709">
        <w:rPr>
          <w:sz w:val="22"/>
          <w:szCs w:val="22"/>
        </w:rPr>
        <w:t xml:space="preserve"> </w:t>
      </w:r>
      <w:r w:rsidRPr="00E50709">
        <w:rPr>
          <w:sz w:val="22"/>
          <w:szCs w:val="22"/>
          <w:lang w:val="es-ES"/>
        </w:rPr>
        <w:t>Corte Constitucional de Colombia. Sentencia C-491 de 2007. La Corte resaltó que «</w:t>
      </w:r>
      <w:r w:rsidRPr="00E50709">
        <w:rPr>
          <w:sz w:val="22"/>
          <w:szCs w:val="22"/>
        </w:rPr>
        <w:t>En suma, en una sociedad democrática, la regla general consiste en permitir el acceso ciudadano a todos los documentos públicos. De allí que</w:t>
      </w:r>
      <w:r w:rsidRPr="00E50709">
        <w:rPr>
          <w:sz w:val="22"/>
          <w:szCs w:val="22"/>
        </w:rPr>
        <w:t xml:space="preserve"> constituya un deber constitucional de las autoridades públicas entregarle, a quien lo solicite, informaciones claras, completas, oportunas, ciertas y actualizadas sobre cualquier actividad del Estado».</w:t>
      </w:r>
    </w:p>
  </w:footnote>
  <w:footnote w:id="92">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Corte Constitucional. Sentencia C-491 de 2007. </w:t>
      </w:r>
    </w:p>
  </w:footnote>
  <w:footnote w:id="93">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C</w:t>
      </w:r>
      <w:r w:rsidRPr="00E50709">
        <w:rPr>
          <w:sz w:val="22"/>
          <w:szCs w:val="22"/>
        </w:rPr>
        <w:t xml:space="preserve">orte Constitucional. Sentencia C-559 de 2019. </w:t>
      </w:r>
    </w:p>
  </w:footnote>
  <w:footnote w:id="94">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Clínica Jurídica de la Escuela de Derecho y Ciencias Políticas de la Universidad Pontificia Bolivariana; Transparencia por Colombia; Ministerio de Justicia y del Derecho; Presidencia de la República; Ministe</w:t>
      </w:r>
      <w:r w:rsidRPr="00E50709">
        <w:rPr>
          <w:sz w:val="22"/>
          <w:szCs w:val="22"/>
        </w:rPr>
        <w:t>rio del Interior; Comisión Colombiana de Juristas</w:t>
      </w:r>
    </w:p>
  </w:footnote>
  <w:footnote w:id="95">
    <w:p w:rsidR="00BA74B6" w:rsidRPr="00E50709"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Corte Constitucional. Sentencias C-491 de 2007, C-274 de 2013 y C-144 de 2018. </w:t>
      </w:r>
    </w:p>
  </w:footnote>
  <w:footnote w:id="96">
    <w:p w:rsidR="00BA74B6" w:rsidRPr="00AD4396" w:rsidRDefault="005A2345" w:rsidP="00AD4396">
      <w:pPr>
        <w:pStyle w:val="Textonotapie"/>
        <w:jc w:val="both"/>
        <w:rPr>
          <w:sz w:val="22"/>
          <w:szCs w:val="22"/>
        </w:rPr>
      </w:pPr>
      <w:r w:rsidRPr="00E50709">
        <w:rPr>
          <w:rStyle w:val="Refdenotaalpie"/>
          <w:sz w:val="22"/>
          <w:szCs w:val="22"/>
        </w:rPr>
        <w:footnoteRef/>
      </w:r>
      <w:r w:rsidRPr="00E50709">
        <w:rPr>
          <w:sz w:val="22"/>
          <w:szCs w:val="22"/>
        </w:rPr>
        <w:t xml:space="preserve"> En la Sentencia C-017 de 2018, la Corte Constitucional optó por un condicionamiento similar al que se propone en esta opor</w:t>
      </w:r>
      <w:r w:rsidRPr="00E50709">
        <w:rPr>
          <w:sz w:val="22"/>
          <w:szCs w:val="22"/>
        </w:rPr>
        <w:t>tunidad.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53B43"/>
    <w:multiLevelType w:val="multilevel"/>
    <w:tmpl w:val="85024712"/>
    <w:lvl w:ilvl="0">
      <w:start w:val="1"/>
      <w:numFmt w:val="decimal"/>
      <w:lvlText w:val="%1."/>
      <w:lvlJc w:val="left"/>
      <w:pPr>
        <w:ind w:left="786" w:hanging="360"/>
      </w:pPr>
      <w:rPr>
        <w:rFonts w:ascii="Times New Roman" w:hAnsi="Times New Roman" w:cs="Times New Roman" w:hint="default"/>
        <w:b w:val="0"/>
        <w:bCs/>
        <w:i w:val="0"/>
        <w:color w:val="auto"/>
        <w:sz w:val="28"/>
        <w:szCs w:val="28"/>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57B7494"/>
    <w:multiLevelType w:val="hybridMultilevel"/>
    <w:tmpl w:val="26C48E48"/>
    <w:lvl w:ilvl="0" w:tplc="240A001B">
      <w:start w:val="1"/>
      <w:numFmt w:val="low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F8104A4"/>
    <w:multiLevelType w:val="multilevel"/>
    <w:tmpl w:val="9D926418"/>
    <w:lvl w:ilvl="0">
      <w:start w:val="1"/>
      <w:numFmt w:val="decimal"/>
      <w:lvlText w:val="%1."/>
      <w:lvlJc w:val="left"/>
      <w:pPr>
        <w:tabs>
          <w:tab w:val="num" w:pos="750"/>
        </w:tabs>
        <w:ind w:left="750" w:hanging="390"/>
      </w:pPr>
      <w:rPr>
        <w:rFonts w:hint="default"/>
        <w:b w:val="0"/>
      </w:rPr>
    </w:lvl>
    <w:lvl w:ilvl="1">
      <w:start w:val="1"/>
      <w:numFmt w:val="decimal"/>
      <w:isLgl/>
      <w:lvlText w:val="%1.%2."/>
      <w:lvlJc w:val="left"/>
      <w:pPr>
        <w:tabs>
          <w:tab w:val="num" w:pos="720"/>
        </w:tabs>
        <w:ind w:left="720" w:hanging="720"/>
      </w:pPr>
      <w:rPr>
        <w:rFonts w:hint="default"/>
        <w:b w:val="0"/>
        <w:i w:val="0"/>
      </w:rPr>
    </w:lvl>
    <w:lvl w:ilvl="2">
      <w:start w:val="1"/>
      <w:numFmt w:val="decimal"/>
      <w:isLgl/>
      <w:lvlText w:val="%1.%2.%3."/>
      <w:lvlJc w:val="left"/>
      <w:pPr>
        <w:tabs>
          <w:tab w:val="num" w:pos="720"/>
        </w:tabs>
        <w:ind w:left="720" w:hanging="720"/>
      </w:pPr>
      <w:rPr>
        <w:rFonts w:hint="default"/>
        <w:b w:val="0"/>
        <w:bCs/>
      </w:rPr>
    </w:lvl>
    <w:lvl w:ilvl="3">
      <w:start w:val="1"/>
      <w:numFmt w:val="decimal"/>
      <w:isLgl/>
      <w:lvlText w:val="%1.%2.%3.%4."/>
      <w:lvlJc w:val="left"/>
      <w:pPr>
        <w:tabs>
          <w:tab w:val="num" w:pos="1440"/>
        </w:tabs>
        <w:ind w:left="1440" w:hanging="1080"/>
      </w:pPr>
      <w:rPr>
        <w:rFonts w:hint="default"/>
        <w:b/>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66644870"/>
    <w:multiLevelType w:val="multilevel"/>
    <w:tmpl w:val="337A2C24"/>
    <w:lvl w:ilvl="0">
      <w:start w:val="1"/>
      <w:numFmt w:val="decimal"/>
      <w:lvlText w:val="%1."/>
      <w:lvlJc w:val="left"/>
      <w:pPr>
        <w:ind w:left="360" w:hanging="360"/>
      </w:pPr>
      <w:rPr>
        <w:rFonts w:ascii="Times New Roman" w:hAnsi="Times New Roman" w:cs="Times New Roman" w:hint="default"/>
        <w:i w:val="0"/>
        <w:color w:val="auto"/>
        <w:sz w:val="28"/>
        <w:szCs w:val="28"/>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721C7C57"/>
    <w:multiLevelType w:val="hybridMultilevel"/>
    <w:tmpl w:val="82DA8AEE"/>
    <w:lvl w:ilvl="0" w:tplc="BC3004FC">
      <w:start w:val="1"/>
      <w:numFmt w:val="upperRoman"/>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79C84A2F"/>
    <w:multiLevelType w:val="hybridMultilevel"/>
    <w:tmpl w:val="E562862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9FD"/>
    <w:rsid w:val="005A2345"/>
    <w:rsid w:val="0075372D"/>
    <w:rsid w:val="009B09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2C80B7A4-8748-49FD-8CCD-689DEF080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rsid w:val="0047347C"/>
    <w:pPr>
      <w:keepNext/>
      <w:spacing w:before="240" w:after="60" w:line="276" w:lineRule="auto"/>
      <w:outlineLvl w:val="0"/>
    </w:pPr>
    <w:rPr>
      <w:rFonts w:ascii="Arial" w:eastAsia="Arial" w:hAnsi="Arial" w:cs="Arial"/>
      <w:b/>
      <w:sz w:val="32"/>
      <w:szCs w:val="32"/>
      <w:lang w:eastAsia="es-ES"/>
    </w:rPr>
  </w:style>
  <w:style w:type="paragraph" w:styleId="Ttulo2">
    <w:name w:val="heading 2"/>
    <w:basedOn w:val="Normal"/>
    <w:next w:val="Normal"/>
    <w:link w:val="Ttulo2Car"/>
    <w:rsid w:val="0047347C"/>
    <w:pPr>
      <w:keepNext/>
      <w:ind w:left="4488"/>
      <w:outlineLvl w:val="1"/>
    </w:pPr>
    <w:rPr>
      <w:b/>
      <w:sz w:val="28"/>
      <w:szCs w:val="28"/>
      <w:lang w:eastAsia="es-ES"/>
    </w:rPr>
  </w:style>
  <w:style w:type="paragraph" w:styleId="Ttulo4">
    <w:name w:val="heading 4"/>
    <w:basedOn w:val="Normal"/>
    <w:next w:val="Normal"/>
    <w:link w:val="Ttulo4Car"/>
    <w:uiPriority w:val="9"/>
    <w:semiHidden/>
    <w:unhideWhenUsed/>
    <w:qFormat/>
    <w:rsid w:val="00CF7FBA"/>
    <w:pPr>
      <w:keepNext/>
      <w:keepLines/>
      <w:spacing w:before="40" w:line="276" w:lineRule="auto"/>
      <w:outlineLvl w:val="3"/>
    </w:pPr>
    <w:rPr>
      <w:rFonts w:asciiTheme="majorHAnsi" w:eastAsiaTheme="majorEastAsia" w:hAnsiTheme="majorHAnsi" w:cstheme="majorBidi"/>
      <w:i/>
      <w:iCs/>
      <w:color w:val="2E74B5" w:themeColor="accent1" w:themeShade="BF"/>
      <w:sz w:val="28"/>
      <w:szCs w:val="28"/>
      <w:lang w:eastAsia="es-ES"/>
    </w:rPr>
  </w:style>
  <w:style w:type="paragraph" w:styleId="Ttulo8">
    <w:name w:val="heading 8"/>
    <w:basedOn w:val="Normal"/>
    <w:next w:val="Normal"/>
    <w:link w:val="Ttulo8Car"/>
    <w:uiPriority w:val="9"/>
    <w:unhideWhenUsed/>
    <w:qFormat/>
    <w:rsid w:val="00F65B1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7347C"/>
    <w:rPr>
      <w:rFonts w:ascii="Arial" w:eastAsia="Arial" w:hAnsi="Arial" w:cs="Arial"/>
      <w:b/>
      <w:sz w:val="32"/>
      <w:szCs w:val="32"/>
      <w:lang w:val="es-CO" w:eastAsia="es-ES"/>
    </w:rPr>
  </w:style>
  <w:style w:type="character" w:customStyle="1" w:styleId="Ttulo2Car">
    <w:name w:val="Título 2 Car"/>
    <w:basedOn w:val="Fuentedeprrafopredeter"/>
    <w:link w:val="Ttulo2"/>
    <w:rsid w:val="0047347C"/>
    <w:rPr>
      <w:rFonts w:ascii="Times New Roman" w:eastAsia="Times New Roman" w:hAnsi="Times New Roman" w:cs="Times New Roman"/>
      <w:b/>
      <w:sz w:val="28"/>
      <w:szCs w:val="28"/>
      <w:lang w:val="es-CO" w:eastAsia="es-ES"/>
    </w:rPr>
  </w:style>
  <w:style w:type="paragraph" w:styleId="Prrafodelista">
    <w:name w:val="List Paragraph"/>
    <w:aliases w:val="Colorful List - Accent 11,List Paragraph2,List Paragraph1,Ha,lp1,Footnote"/>
    <w:basedOn w:val="Normal"/>
    <w:link w:val="PrrafodelistaCar"/>
    <w:uiPriority w:val="34"/>
    <w:qFormat/>
    <w:rsid w:val="0047347C"/>
    <w:pPr>
      <w:spacing w:after="200" w:line="276" w:lineRule="auto"/>
      <w:ind w:left="720"/>
      <w:contextualSpacing/>
    </w:pPr>
    <w:rPr>
      <w:sz w:val="28"/>
      <w:szCs w:val="28"/>
      <w:lang w:eastAsia="es-ES"/>
    </w:rPr>
  </w:style>
  <w:style w:type="paragraph" w:styleId="Textonotapie">
    <w:name w:val="footnote text"/>
    <w:aliases w:val="Footnote Text Char Char Char Char Char,Footnote Text Char Char Char Char,Footnote reference,FA Fu,texto de nota al pie,Footnote Text Char Char Char Char Char Char Char Char,Footnote Text Char Char Char Char Char Char1,f,Footnote Text Char"/>
    <w:basedOn w:val="Normal"/>
    <w:link w:val="TextonotapieCar"/>
    <w:uiPriority w:val="99"/>
    <w:unhideWhenUsed/>
    <w:qFormat/>
    <w:rsid w:val="0047347C"/>
    <w:rPr>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har Char Char Char Char Car,f Car,Footnote Text Char Car"/>
    <w:basedOn w:val="Fuentedeprrafopredeter"/>
    <w:link w:val="Textonotapie"/>
    <w:uiPriority w:val="99"/>
    <w:qFormat/>
    <w:rsid w:val="0047347C"/>
    <w:rPr>
      <w:rFonts w:ascii="Times New Roman" w:eastAsia="Times New Roman" w:hAnsi="Times New Roman" w:cs="Times New Roman"/>
      <w:sz w:val="20"/>
      <w:szCs w:val="20"/>
      <w:lang w:val="es-CO" w:eastAsia="es-ES"/>
    </w:rPr>
  </w:style>
  <w:style w:type="character" w:styleId="Refdenotaalpie">
    <w:name w:val="footnote reference"/>
    <w:aliases w:val="Texto de nota al pie,referencia nota al pie,Appel note de bas de page,Footnotes refss,Footnote number,BVI fnr,f1,Ref,de nota al pie,Ref1,Ref. de nota al pie 2,Fago Fußnotenzeichen,Nota de pie,Texto nota al pie,4_G,16 Point,R,FC,F,4"/>
    <w:basedOn w:val="Fuentedeprrafopredeter"/>
    <w:link w:val="4GChar"/>
    <w:uiPriority w:val="99"/>
    <w:unhideWhenUsed/>
    <w:qFormat/>
    <w:rsid w:val="0047347C"/>
    <w:rPr>
      <w:vertAlign w:val="superscript"/>
    </w:rPr>
  </w:style>
  <w:style w:type="paragraph" w:styleId="Sangradetextonormal">
    <w:name w:val="Body Text Indent"/>
    <w:basedOn w:val="Normal"/>
    <w:link w:val="SangradetextonormalCar"/>
    <w:uiPriority w:val="99"/>
    <w:semiHidden/>
    <w:unhideWhenUsed/>
    <w:rsid w:val="00E91042"/>
    <w:pPr>
      <w:spacing w:after="120" w:line="276" w:lineRule="auto"/>
      <w:ind w:left="283"/>
    </w:pPr>
    <w:rPr>
      <w:sz w:val="28"/>
      <w:szCs w:val="28"/>
      <w:lang w:eastAsia="es-ES"/>
    </w:rPr>
  </w:style>
  <w:style w:type="character" w:customStyle="1" w:styleId="SangradetextonormalCar">
    <w:name w:val="Sangría de texto normal Car"/>
    <w:basedOn w:val="Fuentedeprrafopredeter"/>
    <w:link w:val="Sangradetextonormal"/>
    <w:uiPriority w:val="99"/>
    <w:semiHidden/>
    <w:rsid w:val="00E91042"/>
    <w:rPr>
      <w:rFonts w:ascii="Times New Roman" w:eastAsia="Times New Roman" w:hAnsi="Times New Roman" w:cs="Times New Roman"/>
      <w:sz w:val="28"/>
      <w:szCs w:val="28"/>
      <w:lang w:val="es-CO" w:eastAsia="es-ES"/>
    </w:rPr>
  </w:style>
  <w:style w:type="paragraph" w:styleId="Textoindependienteprimerasangra2">
    <w:name w:val="Body Text First Indent 2"/>
    <w:basedOn w:val="Sangradetextonormal"/>
    <w:link w:val="Textoindependienteprimerasangra2Car"/>
    <w:uiPriority w:val="99"/>
    <w:rsid w:val="00E91042"/>
    <w:pPr>
      <w:ind w:firstLine="210"/>
    </w:pPr>
    <w:rPr>
      <w:sz w:val="22"/>
      <w:szCs w:val="20"/>
      <w:lang w:val="es-ES" w:eastAsia="en-US"/>
    </w:rPr>
  </w:style>
  <w:style w:type="character" w:customStyle="1" w:styleId="Textoindependienteprimerasangra2Car">
    <w:name w:val="Texto independiente primera sangría 2 Car"/>
    <w:basedOn w:val="SangradetextonormalCar"/>
    <w:link w:val="Textoindependienteprimerasangra2"/>
    <w:uiPriority w:val="99"/>
    <w:rsid w:val="00E91042"/>
    <w:rPr>
      <w:rFonts w:ascii="Times New Roman" w:eastAsia="Times New Roman" w:hAnsi="Times New Roman" w:cs="Times New Roman"/>
      <w:sz w:val="28"/>
      <w:szCs w:val="20"/>
      <w:lang w:val="es-CO" w:eastAsia="es-ES"/>
    </w:rPr>
  </w:style>
  <w:style w:type="paragraph" w:styleId="Textoindependiente">
    <w:name w:val="Body Text"/>
    <w:basedOn w:val="Normal"/>
    <w:link w:val="TextoindependienteCar"/>
    <w:uiPriority w:val="99"/>
    <w:rsid w:val="00E91042"/>
    <w:pPr>
      <w:spacing w:after="120" w:line="276" w:lineRule="auto"/>
    </w:pPr>
    <w:rPr>
      <w:sz w:val="28"/>
      <w:lang w:eastAsia="en-US"/>
    </w:rPr>
  </w:style>
  <w:style w:type="character" w:customStyle="1" w:styleId="TextoindependienteCar">
    <w:name w:val="Texto independiente Car"/>
    <w:basedOn w:val="Fuentedeprrafopredeter"/>
    <w:link w:val="Textoindependiente"/>
    <w:uiPriority w:val="99"/>
    <w:rsid w:val="00E91042"/>
    <w:rPr>
      <w:rFonts w:ascii="Times New Roman" w:eastAsia="Times New Roman" w:hAnsi="Times New Roman" w:cs="Times New Roman"/>
      <w:sz w:val="28"/>
      <w:lang w:val="es-CO"/>
    </w:rPr>
  </w:style>
  <w:style w:type="paragraph" w:styleId="Lista">
    <w:name w:val="List"/>
    <w:basedOn w:val="Normal"/>
    <w:unhideWhenUsed/>
    <w:rsid w:val="00E91042"/>
    <w:pPr>
      <w:spacing w:after="200" w:line="276" w:lineRule="auto"/>
      <w:ind w:left="283" w:hanging="283"/>
      <w:contextualSpacing/>
    </w:pPr>
    <w:rPr>
      <w:rFonts w:eastAsia="Calibri"/>
      <w:sz w:val="28"/>
      <w:lang w:eastAsia="en-US"/>
    </w:rPr>
  </w:style>
  <w:style w:type="paragraph" w:styleId="NormalWeb">
    <w:name w:val="Normal (Web)"/>
    <w:basedOn w:val="Normal"/>
    <w:uiPriority w:val="99"/>
    <w:rsid w:val="00E91042"/>
    <w:pPr>
      <w:spacing w:before="100" w:beforeAutospacing="1" w:after="100" w:afterAutospacing="1"/>
    </w:pPr>
    <w:rPr>
      <w:lang w:val="es-ES"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BE64CA"/>
    <w:pPr>
      <w:pBdr>
        <w:top w:val="nil"/>
        <w:left w:val="nil"/>
        <w:bottom w:val="nil"/>
        <w:right w:val="nil"/>
        <w:between w:val="nil"/>
      </w:pBdr>
      <w:contextualSpacing/>
      <w:jc w:val="both"/>
    </w:pPr>
    <w:rPr>
      <w:rFonts w:eastAsiaTheme="minorHAnsi"/>
      <w:vertAlign w:val="superscript"/>
      <w:lang w:val="es-ES" w:eastAsia="en-US"/>
    </w:rPr>
  </w:style>
  <w:style w:type="paragraph" w:styleId="Encabezado">
    <w:name w:val="header"/>
    <w:basedOn w:val="Normal"/>
    <w:link w:val="EncabezadoCar"/>
    <w:uiPriority w:val="99"/>
    <w:unhideWhenUsed/>
    <w:rsid w:val="00E37F27"/>
    <w:pPr>
      <w:tabs>
        <w:tab w:val="center" w:pos="4252"/>
        <w:tab w:val="right" w:pos="8504"/>
      </w:tabs>
    </w:pPr>
    <w:rPr>
      <w:sz w:val="28"/>
      <w:szCs w:val="28"/>
      <w:lang w:eastAsia="es-ES"/>
    </w:rPr>
  </w:style>
  <w:style w:type="character" w:customStyle="1" w:styleId="EncabezadoCar">
    <w:name w:val="Encabezado Car"/>
    <w:basedOn w:val="Fuentedeprrafopredeter"/>
    <w:link w:val="Encabezado"/>
    <w:uiPriority w:val="99"/>
    <w:rsid w:val="00E37F27"/>
    <w:rPr>
      <w:rFonts w:ascii="Times New Roman" w:eastAsia="Times New Roman" w:hAnsi="Times New Roman" w:cs="Times New Roman"/>
      <w:sz w:val="28"/>
      <w:szCs w:val="28"/>
      <w:lang w:val="es-CO" w:eastAsia="es-ES"/>
    </w:rPr>
  </w:style>
  <w:style w:type="paragraph" w:styleId="Piedepgina">
    <w:name w:val="footer"/>
    <w:basedOn w:val="Normal"/>
    <w:link w:val="PiedepginaCar"/>
    <w:uiPriority w:val="99"/>
    <w:unhideWhenUsed/>
    <w:rsid w:val="00E37F27"/>
    <w:pPr>
      <w:tabs>
        <w:tab w:val="center" w:pos="4252"/>
        <w:tab w:val="right" w:pos="8504"/>
      </w:tabs>
    </w:pPr>
    <w:rPr>
      <w:sz w:val="28"/>
      <w:szCs w:val="28"/>
      <w:lang w:eastAsia="es-ES"/>
    </w:rPr>
  </w:style>
  <w:style w:type="character" w:customStyle="1" w:styleId="PiedepginaCar">
    <w:name w:val="Pie de página Car"/>
    <w:basedOn w:val="Fuentedeprrafopredeter"/>
    <w:link w:val="Piedepgina"/>
    <w:uiPriority w:val="99"/>
    <w:rsid w:val="00E37F27"/>
    <w:rPr>
      <w:rFonts w:ascii="Times New Roman" w:eastAsia="Times New Roman" w:hAnsi="Times New Roman" w:cs="Times New Roman"/>
      <w:sz w:val="28"/>
      <w:szCs w:val="28"/>
      <w:lang w:val="es-CO" w:eastAsia="es-ES"/>
    </w:rPr>
  </w:style>
  <w:style w:type="character" w:styleId="Refdecomentario">
    <w:name w:val="annotation reference"/>
    <w:basedOn w:val="Fuentedeprrafopredeter"/>
    <w:uiPriority w:val="99"/>
    <w:semiHidden/>
    <w:unhideWhenUsed/>
    <w:rsid w:val="00F46894"/>
    <w:rPr>
      <w:sz w:val="16"/>
      <w:szCs w:val="16"/>
    </w:rPr>
  </w:style>
  <w:style w:type="paragraph" w:styleId="Textocomentario">
    <w:name w:val="annotation text"/>
    <w:basedOn w:val="Normal"/>
    <w:link w:val="TextocomentarioCar"/>
    <w:uiPriority w:val="99"/>
    <w:unhideWhenUsed/>
    <w:rsid w:val="00F46894"/>
    <w:pPr>
      <w:spacing w:after="200"/>
    </w:pPr>
    <w:rPr>
      <w:sz w:val="20"/>
      <w:szCs w:val="20"/>
      <w:lang w:eastAsia="es-ES"/>
    </w:rPr>
  </w:style>
  <w:style w:type="character" w:customStyle="1" w:styleId="TextocomentarioCar">
    <w:name w:val="Texto comentario Car"/>
    <w:basedOn w:val="Fuentedeprrafopredeter"/>
    <w:link w:val="Textocomentario"/>
    <w:uiPriority w:val="99"/>
    <w:rsid w:val="00F46894"/>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F46894"/>
    <w:rPr>
      <w:b/>
      <w:bCs/>
    </w:rPr>
  </w:style>
  <w:style w:type="character" w:customStyle="1" w:styleId="AsuntodelcomentarioCar">
    <w:name w:val="Asunto del comentario Car"/>
    <w:basedOn w:val="TextocomentarioCar"/>
    <w:link w:val="Asuntodelcomentario"/>
    <w:uiPriority w:val="99"/>
    <w:semiHidden/>
    <w:rsid w:val="00F46894"/>
    <w:rPr>
      <w:rFonts w:ascii="Times New Roman" w:eastAsia="Times New Roman" w:hAnsi="Times New Roman" w:cs="Times New Roman"/>
      <w:b/>
      <w:bCs/>
      <w:sz w:val="20"/>
      <w:szCs w:val="20"/>
      <w:lang w:val="es-CO" w:eastAsia="es-ES"/>
    </w:rPr>
  </w:style>
  <w:style w:type="paragraph" w:styleId="Textodeglobo">
    <w:name w:val="Balloon Text"/>
    <w:basedOn w:val="Normal"/>
    <w:link w:val="TextodegloboCar"/>
    <w:uiPriority w:val="99"/>
    <w:semiHidden/>
    <w:unhideWhenUsed/>
    <w:rsid w:val="00503608"/>
    <w:rPr>
      <w:rFonts w:ascii="Segoe UI" w:hAnsi="Segoe UI" w:cs="Segoe UI"/>
      <w:sz w:val="18"/>
      <w:szCs w:val="18"/>
      <w:lang w:eastAsia="es-ES"/>
    </w:rPr>
  </w:style>
  <w:style w:type="character" w:customStyle="1" w:styleId="TextodegloboCar">
    <w:name w:val="Texto de globo Car"/>
    <w:basedOn w:val="Fuentedeprrafopredeter"/>
    <w:link w:val="Textodeglobo"/>
    <w:uiPriority w:val="99"/>
    <w:semiHidden/>
    <w:rsid w:val="00503608"/>
    <w:rPr>
      <w:rFonts w:ascii="Segoe UI" w:eastAsia="Times New Roman" w:hAnsi="Segoe UI" w:cs="Segoe UI"/>
      <w:sz w:val="18"/>
      <w:szCs w:val="18"/>
      <w:lang w:val="es-CO" w:eastAsia="es-ES"/>
    </w:rPr>
  </w:style>
  <w:style w:type="paragraph" w:styleId="Textoindependiente3">
    <w:name w:val="Body Text 3"/>
    <w:basedOn w:val="Normal"/>
    <w:link w:val="Textoindependiente3Car"/>
    <w:uiPriority w:val="99"/>
    <w:semiHidden/>
    <w:unhideWhenUsed/>
    <w:rsid w:val="0036239F"/>
    <w:pPr>
      <w:spacing w:after="120" w:line="276" w:lineRule="auto"/>
    </w:pPr>
    <w:rPr>
      <w:sz w:val="16"/>
      <w:szCs w:val="16"/>
      <w:lang w:eastAsia="es-ES"/>
    </w:rPr>
  </w:style>
  <w:style w:type="character" w:customStyle="1" w:styleId="Textoindependiente3Car">
    <w:name w:val="Texto independiente 3 Car"/>
    <w:basedOn w:val="Fuentedeprrafopredeter"/>
    <w:link w:val="Textoindependiente3"/>
    <w:uiPriority w:val="99"/>
    <w:semiHidden/>
    <w:rsid w:val="0036239F"/>
    <w:rPr>
      <w:rFonts w:ascii="Times New Roman" w:eastAsia="Times New Roman" w:hAnsi="Times New Roman" w:cs="Times New Roman"/>
      <w:sz w:val="16"/>
      <w:szCs w:val="16"/>
      <w:lang w:val="es-CO" w:eastAsia="es-ES"/>
    </w:rPr>
  </w:style>
  <w:style w:type="table" w:styleId="Tablaconcuadrcula">
    <w:name w:val="Table Grid"/>
    <w:basedOn w:val="Tablanormal"/>
    <w:uiPriority w:val="39"/>
    <w:rsid w:val="00784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872443"/>
    <w:pPr>
      <w:spacing w:after="0" w:line="240" w:lineRule="auto"/>
    </w:pPr>
    <w:rPr>
      <w:sz w:val="24"/>
      <w:szCs w:val="24"/>
    </w:rPr>
  </w:style>
  <w:style w:type="character" w:customStyle="1" w:styleId="Ttulo4Car">
    <w:name w:val="Título 4 Car"/>
    <w:basedOn w:val="Fuentedeprrafopredeter"/>
    <w:link w:val="Ttulo4"/>
    <w:uiPriority w:val="9"/>
    <w:rsid w:val="00CF7FBA"/>
    <w:rPr>
      <w:rFonts w:asciiTheme="majorHAnsi" w:eastAsiaTheme="majorEastAsia" w:hAnsiTheme="majorHAnsi" w:cstheme="majorBidi"/>
      <w:i/>
      <w:iCs/>
      <w:color w:val="2E74B5" w:themeColor="accent1" w:themeShade="BF"/>
      <w:sz w:val="28"/>
      <w:szCs w:val="28"/>
      <w:lang w:val="es-CO" w:eastAsia="es-ES"/>
    </w:rPr>
  </w:style>
  <w:style w:type="paragraph" w:styleId="Revisin">
    <w:name w:val="Revision"/>
    <w:hidden/>
    <w:uiPriority w:val="99"/>
    <w:semiHidden/>
    <w:rsid w:val="00B97ECB"/>
    <w:pPr>
      <w:spacing w:after="0" w:line="240" w:lineRule="auto"/>
    </w:pPr>
    <w:rPr>
      <w:rFonts w:ascii="Times New Roman" w:eastAsia="Times New Roman" w:hAnsi="Times New Roman" w:cs="Times New Roman"/>
      <w:sz w:val="24"/>
      <w:szCs w:val="24"/>
      <w:lang w:eastAsia="es-MX"/>
    </w:rPr>
  </w:style>
  <w:style w:type="paragraph" w:customStyle="1" w:styleId="centrado">
    <w:name w:val="centrado"/>
    <w:basedOn w:val="Normal"/>
    <w:rsid w:val="00857F40"/>
    <w:pPr>
      <w:spacing w:before="100" w:beforeAutospacing="1" w:after="100" w:afterAutospacing="1"/>
    </w:pPr>
  </w:style>
  <w:style w:type="character" w:customStyle="1" w:styleId="baj">
    <w:name w:val="b_aj"/>
    <w:basedOn w:val="Fuentedeprrafopredeter"/>
    <w:rsid w:val="00857F40"/>
  </w:style>
  <w:style w:type="paragraph" w:styleId="Textonotaalfinal">
    <w:name w:val="endnote text"/>
    <w:basedOn w:val="Normal"/>
    <w:link w:val="TextonotaalfinalCar"/>
    <w:uiPriority w:val="99"/>
    <w:semiHidden/>
    <w:unhideWhenUsed/>
    <w:rsid w:val="00157DDE"/>
    <w:rPr>
      <w:sz w:val="20"/>
      <w:szCs w:val="20"/>
    </w:rPr>
  </w:style>
  <w:style w:type="character" w:customStyle="1" w:styleId="TextonotaalfinalCar">
    <w:name w:val="Texto nota al final Car"/>
    <w:basedOn w:val="Fuentedeprrafopredeter"/>
    <w:link w:val="Textonotaalfinal"/>
    <w:uiPriority w:val="99"/>
    <w:semiHidden/>
    <w:rsid w:val="00157DDE"/>
    <w:rPr>
      <w:rFonts w:ascii="Times New Roman" w:eastAsia="Times New Roman" w:hAnsi="Times New Roman" w:cs="Times New Roman"/>
      <w:sz w:val="20"/>
      <w:szCs w:val="20"/>
      <w:lang w:val="es-CO" w:eastAsia="es-MX"/>
    </w:rPr>
  </w:style>
  <w:style w:type="character" w:styleId="Refdenotaalfinal">
    <w:name w:val="endnote reference"/>
    <w:basedOn w:val="Fuentedeprrafopredeter"/>
    <w:uiPriority w:val="99"/>
    <w:semiHidden/>
    <w:unhideWhenUsed/>
    <w:rsid w:val="00157DDE"/>
    <w:rPr>
      <w:vertAlign w:val="superscript"/>
    </w:rPr>
  </w:style>
  <w:style w:type="character" w:styleId="Hipervnculo">
    <w:name w:val="Hyperlink"/>
    <w:basedOn w:val="Fuentedeprrafopredeter"/>
    <w:uiPriority w:val="99"/>
    <w:unhideWhenUsed/>
    <w:rsid w:val="00571D10"/>
    <w:rPr>
      <w:color w:val="0563C1" w:themeColor="hyperlink"/>
      <w:u w:val="single"/>
    </w:rPr>
  </w:style>
  <w:style w:type="character" w:customStyle="1" w:styleId="Mencinsinresolver1">
    <w:name w:val="Mención sin resolver1"/>
    <w:basedOn w:val="Fuentedeprrafopredeter"/>
    <w:uiPriority w:val="99"/>
    <w:semiHidden/>
    <w:unhideWhenUsed/>
    <w:rsid w:val="00571D10"/>
    <w:rPr>
      <w:color w:val="605E5C"/>
      <w:shd w:val="clear" w:color="auto" w:fill="E1DFDD"/>
    </w:rPr>
  </w:style>
  <w:style w:type="paragraph" w:customStyle="1" w:styleId="Default">
    <w:name w:val="Default"/>
    <w:rsid w:val="00102708"/>
    <w:pPr>
      <w:autoSpaceDE w:val="0"/>
      <w:autoSpaceDN w:val="0"/>
      <w:adjustRightInd w:val="0"/>
      <w:spacing w:after="0" w:line="240" w:lineRule="auto"/>
    </w:pPr>
    <w:rPr>
      <w:rFonts w:ascii="Cambria" w:hAnsi="Cambria" w:cs="Cambria"/>
      <w:color w:val="000000"/>
      <w:sz w:val="24"/>
      <w:szCs w:val="24"/>
    </w:rPr>
  </w:style>
  <w:style w:type="character" w:customStyle="1" w:styleId="Ttulo8Car">
    <w:name w:val="Título 8 Car"/>
    <w:basedOn w:val="Fuentedeprrafopredeter"/>
    <w:link w:val="Ttulo8"/>
    <w:uiPriority w:val="9"/>
    <w:rsid w:val="00F65B15"/>
    <w:rPr>
      <w:rFonts w:asciiTheme="majorHAnsi" w:eastAsiaTheme="majorEastAsia" w:hAnsiTheme="majorHAnsi" w:cstheme="majorBidi"/>
      <w:color w:val="272727" w:themeColor="text1" w:themeTint="D8"/>
      <w:sz w:val="21"/>
      <w:szCs w:val="21"/>
      <w:lang w:val="es-CO" w:eastAsia="es-MX"/>
    </w:rPr>
  </w:style>
  <w:style w:type="paragraph" w:styleId="Subttulo">
    <w:name w:val="Subtitle"/>
    <w:basedOn w:val="Normal"/>
    <w:next w:val="Normal"/>
    <w:link w:val="SubttuloCar"/>
    <w:uiPriority w:val="11"/>
    <w:qFormat/>
    <w:rsid w:val="0048136D"/>
    <w:pPr>
      <w:numPr>
        <w:ilvl w:val="1"/>
      </w:numPr>
    </w:pPr>
    <w:rPr>
      <w:color w:val="5A5A5A" w:themeColor="text1" w:themeTint="A5"/>
      <w:spacing w:val="15"/>
    </w:rPr>
  </w:style>
  <w:style w:type="character" w:customStyle="1" w:styleId="SubttuloCar">
    <w:name w:val="Subtítulo Car"/>
    <w:basedOn w:val="Fuentedeprrafopredeter"/>
    <w:link w:val="Subttulo"/>
    <w:uiPriority w:val="11"/>
    <w:rsid w:val="0048136D"/>
    <w:rPr>
      <w:rFonts w:eastAsiaTheme="minorEastAsia"/>
      <w:color w:val="5A5A5A" w:themeColor="text1" w:themeTint="A5"/>
      <w:spacing w:val="15"/>
      <w:lang w:val="es-CO" w:eastAsia="es-MX"/>
    </w:rPr>
  </w:style>
  <w:style w:type="character" w:customStyle="1" w:styleId="PrrafodelistaCar">
    <w:name w:val="Párrafo de lista Car"/>
    <w:aliases w:val="Colorful List - Accent 11 Car,List Paragraph2 Car,List Paragraph1 Car1,Ha Car1,lp1 Car1,Footnote Car"/>
    <w:link w:val="Prrafodelista"/>
    <w:uiPriority w:val="34"/>
    <w:locked/>
    <w:rsid w:val="00C81636"/>
    <w:rPr>
      <w:rFonts w:ascii="Times New Roman" w:eastAsia="Times New Roman" w:hAnsi="Times New Roman" w:cs="Times New Roman"/>
      <w:sz w:val="28"/>
      <w:szCs w:val="28"/>
      <w:lang w:val="es-CO" w:eastAsia="es-ES"/>
    </w:rPr>
  </w:style>
  <w:style w:type="character" w:customStyle="1" w:styleId="Mencinsinresolver2">
    <w:name w:val="Mención sin resolver2"/>
    <w:basedOn w:val="Fuentedeprrafopredeter"/>
    <w:uiPriority w:val="99"/>
    <w:semiHidden/>
    <w:unhideWhenUsed/>
    <w:rsid w:val="00DE2736"/>
    <w:rPr>
      <w:color w:val="605E5C"/>
      <w:shd w:val="clear" w:color="auto" w:fill="E1DFDD"/>
    </w:rPr>
  </w:style>
  <w:style w:type="character" w:customStyle="1" w:styleId="Tablanormal3Car">
    <w:name w:val="Tabla normal 3 Car"/>
    <w:aliases w:val="Normal1 Car,titulo 3 Car,Párrafo de lista1 Car,Bolita Car,Bullets Car,List Paragraph Car,Ha Car,List Paragraph_0 Car,List Paragraph_1 Car,List Paragraph1 Car,lp1 Car,parrafo Car,Párrafo de lista Numerado Car"/>
    <w:link w:val="Tablanormal31"/>
    <w:uiPriority w:val="34"/>
    <w:locked/>
    <w:rsid w:val="00810226"/>
  </w:style>
  <w:style w:type="table" w:customStyle="1" w:styleId="Tablanormal31">
    <w:name w:val="Tabla normal 31"/>
    <w:basedOn w:val="Tablanormal"/>
    <w:link w:val="Tablanormal3Car"/>
    <w:uiPriority w:val="34"/>
    <w:rsid w:val="00810226"/>
    <w:pPr>
      <w:spacing w:after="0" w:line="240" w:lineRule="auto"/>
    </w:pPr>
    <w:tblPr>
      <w:tblStyleRowBandSize w:val="1"/>
      <w:tblStyleColBandSize w:val="1"/>
    </w:tblPr>
    <w:tblStylePr w:type="firstRow">
      <w:tblPr/>
      <w:tcPr>
        <w:tcBorders>
          <w:bottom w:val="single" w:sz="4" w:space="0" w:color="7F7F7F" w:themeColor="text1" w:themeTint="80"/>
        </w:tcBorders>
      </w:tcPr>
    </w:tblStylePr>
    <w:tblStylePr w:type="lastRow">
      <w:tblPr/>
      <w:tcPr>
        <w:tcBorders>
          <w:top w:val="nil"/>
        </w:tcBorders>
      </w:tcPr>
    </w:tblStylePr>
    <w:tblStylePr w:type="firstCol">
      <w:tblPr/>
      <w:tcPr>
        <w:tcBorders>
          <w:right w:val="single" w:sz="4" w:space="0" w:color="7F7F7F" w:themeColor="text1" w:themeTint="80"/>
        </w:tcBorders>
      </w:tcPr>
    </w:tblStylePr>
    <w:tblStylePr w:type="lastCol">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3">
    <w:name w:val="Mención sin resolver3"/>
    <w:basedOn w:val="Fuentedeprrafopredeter"/>
    <w:uiPriority w:val="99"/>
    <w:semiHidden/>
    <w:unhideWhenUsed/>
    <w:rsid w:val="000F76CD"/>
    <w:rPr>
      <w:color w:val="605E5C"/>
      <w:shd w:val="clear" w:color="auto" w:fill="E1DFDD"/>
    </w:rPr>
  </w:style>
  <w:style w:type="character" w:customStyle="1" w:styleId="Mencinsinresolver4">
    <w:name w:val="Mención sin resolver4"/>
    <w:basedOn w:val="Fuentedeprrafopredeter"/>
    <w:uiPriority w:val="99"/>
    <w:semiHidden/>
    <w:unhideWhenUsed/>
    <w:rsid w:val="00674235"/>
    <w:rPr>
      <w:color w:val="605E5C"/>
      <w:shd w:val="clear" w:color="auto" w:fill="E1DFDD"/>
    </w:rPr>
  </w:style>
  <w:style w:type="character" w:styleId="Nmerodepgina">
    <w:name w:val="page number"/>
    <w:basedOn w:val="Fuentedeprrafopredeter"/>
    <w:uiPriority w:val="99"/>
    <w:rsid w:val="001E51E2"/>
    <w:rPr>
      <w:rFonts w:cs="Times New Roman"/>
    </w:rPr>
  </w:style>
  <w:style w:type="character" w:customStyle="1" w:styleId="Mencinsinresolver5">
    <w:name w:val="Mención sin resolver5"/>
    <w:basedOn w:val="Fuentedeprrafopredeter"/>
    <w:uiPriority w:val="99"/>
    <w:semiHidden/>
    <w:unhideWhenUsed/>
    <w:rsid w:val="00EF4B42"/>
    <w:rPr>
      <w:color w:val="605E5C"/>
      <w:shd w:val="clear" w:color="auto" w:fill="E1DFDD"/>
    </w:rPr>
  </w:style>
  <w:style w:type="paragraph" w:customStyle="1" w:styleId="Refdenotaalpie2">
    <w:name w:val="Ref. de nota al pie2"/>
    <w:aliases w:val="Pie de pagina"/>
    <w:basedOn w:val="Normal"/>
    <w:uiPriority w:val="99"/>
    <w:rsid w:val="00100120"/>
    <w:pPr>
      <w:spacing w:line="240" w:lineRule="exact"/>
    </w:pPr>
    <w:rPr>
      <w:rFonts w:eastAsiaTheme="minorHAnsi"/>
      <w:vertAlign w:val="superscript"/>
      <w:lang w:eastAsia="en-US"/>
    </w:rPr>
  </w:style>
  <w:style w:type="paragraph" w:customStyle="1" w:styleId="Pa19">
    <w:name w:val="Pa19"/>
    <w:basedOn w:val="Default"/>
    <w:next w:val="Default"/>
    <w:uiPriority w:val="99"/>
    <w:rsid w:val="00DE4A0C"/>
    <w:pPr>
      <w:spacing w:line="201" w:lineRule="atLeast"/>
    </w:pPr>
    <w:rPr>
      <w:rFonts w:ascii="Times New Roman" w:hAnsi="Times New Roman" w:cs="Times New Roman"/>
      <w:color w:val="auto"/>
    </w:rPr>
  </w:style>
  <w:style w:type="paragraph" w:customStyle="1" w:styleId="Pa17">
    <w:name w:val="Pa17"/>
    <w:basedOn w:val="Default"/>
    <w:next w:val="Default"/>
    <w:uiPriority w:val="99"/>
    <w:rsid w:val="00DE4A0C"/>
    <w:pPr>
      <w:spacing w:line="201" w:lineRule="atLeast"/>
    </w:pPr>
    <w:rPr>
      <w:rFonts w:ascii="Times New Roman" w:hAnsi="Times New Roman" w:cs="Times New Roman"/>
      <w:color w:val="auto"/>
    </w:rPr>
  </w:style>
  <w:style w:type="character" w:customStyle="1" w:styleId="A11">
    <w:name w:val="A11"/>
    <w:uiPriority w:val="99"/>
    <w:rsid w:val="00DE4A0C"/>
    <w:rPr>
      <w:b/>
      <w:bCs/>
      <w:color w:val="000000"/>
      <w:sz w:val="20"/>
      <w:szCs w:val="20"/>
      <w:u w:val="single"/>
    </w:rPr>
  </w:style>
  <w:style w:type="character" w:customStyle="1" w:styleId="A12">
    <w:name w:val="A12"/>
    <w:uiPriority w:val="99"/>
    <w:rsid w:val="00DE4A0C"/>
    <w:rPr>
      <w:b/>
      <w:bCs/>
      <w:strike/>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retariasenado.gov.co/senado/basedoc/ley_1738_2014.html" TargetMode="External"/><Relationship Id="rId18" Type="http://schemas.openxmlformats.org/officeDocument/2006/relationships/hyperlink" Target="http://www.secretariasenado.gov.co/senado/basedoc/ley_1106_2006.html" TargetMode="External"/><Relationship Id="rId26" Type="http://schemas.openxmlformats.org/officeDocument/2006/relationships/hyperlink" Target="http://www.secretariasenado.gov.co/senado/basedoc/ley_1421_2010.html" TargetMode="External"/><Relationship Id="rId39" Type="http://schemas.openxmlformats.org/officeDocument/2006/relationships/hyperlink" Target="http://www.secretariasenado.gov.co/senado/basedoc/constitucion_politica_1991.html" TargetMode="External"/><Relationship Id="rId21" Type="http://schemas.openxmlformats.org/officeDocument/2006/relationships/hyperlink" Target="http://www.secretariasenado.gov.co/senado/basedoc/ley_1941_2018.html" TargetMode="External"/><Relationship Id="rId34" Type="http://schemas.openxmlformats.org/officeDocument/2006/relationships/hyperlink" Target="http://www.secretariasenado.gov.co/senado/basedoc/ley_1738_2014.html" TargetMode="External"/><Relationship Id="rId7" Type="http://schemas.openxmlformats.org/officeDocument/2006/relationships/image" Target="media/image1.bin"/><Relationship Id="rId2" Type="http://schemas.openxmlformats.org/officeDocument/2006/relationships/styles" Target="styles.xml"/><Relationship Id="rId16" Type="http://schemas.openxmlformats.org/officeDocument/2006/relationships/hyperlink" Target="http://www.secretariasenado.gov.co/senado/basedoc/ley_0548_1999.html" TargetMode="External"/><Relationship Id="rId20" Type="http://schemas.openxmlformats.org/officeDocument/2006/relationships/hyperlink" Target="http://www.secretariasenado.gov.co/senado/basedoc/ley_1738_2014.html" TargetMode="External"/><Relationship Id="rId29" Type="http://schemas.openxmlformats.org/officeDocument/2006/relationships/hyperlink" Target="http://www.secretariasenado.gov.co/senado/basedoc/ley_0418_1997.htm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1106_2006.html" TargetMode="External"/><Relationship Id="rId24" Type="http://schemas.openxmlformats.org/officeDocument/2006/relationships/hyperlink" Target="http://www.secretariasenado.gov.co/senado/basedoc/ley_0782_2002.html" TargetMode="External"/><Relationship Id="rId32" Type="http://schemas.openxmlformats.org/officeDocument/2006/relationships/hyperlink" Target="http://www.secretariasenado.gov.co/senado/basedoc/ley_1106_2006.html" TargetMode="External"/><Relationship Id="rId37" Type="http://schemas.openxmlformats.org/officeDocument/2006/relationships/hyperlink" Target="http://www.secretariasenado.gov.co/senado/basedoc/ley_0418_1997.html"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ecretariasenado.gov.co/senado/basedoc/ley_0418_1997.html" TargetMode="External"/><Relationship Id="rId23" Type="http://schemas.openxmlformats.org/officeDocument/2006/relationships/hyperlink" Target="http://www.secretariasenado.gov.co/senado/basedoc/ley_0548_1999.html" TargetMode="External"/><Relationship Id="rId28" Type="http://schemas.openxmlformats.org/officeDocument/2006/relationships/hyperlink" Target="http://www.secretariasenado.gov.co/senado/basedoc/ley_1941_2018.html" TargetMode="External"/><Relationship Id="rId36" Type="http://schemas.openxmlformats.org/officeDocument/2006/relationships/hyperlink" Target="http://www.secretariasenado.gov.co/senado/basedoc/ley_0418_1997.html" TargetMode="External"/><Relationship Id="rId10" Type="http://schemas.openxmlformats.org/officeDocument/2006/relationships/hyperlink" Target="http://www.secretariasenado.gov.co/senado/basedoc/ley_0782_2002.html" TargetMode="External"/><Relationship Id="rId19" Type="http://schemas.openxmlformats.org/officeDocument/2006/relationships/hyperlink" Target="http://www.secretariasenado.gov.co/senado/basedoc/ley_1421_2010.html" TargetMode="External"/><Relationship Id="rId31" Type="http://schemas.openxmlformats.org/officeDocument/2006/relationships/hyperlink" Target="http://www.secretariasenado.gov.co/senado/basedoc/ley_0782_2002.html" TargetMode="External"/><Relationship Id="rId4" Type="http://schemas.openxmlformats.org/officeDocument/2006/relationships/webSettings" Target="webSettings.xml"/><Relationship Id="rId9" Type="http://schemas.openxmlformats.org/officeDocument/2006/relationships/hyperlink" Target="http://www.secretariasenado.gov.co/senado/basedoc/ley_0548_1999.html" TargetMode="External"/><Relationship Id="rId14" Type="http://schemas.openxmlformats.org/officeDocument/2006/relationships/hyperlink" Target="http://www.secretariasenado.gov.co/senado/basedoc/ley_1941_2018.html" TargetMode="External"/><Relationship Id="rId22" Type="http://schemas.openxmlformats.org/officeDocument/2006/relationships/hyperlink" Target="http://www.secretariasenado.gov.co/senado/basedoc/ley_0418_1997.html" TargetMode="External"/><Relationship Id="rId27" Type="http://schemas.openxmlformats.org/officeDocument/2006/relationships/hyperlink" Target="http://www.secretariasenado.gov.co/senado/basedoc/ley_1738_2014.html" TargetMode="External"/><Relationship Id="rId30" Type="http://schemas.openxmlformats.org/officeDocument/2006/relationships/hyperlink" Target="http://www.secretariasenado.gov.co/senado/basedoc/ley_0548_1999.html" TargetMode="External"/><Relationship Id="rId35" Type="http://schemas.openxmlformats.org/officeDocument/2006/relationships/hyperlink" Target="http://www.secretariasenado.gov.co/senado/basedoc/ley_1941_2018.html" TargetMode="External"/><Relationship Id="rId8" Type="http://schemas.openxmlformats.org/officeDocument/2006/relationships/hyperlink" Target="http://www.secretariasenado.gov.co/senado/basedoc/ley_0418_1997.html" TargetMode="External"/><Relationship Id="rId3" Type="http://schemas.openxmlformats.org/officeDocument/2006/relationships/settings" Target="settings.xml"/><Relationship Id="rId12" Type="http://schemas.openxmlformats.org/officeDocument/2006/relationships/hyperlink" Target="http://www.secretariasenado.gov.co/senado/basedoc/ley_1421_2010.html" TargetMode="External"/><Relationship Id="rId17" Type="http://schemas.openxmlformats.org/officeDocument/2006/relationships/hyperlink" Target="http://www.secretariasenado.gov.co/senado/basedoc/ley_0782_2002.html" TargetMode="External"/><Relationship Id="rId25" Type="http://schemas.openxmlformats.org/officeDocument/2006/relationships/hyperlink" Target="http://www.secretariasenado.gov.co/senado/basedoc/ley_1106_2006.html" TargetMode="External"/><Relationship Id="rId33" Type="http://schemas.openxmlformats.org/officeDocument/2006/relationships/hyperlink" Target="http://www.secretariasenado.gov.co/senado/basedoc/ley_1421_2010.html" TargetMode="External"/><Relationship Id="rId38" Type="http://schemas.openxmlformats.org/officeDocument/2006/relationships/hyperlink" Target="http://www.secretariasenado.gov.co/senado/basedoc/ley_1474_2011.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orteidh.or.cr/tablas/a22440.pdf" TargetMode="External"/><Relationship Id="rId13" Type="http://schemas.openxmlformats.org/officeDocument/2006/relationships/hyperlink" Target="https://ifit-transitions.org/wp-content/uploads/2021/03/La-fase-exploratoria-del-proceso-de-paz.pdf" TargetMode="External"/><Relationship Id="rId18" Type="http://schemas.openxmlformats.org/officeDocument/2006/relationships/hyperlink" Target="https://transparenciacolombia.org.co/wp-content/uploads/2023/12/Luz-para-la-paz-3.pdf" TargetMode="External"/><Relationship Id="rId3" Type="http://schemas.openxmlformats.org/officeDocument/2006/relationships/hyperlink" Target="https://www.oas.org/es/cidh/expresion/informes/DerechoInformacionSeguridadNacional.pdf" TargetMode="External"/><Relationship Id="rId7" Type="http://schemas.openxmlformats.org/officeDocument/2006/relationships/hyperlink" Target="https://www.oas.org/es/cidh/mandato/documentos-basicos/declaracion-principios-libertad-expresion.pdf" TargetMode="External"/><Relationship Id="rId12" Type="http://schemas.openxmlformats.org/officeDocument/2006/relationships/hyperlink" Target="https://ifit-transitions.org/wp-content/uploads/2021/03/La-fase-exploratoria-del-proceso-de-paz.pdf" TargetMode="External"/><Relationship Id="rId17" Type="http://schemas.openxmlformats.org/officeDocument/2006/relationships/hyperlink" Target="https://transparenciacolombia.org.co/wp-content/uploads/2023/12/Luz-para-la-paz-3.pdf" TargetMode="External"/><Relationship Id="rId2" Type="http://schemas.openxmlformats.org/officeDocument/2006/relationships/hyperlink" Target="https://www.oas.org/es/cidh/expresion/informes/DerechoInformacionSeguridadNacional.pdf" TargetMode="External"/><Relationship Id="rId16" Type="http://schemas.openxmlformats.org/officeDocument/2006/relationships/hyperlink" Target="https://www.usip.org/sites/default/files/Colombia/Lecciones-Oslo-Habana.pdf" TargetMode="External"/><Relationship Id="rId1" Type="http://schemas.openxmlformats.org/officeDocument/2006/relationships/hyperlink" Target="https://www.oas.org/es/cidh/expresion/informes/DerechoInformacionSeguridadNacional.pdf" TargetMode="External"/><Relationship Id="rId6" Type="http://schemas.openxmlformats.org/officeDocument/2006/relationships/hyperlink" Target="https://www.oas.org/es/cidh/expresion/showarticle.asp?artID=60&amp;lID=2" TargetMode="External"/><Relationship Id="rId11" Type="http://schemas.openxmlformats.org/officeDocument/2006/relationships/hyperlink" Target="https://ifit-transitions.org/wp-content/uploads/2021/03/La-fase-exploratoria-del-proceso-de-paz.pdf" TargetMode="External"/><Relationship Id="rId5" Type="http://schemas.openxmlformats.org/officeDocument/2006/relationships/hyperlink" Target="https://www.oas.org/charter/docs_es/resolucion1_es.htm" TargetMode="External"/><Relationship Id="rId15" Type="http://schemas.openxmlformats.org/officeDocument/2006/relationships/hyperlink" Target="https://www.ipinst.org/wp-content/uploads/2017/02/IPI-Rpt-Made-in-HavanaSpan.pdf" TargetMode="External"/><Relationship Id="rId10" Type="http://schemas.openxmlformats.org/officeDocument/2006/relationships/hyperlink" Target="https://www.oas.org/es/sla/ddi/docs/acceso_informacion_Taller_Alto_Nivel_Paraguay_2018_documentos_referencia_Principios_Tshwane.pdf" TargetMode="External"/><Relationship Id="rId19" Type="http://schemas.openxmlformats.org/officeDocument/2006/relationships/hyperlink" Target="https://bapp.com.co/" TargetMode="External"/><Relationship Id="rId4" Type="http://schemas.openxmlformats.org/officeDocument/2006/relationships/hyperlink" Target="https://www.oas.org/es/cidh/expresion/informes/DerechoInformacionSeguridadNacional.pdf" TargetMode="External"/><Relationship Id="rId9" Type="http://schemas.openxmlformats.org/officeDocument/2006/relationships/hyperlink" Target="https://www.oas.org/es/cidh/expresion/showarticle.asp?artID=158&amp;lID=2" TargetMode="External"/><Relationship Id="rId14" Type="http://schemas.openxmlformats.org/officeDocument/2006/relationships/hyperlink" Target="https://ifit-transitions.org/wp-content/uploads/2021/03/La-fase-exploratoria-del-proceso-de-paz.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24583</Words>
  <Characters>135207</Characters>
  <Application>Microsoft Office Word</Application>
  <DocSecurity>0</DocSecurity>
  <Lines>1126</Lines>
  <Paragraphs>318</Paragraphs>
  <ScaleCrop>false</ScaleCrop>
  <Company/>
  <LinksUpToDate>false</LinksUpToDate>
  <CharactersWithSpaces>159472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2024-12-11T19:45:00Z</dcterms:created>
  <dcterms:modified xsi:type="dcterms:W3CDTF">2024-12-11T19:45:00Z</dcterms:modified>
</cp:coreProperties>
</file>