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952" w:rsidRPr="00EE2FA1" w:rsidRDefault="004D312A">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E2FA1">
        <w:rPr>
          <w:rFonts w:ascii="Times New Roman" w:hAnsi="Times New Roman" w:cs="Times New Roman"/>
          <w:sz w:val="28"/>
          <w:szCs w:val="24"/>
        </w:rPr>
        <w:t xml:space="preserve"> </w:t>
      </w:r>
    </w:p>
    <w:p w:rsidR="00E76952" w:rsidRPr="00EE2FA1" w:rsidRDefault="00E76952">
      <w:pPr>
        <w:widowControl w:val="0"/>
        <w:autoSpaceDE w:val="0"/>
        <w:autoSpaceDN w:val="0"/>
        <w:adjustRightInd w:val="0"/>
        <w:spacing w:after="0" w:line="240" w:lineRule="auto"/>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center"/>
        <w:rPr>
          <w:rFonts w:ascii="Times New Roman" w:hAnsi="Times New Roman" w:cs="Times New Roman"/>
          <w:b/>
          <w:bCs/>
          <w:sz w:val="28"/>
          <w:szCs w:val="28"/>
        </w:rPr>
      </w:pPr>
      <w:r w:rsidRPr="00EE2FA1">
        <w:rPr>
          <w:rFonts w:ascii="Times New Roman" w:hAnsi="Times New Roman" w:cs="Times New Roman"/>
          <w:b/>
          <w:bCs/>
          <w:sz w:val="28"/>
          <w:szCs w:val="28"/>
        </w:rPr>
        <w:t xml:space="preserve">TEMAS-SUBTEMAS </w:t>
      </w:r>
    </w:p>
    <w:p w:rsidR="00E76952" w:rsidRPr="00EE2FA1" w:rsidRDefault="00E76952">
      <w:pPr>
        <w:widowControl w:val="0"/>
        <w:autoSpaceDE w:val="0"/>
        <w:autoSpaceDN w:val="0"/>
        <w:adjustRightInd w:val="0"/>
        <w:spacing w:after="0" w:line="240" w:lineRule="auto"/>
        <w:jc w:val="center"/>
        <w:rPr>
          <w:rFonts w:ascii="Times New Roman" w:hAnsi="Times New Roman" w:cs="Times New Roman"/>
          <w:b/>
          <w:bCs/>
          <w:sz w:val="28"/>
          <w:szCs w:val="28"/>
        </w:rPr>
      </w:pPr>
    </w:p>
    <w:p w:rsidR="00E76952" w:rsidRPr="00EE2FA1" w:rsidRDefault="004D312A">
      <w:pPr>
        <w:widowControl w:val="0"/>
        <w:autoSpaceDE w:val="0"/>
        <w:autoSpaceDN w:val="0"/>
        <w:adjustRightInd w:val="0"/>
        <w:spacing w:after="0" w:line="240" w:lineRule="auto"/>
        <w:jc w:val="center"/>
        <w:rPr>
          <w:rFonts w:ascii="Times New Roman" w:hAnsi="Times New Roman" w:cs="Times New Roman"/>
          <w:sz w:val="28"/>
          <w:szCs w:val="28"/>
        </w:rPr>
      </w:pPr>
      <w:r w:rsidRPr="00EE2FA1">
        <w:rPr>
          <w:rFonts w:ascii="Times New Roman" w:hAnsi="Times New Roman" w:cs="Times New Roman"/>
          <w:b/>
          <w:bCs/>
          <w:sz w:val="28"/>
          <w:szCs w:val="28"/>
        </w:rPr>
        <w:t xml:space="preserve">Sentencia C-420/24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IRRETROACTIVIDAD DE LA LEY TRIBUTARIA</w:t>
      </w:r>
      <w:r w:rsidRPr="00EE2FA1">
        <w:rPr>
          <w:rFonts w:ascii="Times New Roman" w:hAnsi="Times New Roman" w:cs="Times New Roman"/>
          <w:sz w:val="28"/>
          <w:szCs w:val="28"/>
        </w:rPr>
        <w:t>-No se vulnera por sobretarifa del impuesto sobre la renta para empresas extractoras de petróleo crudo</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no se demostró en este proceso que la norma acusada desconozca situaciones jurídicas consolidadas. La Sala tampoco encuentra que se impacten condiciones consolidadas en virtud de la disposición demandada, pues como se expuso, aquella solo tiene efectos a futuro y es aplicable a los períodos posteriores a la vigencia de la ley. Es decir, se constata que las previsiones de la sobretarifa relacionada con la extracción de petróleo crudo no afectan la tarifa o el monto de la obligación tributaria o cualquier otro elemento del impuesto de renta frente al año gravable 2022 o a años anteriores. La norma acusada tampoco contraría la prohibición de irretroactividad por el hecho de que para la determinación de los puntos adicionales de la sobretarifa se haga referencia a factores relacionados con circunstancias anteriores al momento en que inició la vigencia de la Ley 2272 de 2022. Como se explicó previamente, esta Corte ha aclarado que la referencia a valores o parámetros establecidos con anterioridad a la vigencia de la ley tributaria, para establecer y aplicar el método de cálculo de la obligación tributaria, no configura una aplicación retroactiva de la norma.</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PRINCIPIOS DE JUSTICIA Y EQUIDAD TRIBUTARIA</w:t>
      </w:r>
      <w:r w:rsidRPr="00EE2FA1">
        <w:rPr>
          <w:rFonts w:ascii="Times New Roman" w:hAnsi="Times New Roman" w:cs="Times New Roman"/>
          <w:sz w:val="28"/>
          <w:szCs w:val="28"/>
        </w:rPr>
        <w:t>-No se vulneran por sobretarifa del impuesto sobre la renta para empresas extractoras de petróleo crudo</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xml:space="preserve">(...) la sobretarifa sí consultó la capacidad contributiva de los sujetos pasivos porque: i) está sustentada en la renta líquida de los contribuyentes; ii) se establecieron tarifas progresivas y iii) la arquitectura de la medida contiene elementos y criterios de fijación de la tarifa sensibles a la realidad económica del sector. En consecuencia, la norma acusada es exequible por esta censura.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DEMANDA DE INCONSTITUCIONALIDAD CONTRA LA LEY 2277 DE 2022</w:t>
      </w:r>
      <w:r w:rsidRPr="00EE2FA1">
        <w:rPr>
          <w:rFonts w:ascii="Times New Roman" w:hAnsi="Times New Roman" w:cs="Times New Roman"/>
          <w:sz w:val="28"/>
          <w:szCs w:val="28"/>
        </w:rPr>
        <w:t>-Estarse a lo resuelto en la sentencia C-489 de 2023</w:t>
      </w:r>
      <w:r w:rsidRPr="00EE2FA1">
        <w:rPr>
          <w:rFonts w:ascii="Times New Roman" w:hAnsi="Times New Roman" w:cs="Times New Roman"/>
          <w:b/>
          <w:bCs/>
          <w:sz w:val="28"/>
          <w:szCs w:val="28"/>
        </w:rPr>
        <w:t>/COSA JUZGADA CONSTITUCIONAL ABSOLUTA</w:t>
      </w:r>
      <w:r w:rsidRPr="00EE2FA1">
        <w:rPr>
          <w:rFonts w:ascii="Times New Roman" w:hAnsi="Times New Roman" w:cs="Times New Roman"/>
          <w:sz w:val="28"/>
          <w:szCs w:val="28"/>
        </w:rPr>
        <w:t xml:space="preserve">-Configuración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COSA JUZGADA CONSTITUCIONAL</w:t>
      </w:r>
      <w:r w:rsidRPr="00EE2FA1">
        <w:rPr>
          <w:rFonts w:ascii="Times New Roman" w:hAnsi="Times New Roman" w:cs="Times New Roman"/>
          <w:sz w:val="28"/>
          <w:szCs w:val="28"/>
        </w:rPr>
        <w:t xml:space="preserve">-Alcance y efectos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COSA JUZGADA CONSTITUCIONAL</w:t>
      </w:r>
      <w:r w:rsidRPr="00EE2FA1">
        <w:rPr>
          <w:rFonts w:ascii="Times New Roman" w:hAnsi="Times New Roman" w:cs="Times New Roman"/>
          <w:sz w:val="28"/>
          <w:szCs w:val="28"/>
        </w:rPr>
        <w:t xml:space="preserve">-Efectos respecto de inexequibilidad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DEBATE PARLAMENTARIO</w:t>
      </w:r>
      <w:r w:rsidRPr="00EE2FA1">
        <w:rPr>
          <w:rFonts w:ascii="Times New Roman" w:hAnsi="Times New Roman" w:cs="Times New Roman"/>
          <w:sz w:val="28"/>
          <w:szCs w:val="28"/>
        </w:rPr>
        <w:t xml:space="preserve">-Reglas constitucionales y legales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CORRECCION FORMAL DE LOS PROCEDIMIENTOS EN EL REGLAMENTO DEL CONGRESO</w:t>
      </w:r>
      <w:r w:rsidRPr="00EE2FA1">
        <w:rPr>
          <w:rFonts w:ascii="Times New Roman" w:hAnsi="Times New Roman" w:cs="Times New Roman"/>
          <w:sz w:val="28"/>
          <w:szCs w:val="28"/>
        </w:rPr>
        <w:t xml:space="preserve">-Objeto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INSTRUMENTALIDAD DE LAS FORMAS EN TRAMITE LEGISLATIVO</w:t>
      </w:r>
      <w:r w:rsidRPr="00EE2FA1">
        <w:rPr>
          <w:rFonts w:ascii="Times New Roman" w:hAnsi="Times New Roman" w:cs="Times New Roman"/>
          <w:sz w:val="28"/>
          <w:szCs w:val="28"/>
        </w:rPr>
        <w:t xml:space="preserve">-Alcance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RAZONABILIDAD</w:t>
      </w:r>
      <w:r w:rsidRPr="00EE2FA1">
        <w:rPr>
          <w:rFonts w:ascii="Times New Roman" w:hAnsi="Times New Roman" w:cs="Times New Roman"/>
          <w:sz w:val="28"/>
          <w:szCs w:val="28"/>
        </w:rPr>
        <w:t>-Alcance</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xml:space="preserve">La razonabilidad en el trámite legislativo ha sido utilizada como parámetro por la Corte en el estudio de la constitucionalidad de diferentes normas, así como para establecer el alcance de las regulaciones que direccionan el trámite legislativo. Pues, muchas veces la interpretación taxativa de las normas del trámite legislativo puede resultar extraña a un escenario político deliberativo o generar una limitación a la dinámica del proceso legislativo.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EFICIENCIA</w:t>
      </w:r>
      <w:r w:rsidRPr="00EE2FA1">
        <w:rPr>
          <w:rFonts w:ascii="Times New Roman" w:hAnsi="Times New Roman" w:cs="Times New Roman"/>
          <w:sz w:val="28"/>
          <w:szCs w:val="28"/>
        </w:rPr>
        <w:t xml:space="preserve">-Contenido y alcance general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CELERIDAD</w:t>
      </w:r>
      <w:r w:rsidRPr="00EE2FA1">
        <w:rPr>
          <w:rFonts w:ascii="Times New Roman" w:hAnsi="Times New Roman" w:cs="Times New Roman"/>
          <w:sz w:val="28"/>
          <w:szCs w:val="28"/>
        </w:rPr>
        <w:t xml:space="preserve">-Alcance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SENADO DE LA REPUBLICA Y CAMARA DE REPRESENTANTES</w:t>
      </w:r>
      <w:r w:rsidRPr="00EE2FA1">
        <w:rPr>
          <w:rFonts w:ascii="Times New Roman" w:hAnsi="Times New Roman" w:cs="Times New Roman"/>
          <w:sz w:val="28"/>
          <w:szCs w:val="28"/>
        </w:rPr>
        <w:t xml:space="preserve">-Sesiones conjuntas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REGLAMENTO DEL CONGRESO DE LA REPUBLICA</w:t>
      </w:r>
      <w:r w:rsidRPr="00EE2FA1">
        <w:rPr>
          <w:rFonts w:ascii="Times New Roman" w:hAnsi="Times New Roman" w:cs="Times New Roman"/>
          <w:sz w:val="28"/>
          <w:szCs w:val="28"/>
        </w:rPr>
        <w:t xml:space="preserve">-Sesión conjunta de comisiones de Senado y Cámara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SESION CONJUNTA DE COMISIONES DE LAS CAMARAS</w:t>
      </w:r>
      <w:r w:rsidRPr="00EE2FA1">
        <w:rPr>
          <w:rFonts w:ascii="Times New Roman" w:hAnsi="Times New Roman" w:cs="Times New Roman"/>
          <w:sz w:val="28"/>
          <w:szCs w:val="28"/>
        </w:rPr>
        <w:t xml:space="preserve">-Eventos en que procede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PONENCIA DE ARCHIVO EN COMISIONES CONJUNTAS</w:t>
      </w:r>
      <w:r w:rsidRPr="00EE2FA1">
        <w:rPr>
          <w:rFonts w:ascii="Times New Roman" w:hAnsi="Times New Roman" w:cs="Times New Roman"/>
          <w:sz w:val="28"/>
          <w:szCs w:val="28"/>
        </w:rPr>
        <w:t xml:space="preserve">-Supuestos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CONSECUTIVIDAD EN TRAMITE LEGISLATIVO</w:t>
      </w:r>
      <w:r w:rsidRPr="00EE2FA1">
        <w:rPr>
          <w:rFonts w:ascii="Times New Roman" w:hAnsi="Times New Roman" w:cs="Times New Roman"/>
          <w:sz w:val="28"/>
          <w:szCs w:val="28"/>
        </w:rPr>
        <w:t xml:space="preserve">-Contenido y alcance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CONSECUTIVIDAD EN TRAMITE LEGISLATIVO</w:t>
      </w:r>
      <w:r w:rsidRPr="00EE2FA1">
        <w:rPr>
          <w:rFonts w:ascii="Times New Roman" w:hAnsi="Times New Roman" w:cs="Times New Roman"/>
          <w:sz w:val="28"/>
          <w:szCs w:val="28"/>
        </w:rPr>
        <w:t>-Aplicación en el debate de las proposiciones</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xml:space="preserve">El principio de consecutividad concurre como exigencia del proceso transparente, imparcial y reflexivo que ha de caracterizar la formación de la voluntad legislativa del Congreso de la República, y que deriva de los mandatos establecidos en el artículo 157, numerales 2 y 3, de la Constitución. (...) Su aplicación, que también se predica de las proposiciones, implica una obligación con varias modalidades. Comporta para las comisiones y las plenarias de las cámaras legislativas el deber de estudiar y debatir todos los temas que hayan sido puestos a su consideración. Se trata de una competencia y un deber constitucional no susceptible de ser trasladado a otro órgano del Estado, ni al que tampoco pueden renunciar. Por lo tanto, la totalidad del articulado propuesto en la ponencia presentada debe ser discutido y votado por la comisión constitucional permanente o por la plenaria, según sea el caso.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PROPOSICIONES EN EL TRÁMITE LEGISLATIVO</w:t>
      </w:r>
      <w:r w:rsidRPr="00EE2FA1">
        <w:rPr>
          <w:rFonts w:ascii="Times New Roman" w:hAnsi="Times New Roman" w:cs="Times New Roman"/>
          <w:sz w:val="28"/>
          <w:szCs w:val="28"/>
        </w:rPr>
        <w:t xml:space="preserve">-Deber de los congresistas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PROPOSICIONES EN EL TRÁMITE LEGISLATIVO</w:t>
      </w:r>
      <w:r w:rsidRPr="00EE2FA1">
        <w:rPr>
          <w:rFonts w:ascii="Times New Roman" w:hAnsi="Times New Roman" w:cs="Times New Roman"/>
          <w:sz w:val="28"/>
          <w:szCs w:val="28"/>
        </w:rPr>
        <w:t>-No constituye vicio de procedimiento cuando no se tramitan por falta de debida diligencia de los congresistas</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la Corte Constitucional ha sostenido que no concurre un vicio de procedimiento cuando su causa compromete la negligencia de quien, pudiendo actuar de manera compatible con las reglas del trámite, se abstiene voluntariamente de hacerlo. Al respecto, en la medida en que quienes participan en el trámite legislativo tienen definidos sus deberes en precisas normas constitucionales y orgánicas, su deber de diligencia para su cumplimiento es de carácter cualificado. En virtud de esta regla, la Corte ha señalado que no existe vicio de procedimiento con aptitud para provocar la declaratoria de inexequibilidad de una norma, cuando no se tramita una proposición, si quien la presentó no puso la diligencia necesaria para impulsar su consideración y la decisión en torno a la misma. Por consiguiente, se ha considerado que las actitudes reticentes de los congresistas en el curso de los debates y las constancias posteriores a la conclusión de este y a la votación del proyecto, constituyen comportamientos contrarios al citado deber de diligencia, que no pueden invalidar la expresión legítima de la voluntad democrática.</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VOTACIONES EN TRAMILE LEGISLATIVO</w:t>
      </w:r>
      <w:r w:rsidRPr="00EE2FA1">
        <w:rPr>
          <w:rFonts w:ascii="Times New Roman" w:hAnsi="Times New Roman" w:cs="Times New Roman"/>
          <w:sz w:val="28"/>
          <w:szCs w:val="28"/>
        </w:rPr>
        <w:t xml:space="preserve">-Subreglas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VOTACION EN BLOQUE DE ARTICULADO DE PROYECTO DE LEY</w:t>
      </w:r>
      <w:r w:rsidRPr="00EE2FA1">
        <w:rPr>
          <w:rFonts w:ascii="Times New Roman" w:hAnsi="Times New Roman" w:cs="Times New Roman"/>
          <w:sz w:val="28"/>
          <w:szCs w:val="28"/>
        </w:rPr>
        <w:t xml:space="preserve">-Condiciones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IRRETROACTIVIDAD DE LA LEY TRIBUTARIA</w:t>
      </w:r>
      <w:r w:rsidRPr="00EE2FA1">
        <w:rPr>
          <w:rFonts w:ascii="Times New Roman" w:hAnsi="Times New Roman" w:cs="Times New Roman"/>
          <w:sz w:val="28"/>
          <w:szCs w:val="28"/>
        </w:rPr>
        <w:t>-Alcance</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el principio de irretroactividad de la ley tributaria consiste en la imposibilidad de señalar consecuencias jurídicas a actos, hechos o situaciones jurídicas que ya están formalizados jurídicamente, “salvo que se prescriba un efecto más perfecto tanto para el sujeto de derecho, como para el bien común, de manera concurrente”. Este criterio es uno de los fundamentos constitucionales para la protección de las situaciones jurídicas consolidadas.</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JUSTICIA TRIBUTARIA</w:t>
      </w:r>
      <w:r w:rsidRPr="00EE2FA1">
        <w:rPr>
          <w:rFonts w:ascii="Times New Roman" w:hAnsi="Times New Roman" w:cs="Times New Roman"/>
          <w:sz w:val="28"/>
          <w:szCs w:val="28"/>
        </w:rPr>
        <w:t xml:space="preserve">-Incorpora la equidad y progresividad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EQUIDAD TRIBUTARIA</w:t>
      </w:r>
      <w:r w:rsidRPr="00EE2FA1">
        <w:rPr>
          <w:rFonts w:ascii="Times New Roman" w:hAnsi="Times New Roman" w:cs="Times New Roman"/>
          <w:sz w:val="28"/>
          <w:szCs w:val="28"/>
        </w:rPr>
        <w:t>-Alcance</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i/>
          <w:iCs/>
          <w:sz w:val="28"/>
          <w:szCs w:val="28"/>
        </w:rPr>
        <w:t>(...) el principio de equidad no debe ser entendido como un deber formal por el cual todo contribuyente deba pagar los “impuestos, tasas y contribuciones con los mismos porcentajes y bajo un criterio rígidamente matemático que mida a todos con el mismo rasero”. En efecto, este principio no supone una paridad entre los contribuyentes, ni tampoco una “igualdad absoluta de los efectos que una disposición legal tenga en cada uno de quienes se ven afectados por los efectos por ella generados”, sino que exige que, en la determinación de los tributos, el legislador fundamente la imposición en criterios adecuados sobre la capacidad económica de los contribuyentes. En otras palabras, este principio busca que no haya contribuciones o beneficios excesivos para los sujetos obligados.</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PRINCIPIO DE EQUIDAD TRIBUTARIA</w:t>
      </w:r>
      <w:r w:rsidRPr="00EE2FA1">
        <w:rPr>
          <w:rFonts w:ascii="Times New Roman" w:hAnsi="Times New Roman" w:cs="Times New Roman"/>
          <w:sz w:val="28"/>
          <w:szCs w:val="28"/>
        </w:rPr>
        <w:t xml:space="preserve">-Dimensión horizontal y vertical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4D312A">
      <w:pPr>
        <w:widowControl w:val="0"/>
        <w:autoSpaceDE w:val="0"/>
        <w:autoSpaceDN w:val="0"/>
        <w:adjustRightInd w:val="0"/>
        <w:spacing w:after="0" w:line="240" w:lineRule="auto"/>
        <w:jc w:val="both"/>
        <w:rPr>
          <w:rFonts w:ascii="Times New Roman" w:hAnsi="Times New Roman" w:cs="Times New Roman"/>
          <w:sz w:val="28"/>
          <w:szCs w:val="28"/>
        </w:rPr>
      </w:pPr>
      <w:r w:rsidRPr="00EE2FA1">
        <w:rPr>
          <w:rFonts w:ascii="Times New Roman" w:hAnsi="Times New Roman" w:cs="Times New Roman"/>
          <w:b/>
          <w:bCs/>
          <w:sz w:val="28"/>
          <w:szCs w:val="28"/>
        </w:rPr>
        <w:t>LIBERTAD DE CONFIGURACION LEGISLATIVA EN MATERIA TRIBUTARIA</w:t>
      </w:r>
      <w:r w:rsidRPr="00EE2FA1">
        <w:rPr>
          <w:rFonts w:ascii="Times New Roman" w:hAnsi="Times New Roman" w:cs="Times New Roman"/>
          <w:sz w:val="28"/>
          <w:szCs w:val="28"/>
        </w:rPr>
        <w:t xml:space="preserve">-Límites </w:t>
      </w:r>
    </w:p>
    <w:p w:rsidR="00E76952" w:rsidRPr="00EE2FA1" w:rsidRDefault="00E76952">
      <w:pPr>
        <w:widowControl w:val="0"/>
        <w:autoSpaceDE w:val="0"/>
        <w:autoSpaceDN w:val="0"/>
        <w:adjustRightInd w:val="0"/>
        <w:spacing w:after="0" w:line="240" w:lineRule="auto"/>
        <w:jc w:val="both"/>
        <w:rPr>
          <w:rFonts w:ascii="Times New Roman" w:hAnsi="Times New Roman" w:cs="Times New Roman"/>
          <w:sz w:val="28"/>
          <w:szCs w:val="28"/>
        </w:rPr>
      </w:pPr>
    </w:p>
    <w:p w:rsidR="00E76952" w:rsidRPr="00EE2FA1" w:rsidRDefault="00EE2FA1">
      <w:pPr>
        <w:widowControl w:val="0"/>
        <w:autoSpaceDE w:val="0"/>
        <w:autoSpaceDN w:val="0"/>
        <w:adjustRightInd w:val="0"/>
        <w:spacing w:after="0" w:line="240" w:lineRule="auto"/>
        <w:jc w:val="both"/>
        <w:rPr>
          <w:rFonts w:ascii="Times New Roman" w:hAnsi="Times New Roman" w:cs="Times New Roman"/>
          <w:sz w:val="28"/>
        </w:rPr>
      </w:pPr>
      <w:r w:rsidRPr="00EE2FA1">
        <w:rPr>
          <w:rFonts w:ascii="Times New Roman" w:hAnsi="Times New Roman" w:cs="Times New Roman"/>
          <w:sz w:val="28"/>
          <w:szCs w:val="28"/>
        </w:rPr>
        <w:pict>
          <v:rect id="_x0000_i1025" style="width:0;height:1.5pt" o:hralign="center" o:hrstd="t" o:hr="t" fillcolor="#a0a0a0" stroked="f"/>
        </w:pict>
      </w:r>
    </w:p>
    <w:p w:rsidR="00304500" w:rsidRPr="00EE2FA1" w:rsidRDefault="00EE2FA1" w:rsidP="00303887">
      <w:pPr>
        <w:pBdr>
          <w:top w:val="nil"/>
          <w:left w:val="nil"/>
          <w:bottom w:val="nil"/>
          <w:right w:val="nil"/>
          <w:between w:val="nil"/>
        </w:pBdr>
        <w:tabs>
          <w:tab w:val="center" w:pos="4678"/>
          <w:tab w:val="right" w:pos="9214"/>
        </w:tabs>
        <w:spacing w:line="0" w:lineRule="atLeast"/>
        <w:jc w:val="center"/>
        <w:rPr>
          <w:rFonts w:ascii="Times New Roman" w:hAnsi="Times New Roman" w:cs="Times New Roman"/>
          <w:b/>
          <w:sz w:val="28"/>
          <w:szCs w:val="28"/>
        </w:rPr>
      </w:pPr>
      <w:r w:rsidRPr="00EE2FA1">
        <w:rPr>
          <w:rFonts w:ascii="Times New Roman" w:hAnsi="Times New Roman" w:cs="Times New Roman"/>
          <w:b/>
          <w:sz w:val="28"/>
          <w:szCs w:val="28"/>
        </w:rPr>
        <w:t>REPÚBLICA DE COLOMBIA</w:t>
      </w:r>
    </w:p>
    <w:p w:rsidR="00304500" w:rsidRPr="00EE2FA1" w:rsidRDefault="00EE2FA1" w:rsidP="00303887">
      <w:pPr>
        <w:pBdr>
          <w:top w:val="nil"/>
          <w:left w:val="nil"/>
          <w:bottom w:val="nil"/>
          <w:right w:val="nil"/>
          <w:between w:val="nil"/>
        </w:pBdr>
        <w:tabs>
          <w:tab w:val="center" w:pos="4252"/>
          <w:tab w:val="right" w:pos="8504"/>
        </w:tabs>
        <w:spacing w:line="0" w:lineRule="atLeast"/>
        <w:jc w:val="center"/>
        <w:rPr>
          <w:rFonts w:ascii="Times New Roman" w:hAnsi="Times New Roman" w:cs="Times New Roman"/>
          <w:b/>
          <w:sz w:val="28"/>
          <w:szCs w:val="28"/>
        </w:rPr>
      </w:pPr>
      <w:r w:rsidRPr="00EE2FA1">
        <w:rPr>
          <w:rFonts w:ascii="Times New Roman" w:hAnsi="Times New Roman" w:cs="Times New Roman"/>
          <w:b/>
          <w:noProof/>
          <w:sz w:val="28"/>
          <w:szCs w:val="28"/>
        </w:rPr>
        <w:drawing>
          <wp:inline distT="0" distB="0" distL="0" distR="0" wp14:anchorId="549AC994" wp14:editId="656F81D5">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304500" w:rsidRPr="00EE2FA1" w:rsidRDefault="00EE2FA1" w:rsidP="00303887">
      <w:pPr>
        <w:pBdr>
          <w:top w:val="nil"/>
          <w:left w:val="nil"/>
          <w:bottom w:val="nil"/>
          <w:right w:val="nil"/>
          <w:between w:val="nil"/>
        </w:pBdr>
        <w:tabs>
          <w:tab w:val="center" w:pos="4252"/>
          <w:tab w:val="right" w:pos="9214"/>
        </w:tabs>
        <w:spacing w:line="0" w:lineRule="atLeast"/>
        <w:jc w:val="center"/>
        <w:rPr>
          <w:rFonts w:ascii="Times New Roman" w:hAnsi="Times New Roman" w:cs="Times New Roman"/>
          <w:b/>
          <w:sz w:val="28"/>
          <w:szCs w:val="28"/>
        </w:rPr>
      </w:pPr>
      <w:r w:rsidRPr="00EE2FA1">
        <w:rPr>
          <w:rFonts w:ascii="Times New Roman" w:hAnsi="Times New Roman" w:cs="Times New Roman"/>
          <w:b/>
          <w:sz w:val="28"/>
          <w:szCs w:val="28"/>
        </w:rPr>
        <w:t>CORTE CONSTITUCIONAL</w:t>
      </w:r>
    </w:p>
    <w:p w:rsidR="00304500" w:rsidRPr="00EE2FA1" w:rsidRDefault="00EE2FA1" w:rsidP="00303887">
      <w:pPr>
        <w:pBdr>
          <w:top w:val="nil"/>
          <w:left w:val="nil"/>
          <w:bottom w:val="nil"/>
          <w:right w:val="nil"/>
          <w:between w:val="nil"/>
        </w:pBdr>
        <w:tabs>
          <w:tab w:val="center" w:pos="4252"/>
          <w:tab w:val="right" w:pos="8504"/>
        </w:tabs>
        <w:spacing w:line="0" w:lineRule="atLeast"/>
        <w:jc w:val="center"/>
        <w:rPr>
          <w:rFonts w:ascii="Times New Roman" w:hAnsi="Times New Roman" w:cs="Times New Roman"/>
          <w:b/>
          <w:sz w:val="28"/>
          <w:szCs w:val="28"/>
        </w:rPr>
      </w:pPr>
      <w:r w:rsidRPr="00EE2FA1">
        <w:rPr>
          <w:rFonts w:ascii="Times New Roman" w:hAnsi="Times New Roman" w:cs="Times New Roman"/>
          <w:b/>
          <w:sz w:val="28"/>
          <w:szCs w:val="28"/>
        </w:rPr>
        <w:t>Sala Plena</w:t>
      </w:r>
    </w:p>
    <w:p w:rsidR="00EC2085" w:rsidRPr="00EE2FA1" w:rsidRDefault="00EE2FA1" w:rsidP="00303887">
      <w:pPr>
        <w:pBdr>
          <w:top w:val="nil"/>
          <w:left w:val="nil"/>
          <w:bottom w:val="nil"/>
          <w:right w:val="nil"/>
          <w:between w:val="nil"/>
        </w:pBdr>
        <w:tabs>
          <w:tab w:val="center" w:pos="4252"/>
          <w:tab w:val="right" w:pos="8504"/>
        </w:tabs>
        <w:spacing w:line="0" w:lineRule="atLeast"/>
        <w:rPr>
          <w:rFonts w:ascii="Times New Roman" w:hAnsi="Times New Roman" w:cs="Times New Roman"/>
          <w:b/>
          <w:sz w:val="28"/>
          <w:szCs w:val="28"/>
        </w:rPr>
      </w:pPr>
    </w:p>
    <w:p w:rsidR="00673952" w:rsidRPr="00EE2FA1" w:rsidRDefault="00EE2FA1" w:rsidP="00753564">
      <w:pPr>
        <w:spacing w:line="0" w:lineRule="atLeast"/>
        <w:jc w:val="center"/>
        <w:rPr>
          <w:rFonts w:ascii="Times New Roman" w:hAnsi="Times New Roman" w:cs="Times New Roman"/>
          <w:b/>
          <w:sz w:val="28"/>
          <w:szCs w:val="28"/>
          <w:lang w:eastAsia="es-ES"/>
        </w:rPr>
      </w:pPr>
      <w:r w:rsidRPr="00EE2FA1">
        <w:rPr>
          <w:rFonts w:ascii="Times New Roman" w:hAnsi="Times New Roman" w:cs="Times New Roman"/>
          <w:b/>
          <w:sz w:val="28"/>
          <w:szCs w:val="28"/>
          <w:lang w:eastAsia="es-ES"/>
        </w:rPr>
        <w:t>Sentencia C-420 de 2024</w:t>
      </w:r>
    </w:p>
    <w:p w:rsidR="00673952" w:rsidRPr="00EE2FA1" w:rsidRDefault="00EE2FA1" w:rsidP="00C833B9">
      <w:pPr>
        <w:spacing w:line="0" w:lineRule="atLeast"/>
        <w:jc w:val="both"/>
        <w:rPr>
          <w:rFonts w:ascii="Times New Roman" w:hAnsi="Times New Roman" w:cs="Times New Roman"/>
          <w:b/>
          <w:sz w:val="28"/>
          <w:szCs w:val="28"/>
          <w:lang w:eastAsia="es-ES"/>
        </w:rPr>
      </w:pPr>
    </w:p>
    <w:p w:rsidR="00673952" w:rsidRPr="00EE2FA1" w:rsidRDefault="00EE2FA1" w:rsidP="00753564">
      <w:pPr>
        <w:spacing w:line="0" w:lineRule="atLeast"/>
        <w:ind w:left="5387"/>
        <w:jc w:val="both"/>
        <w:rPr>
          <w:rFonts w:ascii="Times New Roman" w:hAnsi="Times New Roman" w:cs="Times New Roman"/>
          <w:sz w:val="28"/>
          <w:szCs w:val="28"/>
        </w:rPr>
      </w:pPr>
      <w:bookmarkStart w:id="1" w:name="_Hlk81400694"/>
      <w:r w:rsidRPr="00EE2FA1">
        <w:rPr>
          <w:rFonts w:ascii="Times New Roman" w:hAnsi="Times New Roman" w:cs="Times New Roman"/>
          <w:b/>
          <w:sz w:val="28"/>
          <w:szCs w:val="28"/>
        </w:rPr>
        <w:t xml:space="preserve">Referencia: </w:t>
      </w:r>
      <w:r w:rsidRPr="00EE2FA1">
        <w:rPr>
          <w:rFonts w:ascii="Times New Roman" w:hAnsi="Times New Roman" w:cs="Times New Roman"/>
          <w:sz w:val="28"/>
          <w:szCs w:val="28"/>
        </w:rPr>
        <w:t xml:space="preserve">expediente </w:t>
      </w:r>
      <w:r w:rsidRPr="00EE2FA1">
        <w:rPr>
          <w:rFonts w:ascii="Times New Roman" w:hAnsi="Times New Roman" w:cs="Times New Roman"/>
          <w:sz w:val="28"/>
          <w:szCs w:val="28"/>
        </w:rPr>
        <w:t>D-</w:t>
      </w:r>
      <w:r w:rsidRPr="00EE2FA1">
        <w:rPr>
          <w:rFonts w:ascii="Times New Roman" w:hAnsi="Times New Roman" w:cs="Times New Roman"/>
          <w:sz w:val="28"/>
          <w:szCs w:val="28"/>
        </w:rPr>
        <w:t>15253</w:t>
      </w:r>
    </w:p>
    <w:p w:rsidR="00673952" w:rsidRPr="00EE2FA1" w:rsidRDefault="00EE2FA1" w:rsidP="00753564">
      <w:pPr>
        <w:spacing w:line="0" w:lineRule="atLeast"/>
        <w:ind w:left="5387"/>
        <w:jc w:val="both"/>
        <w:rPr>
          <w:rFonts w:ascii="Times New Roman" w:hAnsi="Times New Roman" w:cs="Times New Roman"/>
          <w:sz w:val="28"/>
          <w:szCs w:val="28"/>
        </w:rPr>
      </w:pPr>
    </w:p>
    <w:p w:rsidR="00550A2C" w:rsidRPr="00EE2FA1" w:rsidRDefault="00EE2FA1" w:rsidP="00753564">
      <w:pPr>
        <w:spacing w:line="0" w:lineRule="atLeast"/>
        <w:ind w:left="5387"/>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Demanda de inconstitucionalidad contra los artículos 10, parágrafo 3</w:t>
      </w:r>
      <w:r w:rsidRPr="00EE2FA1">
        <w:rPr>
          <w:rFonts w:ascii="Times New Roman" w:hAnsi="Times New Roman" w:cs="Times New Roman"/>
          <w:sz w:val="28"/>
          <w:szCs w:val="28"/>
          <w:lang w:val="es-ES"/>
        </w:rPr>
        <w:t xml:space="preserve"> (parcial)</w:t>
      </w:r>
      <w:r w:rsidRPr="00EE2FA1">
        <w:rPr>
          <w:rFonts w:ascii="Times New Roman" w:hAnsi="Times New Roman" w:cs="Times New Roman"/>
          <w:sz w:val="28"/>
          <w:szCs w:val="28"/>
          <w:lang w:val="es-ES"/>
        </w:rPr>
        <w:t>, y 19 de la Ley 2277 de 2022</w:t>
      </w:r>
      <w:r w:rsidRPr="00EE2FA1">
        <w:rPr>
          <w:rStyle w:val="Refdenotaalpie"/>
          <w:rFonts w:ascii="Times New Roman" w:hAnsi="Times New Roman" w:cs="Times New Roman"/>
          <w:sz w:val="28"/>
          <w:szCs w:val="28"/>
          <w:lang w:val="es-ES"/>
        </w:rPr>
        <w:footnoteReference w:id="1"/>
      </w:r>
    </w:p>
    <w:p w:rsidR="00673952" w:rsidRPr="00EE2FA1" w:rsidRDefault="00EE2FA1" w:rsidP="00753564">
      <w:pPr>
        <w:spacing w:line="0" w:lineRule="atLeast"/>
        <w:ind w:left="5387"/>
        <w:jc w:val="both"/>
        <w:rPr>
          <w:rFonts w:ascii="Times New Roman" w:hAnsi="Times New Roman" w:cs="Times New Roman"/>
          <w:b/>
          <w:iCs/>
          <w:sz w:val="28"/>
          <w:szCs w:val="28"/>
          <w:lang w:val="es-ES"/>
        </w:rPr>
      </w:pPr>
    </w:p>
    <w:p w:rsidR="00673952" w:rsidRPr="00EE2FA1" w:rsidRDefault="00EE2FA1" w:rsidP="00753564">
      <w:pPr>
        <w:spacing w:line="0" w:lineRule="atLeast"/>
        <w:ind w:left="5387"/>
        <w:jc w:val="both"/>
        <w:rPr>
          <w:rFonts w:ascii="Times New Roman" w:hAnsi="Times New Roman" w:cs="Times New Roman"/>
          <w:sz w:val="28"/>
          <w:szCs w:val="28"/>
        </w:rPr>
      </w:pPr>
      <w:r w:rsidRPr="00EE2FA1">
        <w:rPr>
          <w:rFonts w:ascii="Times New Roman" w:hAnsi="Times New Roman" w:cs="Times New Roman"/>
          <w:b/>
          <w:bCs/>
          <w:sz w:val="28"/>
          <w:szCs w:val="28"/>
        </w:rPr>
        <w:t xml:space="preserve">Demandante: </w:t>
      </w:r>
      <w:r w:rsidRPr="00EE2FA1">
        <w:rPr>
          <w:rFonts w:ascii="Times New Roman" w:hAnsi="Times New Roman" w:cs="Times New Roman"/>
          <w:sz w:val="28"/>
          <w:szCs w:val="28"/>
          <w:lang w:val="es-ES"/>
        </w:rPr>
        <w:t xml:space="preserve">Martha </w:t>
      </w:r>
      <w:r w:rsidRPr="00EE2FA1">
        <w:rPr>
          <w:rFonts w:ascii="Times New Roman" w:hAnsi="Times New Roman" w:cs="Times New Roman"/>
          <w:sz w:val="28"/>
          <w:szCs w:val="28"/>
          <w:lang w:val="es-ES"/>
        </w:rPr>
        <w:t>Cecilia Paz</w:t>
      </w:r>
    </w:p>
    <w:bookmarkEnd w:id="1"/>
    <w:p w:rsidR="00673952" w:rsidRPr="00EE2FA1" w:rsidRDefault="00EE2FA1" w:rsidP="00753564">
      <w:pPr>
        <w:spacing w:line="0" w:lineRule="atLeast"/>
        <w:ind w:left="5387"/>
        <w:jc w:val="both"/>
        <w:rPr>
          <w:rFonts w:ascii="Times New Roman" w:hAnsi="Times New Roman" w:cs="Times New Roman"/>
          <w:sz w:val="28"/>
          <w:szCs w:val="28"/>
        </w:rPr>
      </w:pPr>
    </w:p>
    <w:p w:rsidR="00673952" w:rsidRPr="00EE2FA1" w:rsidRDefault="00EE2FA1" w:rsidP="00753564">
      <w:pPr>
        <w:spacing w:line="0" w:lineRule="atLeast"/>
        <w:ind w:left="5387"/>
        <w:jc w:val="both"/>
        <w:rPr>
          <w:rFonts w:ascii="Times New Roman" w:hAnsi="Times New Roman" w:cs="Times New Roman"/>
          <w:b/>
          <w:sz w:val="28"/>
          <w:szCs w:val="28"/>
        </w:rPr>
      </w:pPr>
      <w:r w:rsidRPr="00EE2FA1">
        <w:rPr>
          <w:rFonts w:ascii="Times New Roman" w:hAnsi="Times New Roman" w:cs="Times New Roman"/>
          <w:b/>
          <w:sz w:val="28"/>
          <w:szCs w:val="28"/>
        </w:rPr>
        <w:t>Magistrad</w:t>
      </w:r>
      <w:r w:rsidRPr="00EE2FA1">
        <w:rPr>
          <w:rFonts w:ascii="Times New Roman" w:hAnsi="Times New Roman" w:cs="Times New Roman"/>
          <w:b/>
          <w:sz w:val="28"/>
          <w:szCs w:val="28"/>
        </w:rPr>
        <w:t>o</w:t>
      </w:r>
      <w:r w:rsidRPr="00EE2FA1">
        <w:rPr>
          <w:rFonts w:ascii="Times New Roman" w:hAnsi="Times New Roman" w:cs="Times New Roman"/>
          <w:b/>
          <w:sz w:val="28"/>
          <w:szCs w:val="28"/>
        </w:rPr>
        <w:t xml:space="preserve"> ponente: </w:t>
      </w:r>
    </w:p>
    <w:p w:rsidR="00673952" w:rsidRPr="00EE2FA1" w:rsidRDefault="00EE2FA1" w:rsidP="00753564">
      <w:pPr>
        <w:spacing w:line="0" w:lineRule="atLeast"/>
        <w:ind w:left="5387"/>
        <w:jc w:val="both"/>
        <w:rPr>
          <w:rFonts w:ascii="Times New Roman" w:hAnsi="Times New Roman" w:cs="Times New Roman"/>
          <w:sz w:val="28"/>
          <w:szCs w:val="28"/>
        </w:rPr>
      </w:pPr>
      <w:r w:rsidRPr="00EE2FA1">
        <w:rPr>
          <w:rFonts w:ascii="Times New Roman" w:hAnsi="Times New Roman" w:cs="Times New Roman"/>
          <w:sz w:val="28"/>
          <w:szCs w:val="28"/>
        </w:rPr>
        <w:t>Juan Carlos Cortés González</w:t>
      </w:r>
    </w:p>
    <w:p w:rsidR="00673952" w:rsidRPr="00EE2FA1" w:rsidRDefault="00EE2FA1" w:rsidP="00C833B9">
      <w:pPr>
        <w:spacing w:line="0" w:lineRule="atLeast"/>
        <w:jc w:val="both"/>
        <w:rPr>
          <w:rFonts w:ascii="Times New Roman" w:hAnsi="Times New Roman" w:cs="Times New Roman"/>
          <w:b/>
          <w:bCs/>
          <w:sz w:val="28"/>
          <w:szCs w:val="28"/>
        </w:rPr>
      </w:pPr>
    </w:p>
    <w:p w:rsidR="00B70BAB" w:rsidRPr="00EE2FA1" w:rsidRDefault="00EE2FA1" w:rsidP="00C833B9">
      <w:pPr>
        <w:tabs>
          <w:tab w:val="left" w:pos="284"/>
        </w:tabs>
        <w:spacing w:line="0" w:lineRule="atLeast"/>
        <w:jc w:val="both"/>
        <w:rPr>
          <w:rFonts w:ascii="Times New Roman" w:eastAsia="Calibri" w:hAnsi="Times New Roman" w:cs="Times New Roman"/>
          <w:b/>
          <w:sz w:val="28"/>
          <w:szCs w:val="28"/>
          <w:lang w:eastAsia="es-ES"/>
        </w:rPr>
      </w:pPr>
      <w:r w:rsidRPr="00EE2FA1">
        <w:rPr>
          <w:rFonts w:ascii="Times New Roman" w:eastAsia="Calibri" w:hAnsi="Times New Roman" w:cs="Times New Roman"/>
          <w:b/>
          <w:sz w:val="28"/>
          <w:szCs w:val="28"/>
          <w:lang w:eastAsia="es-ES"/>
        </w:rPr>
        <w:t>Síntesis de la decisión</w:t>
      </w:r>
    </w:p>
    <w:p w:rsidR="00B70BAB" w:rsidRPr="00EE2FA1" w:rsidRDefault="00EE2FA1" w:rsidP="00C833B9">
      <w:pPr>
        <w:pStyle w:val="Prrafodelista"/>
        <w:tabs>
          <w:tab w:val="left" w:pos="284"/>
        </w:tabs>
        <w:spacing w:line="0" w:lineRule="atLeast"/>
        <w:ind w:left="0"/>
        <w:jc w:val="both"/>
        <w:rPr>
          <w:rFonts w:ascii="Times New Roman" w:hAnsi="Times New Roman" w:cs="Times New Roman"/>
          <w:sz w:val="28"/>
          <w:szCs w:val="28"/>
        </w:rPr>
      </w:pPr>
    </w:p>
    <w:p w:rsidR="00B70BAB" w:rsidRPr="00EE2FA1" w:rsidRDefault="00EE2FA1" w:rsidP="00C833B9">
      <w:pPr>
        <w:pStyle w:val="Prrafodelista"/>
        <w:tabs>
          <w:tab w:val="left" w:pos="284"/>
        </w:tabs>
        <w:spacing w:line="0" w:lineRule="atLeast"/>
        <w:ind w:left="0"/>
        <w:jc w:val="both"/>
        <w:rPr>
          <w:rFonts w:ascii="Times New Roman" w:hAnsi="Times New Roman" w:cs="Times New Roman"/>
          <w:iCs/>
          <w:sz w:val="28"/>
          <w:szCs w:val="28"/>
          <w:lang w:eastAsia="es-ES"/>
        </w:rPr>
      </w:pPr>
      <w:r w:rsidRPr="00EE2FA1">
        <w:rPr>
          <w:rFonts w:ascii="Times New Roman" w:hAnsi="Times New Roman" w:cs="Times New Roman"/>
          <w:bCs/>
          <w:sz w:val="28"/>
          <w:szCs w:val="28"/>
        </w:rPr>
        <w:t xml:space="preserve">La Corte Constitucional resolvió la demanda de inconstitucionalidad formulada contra </w:t>
      </w:r>
      <w:r w:rsidRPr="00EE2FA1">
        <w:rPr>
          <w:rFonts w:ascii="Times New Roman" w:hAnsi="Times New Roman" w:cs="Times New Roman"/>
          <w:sz w:val="28"/>
          <w:szCs w:val="28"/>
        </w:rPr>
        <w:t xml:space="preserve">el parágrafo 3.° (parcial) del artículo 240 y </w:t>
      </w:r>
      <w:r w:rsidRPr="00EE2FA1">
        <w:rPr>
          <w:rFonts w:ascii="Times New Roman" w:hAnsi="Times New Roman" w:cs="Times New Roman"/>
          <w:sz w:val="28"/>
          <w:szCs w:val="28"/>
        </w:rPr>
        <w:t>el</w:t>
      </w:r>
      <w:r w:rsidRPr="00EE2FA1">
        <w:rPr>
          <w:rFonts w:ascii="Times New Roman" w:hAnsi="Times New Roman" w:cs="Times New Roman"/>
          <w:sz w:val="28"/>
          <w:szCs w:val="28"/>
        </w:rPr>
        <w:t xml:space="preserve"> artículo 115 del Estatuto Tributario, modificados por los artículos 10.° y 19 de la Ley 2277 de 2022</w:t>
      </w:r>
      <w:r w:rsidRPr="00EE2FA1">
        <w:rPr>
          <w:rFonts w:ascii="Times New Roman" w:hAnsi="Times New Roman" w:cs="Times New Roman"/>
          <w:sz w:val="28"/>
          <w:szCs w:val="28"/>
        </w:rPr>
        <w:t>, respectivamente</w:t>
      </w:r>
      <w:r w:rsidRPr="00EE2FA1">
        <w:rPr>
          <w:rFonts w:ascii="Times New Roman" w:hAnsi="Times New Roman" w:cs="Times New Roman"/>
          <w:sz w:val="28"/>
          <w:szCs w:val="28"/>
        </w:rPr>
        <w:t>. Previo al análisis de los cargos, la Sala Plena concluyó que se configuró la cosa juzgada absoluta en relación con el parágrafo 1° del a</w:t>
      </w:r>
      <w:r w:rsidRPr="00EE2FA1">
        <w:rPr>
          <w:rFonts w:ascii="Times New Roman" w:hAnsi="Times New Roman" w:cs="Times New Roman"/>
          <w:sz w:val="28"/>
          <w:szCs w:val="28"/>
        </w:rPr>
        <w:t xml:space="preserve">rtículo </w:t>
      </w:r>
      <w:r w:rsidRPr="00EE2FA1">
        <w:rPr>
          <w:rFonts w:ascii="Times New Roman" w:hAnsi="Times New Roman" w:cs="Times New Roman"/>
          <w:sz w:val="28"/>
          <w:szCs w:val="28"/>
        </w:rPr>
        <w:t>19 de la Ley 2277 de 2022</w:t>
      </w:r>
      <w:r w:rsidRPr="00EE2FA1">
        <w:rPr>
          <w:rFonts w:ascii="Times New Roman" w:hAnsi="Times New Roman" w:cs="Times New Roman"/>
          <w:sz w:val="28"/>
          <w:szCs w:val="28"/>
        </w:rPr>
        <w:t>, que fue declarado inexequible en la Sentencia C-489 de 2023 y dispuso estarse a lo resuelto en esa providencia.</w:t>
      </w:r>
    </w:p>
    <w:p w:rsidR="00B70BAB" w:rsidRPr="00EE2FA1" w:rsidRDefault="00EE2FA1" w:rsidP="00C833B9">
      <w:pPr>
        <w:pStyle w:val="Prrafodelista"/>
        <w:tabs>
          <w:tab w:val="left" w:pos="284"/>
        </w:tabs>
        <w:spacing w:line="0" w:lineRule="atLeast"/>
        <w:ind w:left="0"/>
        <w:jc w:val="both"/>
        <w:rPr>
          <w:rFonts w:ascii="Times New Roman" w:hAnsi="Times New Roman" w:cs="Times New Roman"/>
          <w:iCs/>
          <w:sz w:val="28"/>
          <w:szCs w:val="28"/>
          <w:lang w:eastAsia="es-ES"/>
        </w:rPr>
      </w:pPr>
    </w:p>
    <w:p w:rsidR="00B70BAB" w:rsidRPr="00EE2FA1" w:rsidRDefault="00EE2FA1" w:rsidP="001C2ACA">
      <w:pPr>
        <w:pStyle w:val="Prrafodelista"/>
        <w:tabs>
          <w:tab w:val="left" w:pos="284"/>
        </w:tabs>
        <w:spacing w:line="0" w:lineRule="atLeast"/>
        <w:ind w:left="0"/>
        <w:jc w:val="both"/>
        <w:rPr>
          <w:rFonts w:ascii="Times New Roman" w:hAnsi="Times New Roman" w:cs="Times New Roman"/>
          <w:iCs/>
          <w:sz w:val="28"/>
          <w:szCs w:val="28"/>
          <w:lang w:eastAsia="es-ES"/>
        </w:rPr>
      </w:pPr>
      <w:r w:rsidRPr="00EE2FA1">
        <w:rPr>
          <w:rFonts w:ascii="Times New Roman" w:hAnsi="Times New Roman" w:cs="Times New Roman"/>
          <w:sz w:val="28"/>
          <w:szCs w:val="28"/>
        </w:rPr>
        <w:t>En cuanto a los vicios de procedimiento, la demanda formuló tres cargos contra el parágrafo 3.° del artículo</w:t>
      </w:r>
      <w:r w:rsidRPr="00EE2FA1">
        <w:rPr>
          <w:rFonts w:ascii="Times New Roman" w:hAnsi="Times New Roman" w:cs="Times New Roman"/>
          <w:sz w:val="28"/>
          <w:szCs w:val="28"/>
        </w:rPr>
        <w:t xml:space="preserve"> 240 y el artículo 115 </w:t>
      </w:r>
      <w:r w:rsidRPr="00EE2FA1">
        <w:rPr>
          <w:rFonts w:ascii="Times New Roman" w:hAnsi="Times New Roman" w:cs="Times New Roman"/>
          <w:sz w:val="28"/>
          <w:szCs w:val="28"/>
        </w:rPr>
        <w:t xml:space="preserve">íntegro </w:t>
      </w:r>
      <w:r w:rsidRPr="00EE2FA1">
        <w:rPr>
          <w:rFonts w:ascii="Times New Roman" w:hAnsi="Times New Roman" w:cs="Times New Roman"/>
          <w:sz w:val="28"/>
          <w:szCs w:val="28"/>
        </w:rPr>
        <w:t xml:space="preserve">del Estatuto Tributario. El primer cargo se fundó en la violación </w:t>
      </w:r>
      <w:r w:rsidRPr="00EE2FA1">
        <w:rPr>
          <w:rFonts w:ascii="Times New Roman" w:hAnsi="Times New Roman" w:cs="Times New Roman"/>
          <w:iCs/>
          <w:sz w:val="28"/>
          <w:szCs w:val="28"/>
          <w:lang w:eastAsia="es-ES"/>
        </w:rPr>
        <w:t xml:space="preserve">de los artículos </w:t>
      </w:r>
      <w:r w:rsidRPr="00EE2FA1">
        <w:rPr>
          <w:rFonts w:ascii="Times New Roman" w:hAnsi="Times New Roman" w:cs="Times New Roman"/>
          <w:bCs/>
          <w:iCs/>
          <w:sz w:val="28"/>
          <w:szCs w:val="28"/>
          <w:lang w:eastAsia="es-ES"/>
        </w:rPr>
        <w:t xml:space="preserve">157 de la Constitución y 157 y 173 de la Ley 5ª de 1992, al omitirse en la Comisión Tercera del Senado </w:t>
      </w:r>
      <w:r w:rsidRPr="00EE2FA1">
        <w:rPr>
          <w:rFonts w:ascii="Times New Roman" w:hAnsi="Times New Roman" w:cs="Times New Roman"/>
          <w:bCs/>
          <w:iCs/>
          <w:sz w:val="28"/>
          <w:szCs w:val="28"/>
          <w:lang w:val="es-ES_tradnl" w:eastAsia="es-ES"/>
        </w:rPr>
        <w:t xml:space="preserve">la votación de la ponencia de archivo del proyecto de ley. Al respecto, la Sala Plena constató que </w:t>
      </w:r>
      <w:r w:rsidRPr="00EE2FA1">
        <w:rPr>
          <w:rFonts w:ascii="Times New Roman" w:hAnsi="Times New Roman" w:cs="Times New Roman"/>
          <w:sz w:val="28"/>
          <w:szCs w:val="28"/>
        </w:rPr>
        <w:t xml:space="preserve">la omisión de la votación </w:t>
      </w:r>
      <w:r w:rsidRPr="00EE2FA1">
        <w:rPr>
          <w:rFonts w:ascii="Times New Roman" w:hAnsi="Times New Roman" w:cs="Times New Roman"/>
          <w:sz w:val="28"/>
          <w:szCs w:val="28"/>
        </w:rPr>
        <w:t>aludida</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configuró un</w:t>
      </w:r>
      <w:r w:rsidRPr="00EE2FA1">
        <w:rPr>
          <w:rFonts w:ascii="Times New Roman" w:hAnsi="Times New Roman" w:cs="Times New Roman"/>
          <w:sz w:val="28"/>
          <w:szCs w:val="28"/>
        </w:rPr>
        <w:t xml:space="preserve"> vicio de inconstitucionalidad</w:t>
      </w:r>
      <w:r w:rsidRPr="00EE2FA1">
        <w:rPr>
          <w:rFonts w:ascii="Times New Roman" w:hAnsi="Times New Roman" w:cs="Times New Roman"/>
          <w:sz w:val="28"/>
          <w:szCs w:val="28"/>
        </w:rPr>
        <w:t xml:space="preserve"> pero aquel</w:t>
      </w:r>
      <w:r w:rsidRPr="00EE2FA1">
        <w:rPr>
          <w:rFonts w:ascii="Times New Roman" w:hAnsi="Times New Roman" w:cs="Times New Roman"/>
          <w:sz w:val="28"/>
          <w:szCs w:val="28"/>
        </w:rPr>
        <w:t>, en atención al principio de instrumentalidad de las formas</w:t>
      </w:r>
      <w:r w:rsidRPr="00EE2FA1">
        <w:rPr>
          <w:rFonts w:ascii="Times New Roman" w:hAnsi="Times New Roman" w:cs="Times New Roman"/>
          <w:sz w:val="28"/>
          <w:szCs w:val="28"/>
        </w:rPr>
        <w:t xml:space="preserve"> que orien</w:t>
      </w:r>
      <w:r w:rsidRPr="00EE2FA1">
        <w:rPr>
          <w:rFonts w:ascii="Times New Roman" w:hAnsi="Times New Roman" w:cs="Times New Roman"/>
          <w:sz w:val="28"/>
          <w:szCs w:val="28"/>
        </w:rPr>
        <w:t xml:space="preserve">ta el proceso legislativo y el postulado </w:t>
      </w:r>
      <w:r w:rsidRPr="00EE2FA1">
        <w:rPr>
          <w:rFonts w:ascii="Times New Roman" w:hAnsi="Times New Roman" w:cs="Times New Roman"/>
          <w:i/>
          <w:iCs/>
          <w:sz w:val="28"/>
          <w:szCs w:val="28"/>
        </w:rPr>
        <w:t>pro legislatore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fue convalidado y subsanado</w:t>
      </w:r>
      <w:r w:rsidRPr="00EE2FA1">
        <w:rPr>
          <w:rFonts w:ascii="Times New Roman" w:hAnsi="Times New Roman" w:cs="Times New Roman"/>
          <w:sz w:val="28"/>
          <w:szCs w:val="28"/>
        </w:rPr>
        <w:t xml:space="preserve"> por el Congreso de la República</w:t>
      </w:r>
      <w:r w:rsidRPr="00EE2FA1">
        <w:rPr>
          <w:rFonts w:ascii="Times New Roman" w:hAnsi="Times New Roman" w:cs="Times New Roman"/>
          <w:sz w:val="28"/>
          <w:szCs w:val="28"/>
        </w:rPr>
        <w:t xml:space="preserve">. </w:t>
      </w:r>
    </w:p>
    <w:p w:rsidR="00B70BAB" w:rsidRPr="00EE2FA1" w:rsidRDefault="00EE2FA1" w:rsidP="00C833B9">
      <w:pPr>
        <w:pStyle w:val="Prrafodelista"/>
        <w:spacing w:line="0" w:lineRule="atLeast"/>
        <w:ind w:left="0"/>
        <w:jc w:val="both"/>
        <w:rPr>
          <w:rFonts w:ascii="Times New Roman" w:hAnsi="Times New Roman" w:cs="Times New Roman"/>
          <w:sz w:val="28"/>
          <w:szCs w:val="28"/>
        </w:rPr>
      </w:pPr>
    </w:p>
    <w:p w:rsidR="00B70BAB" w:rsidRPr="00EE2FA1" w:rsidRDefault="00EE2FA1" w:rsidP="00C833B9">
      <w:pPr>
        <w:pStyle w:val="Prrafodelista"/>
        <w:tabs>
          <w:tab w:val="left" w:pos="284"/>
        </w:tabs>
        <w:spacing w:line="0" w:lineRule="atLeast"/>
        <w:ind w:left="0"/>
        <w:jc w:val="both"/>
        <w:rPr>
          <w:rFonts w:ascii="Times New Roman" w:hAnsi="Times New Roman" w:cs="Times New Roman"/>
          <w:iCs/>
          <w:sz w:val="28"/>
          <w:szCs w:val="28"/>
          <w:lang w:eastAsia="es-ES"/>
        </w:rPr>
      </w:pPr>
      <w:r w:rsidRPr="00EE2FA1">
        <w:rPr>
          <w:rFonts w:ascii="Times New Roman" w:hAnsi="Times New Roman" w:cs="Times New Roman"/>
          <w:sz w:val="28"/>
          <w:szCs w:val="28"/>
        </w:rPr>
        <w:t xml:space="preserve">El segundo cargo consistió en el supuesto desconocimiento de </w:t>
      </w:r>
      <w:r w:rsidRPr="00EE2FA1">
        <w:rPr>
          <w:rFonts w:ascii="Times New Roman" w:hAnsi="Times New Roman" w:cs="Times New Roman"/>
          <w:bCs/>
          <w:sz w:val="28"/>
          <w:szCs w:val="28"/>
          <w:lang w:val="es-ES_tradnl"/>
        </w:rPr>
        <w:t xml:space="preserve">los artículos 157.2 superior y </w:t>
      </w:r>
      <w:r w:rsidRPr="00EE2FA1">
        <w:rPr>
          <w:rFonts w:ascii="Times New Roman" w:hAnsi="Times New Roman" w:cs="Times New Roman"/>
          <w:sz w:val="28"/>
          <w:szCs w:val="28"/>
        </w:rPr>
        <w:t xml:space="preserve">111, 112, 115, 160 y 162 </w:t>
      </w:r>
      <w:r w:rsidRPr="00EE2FA1">
        <w:rPr>
          <w:rFonts w:ascii="Times New Roman" w:hAnsi="Times New Roman" w:cs="Times New Roman"/>
          <w:bCs/>
          <w:sz w:val="28"/>
          <w:szCs w:val="28"/>
          <w:lang w:val="es-ES_tradnl"/>
        </w:rPr>
        <w:t>de la Ley 5ª de 19</w:t>
      </w:r>
      <w:r w:rsidRPr="00EE2FA1">
        <w:rPr>
          <w:rFonts w:ascii="Times New Roman" w:hAnsi="Times New Roman" w:cs="Times New Roman"/>
          <w:bCs/>
          <w:sz w:val="28"/>
          <w:szCs w:val="28"/>
          <w:lang w:val="es-ES_tradnl"/>
        </w:rPr>
        <w:t xml:space="preserve">92, porque los artículos demandados se habrían aprobado sin que se debatieran y votaran </w:t>
      </w:r>
      <w:r w:rsidRPr="00EE2FA1">
        <w:rPr>
          <w:rFonts w:ascii="Times New Roman" w:hAnsi="Times New Roman" w:cs="Times New Roman"/>
          <w:bCs/>
          <w:sz w:val="28"/>
          <w:szCs w:val="28"/>
          <w:lang w:val="es-ES_tradnl"/>
        </w:rPr>
        <w:t xml:space="preserve">dos </w:t>
      </w:r>
      <w:r w:rsidRPr="00EE2FA1">
        <w:rPr>
          <w:rFonts w:ascii="Times New Roman" w:hAnsi="Times New Roman" w:cs="Times New Roman"/>
          <w:bCs/>
          <w:sz w:val="28"/>
          <w:szCs w:val="28"/>
          <w:lang w:val="es-ES_tradnl"/>
        </w:rPr>
        <w:t xml:space="preserve">proposiciones modificativas de </w:t>
      </w:r>
      <w:r w:rsidRPr="00EE2FA1">
        <w:rPr>
          <w:rFonts w:ascii="Times New Roman" w:hAnsi="Times New Roman" w:cs="Times New Roman"/>
          <w:bCs/>
          <w:sz w:val="28"/>
          <w:szCs w:val="28"/>
          <w:lang w:val="es-ES_tradnl"/>
        </w:rPr>
        <w:t>los mismos</w:t>
      </w:r>
      <w:r w:rsidRPr="00EE2FA1">
        <w:rPr>
          <w:rFonts w:ascii="Times New Roman" w:hAnsi="Times New Roman" w:cs="Times New Roman"/>
          <w:bCs/>
          <w:sz w:val="28"/>
          <w:szCs w:val="28"/>
          <w:lang w:val="es-ES_tradnl"/>
        </w:rPr>
        <w:t>, presentadas por congresistas de partidos minoritarios y que no fueron retiradas ni dejadas como constancia</w:t>
      </w:r>
      <w:r w:rsidRPr="00EE2FA1">
        <w:rPr>
          <w:rFonts w:ascii="Times New Roman" w:hAnsi="Times New Roman" w:cs="Times New Roman"/>
          <w:bCs/>
          <w:sz w:val="28"/>
          <w:szCs w:val="28"/>
          <w:lang w:val="es-ES_tradnl"/>
        </w:rPr>
        <w:t>s</w:t>
      </w:r>
      <w:r w:rsidRPr="00EE2FA1">
        <w:rPr>
          <w:rFonts w:ascii="Times New Roman" w:hAnsi="Times New Roman" w:cs="Times New Roman"/>
          <w:bCs/>
          <w:sz w:val="28"/>
          <w:szCs w:val="28"/>
          <w:lang w:val="es-ES_tradnl"/>
        </w:rPr>
        <w:t xml:space="preserve"> por sus autores. La Sala Plena concluyó que este vicio no se presentó en el trámite del proyecto de ley que dio lugar a la Ley 2277 de 2022. En particular, se verificó que en el debate en las comisiones conjuntas hubo una </w:t>
      </w:r>
      <w:r w:rsidRPr="00EE2FA1">
        <w:rPr>
          <w:rFonts w:ascii="Times New Roman" w:hAnsi="Times New Roman" w:cs="Times New Roman"/>
          <w:sz w:val="28"/>
          <w:szCs w:val="28"/>
        </w:rPr>
        <w:t>solicitud del coordinador ponente</w:t>
      </w:r>
      <w:r w:rsidRPr="00EE2FA1">
        <w:rPr>
          <w:rFonts w:ascii="Times New Roman" w:hAnsi="Times New Roman" w:cs="Times New Roman"/>
          <w:sz w:val="28"/>
          <w:szCs w:val="28"/>
        </w:rPr>
        <w:t xml:space="preserve"> en cuanto que las proposiciones sobre el bloque de artículos en el que se encontraban las disposiciones demandadas, fueran dejadas como constancias y esto fue avalado por los integrantes de las comisiones terceras conjuntas, incluidos los autores de varia</w:t>
      </w:r>
      <w:r w:rsidRPr="00EE2FA1">
        <w:rPr>
          <w:rFonts w:ascii="Times New Roman" w:hAnsi="Times New Roman" w:cs="Times New Roman"/>
          <w:sz w:val="28"/>
          <w:szCs w:val="28"/>
        </w:rPr>
        <w:t xml:space="preserve">s de las proposiciones que sustentaron el reproche de la demandante. Además, la Corte </w:t>
      </w:r>
      <w:r w:rsidRPr="00EE2FA1">
        <w:rPr>
          <w:rFonts w:ascii="Times New Roman" w:hAnsi="Times New Roman" w:cs="Times New Roman"/>
          <w:sz w:val="28"/>
          <w:szCs w:val="28"/>
        </w:rPr>
        <w:t xml:space="preserve">señaló </w:t>
      </w:r>
      <w:r w:rsidRPr="00EE2FA1">
        <w:rPr>
          <w:rFonts w:ascii="Times New Roman" w:hAnsi="Times New Roman" w:cs="Times New Roman"/>
          <w:sz w:val="28"/>
          <w:szCs w:val="28"/>
        </w:rPr>
        <w:t xml:space="preserve">que no podría entenderse configurada esa irregularidad, en tanto los autores de las proposiciones que no </w:t>
      </w:r>
      <w:r w:rsidRPr="00EE2FA1">
        <w:rPr>
          <w:rFonts w:ascii="Times New Roman" w:hAnsi="Times New Roman" w:cs="Times New Roman"/>
          <w:sz w:val="28"/>
          <w:szCs w:val="28"/>
        </w:rPr>
        <w:t xml:space="preserve">estuviesen </w:t>
      </w:r>
      <w:r w:rsidRPr="00EE2FA1">
        <w:rPr>
          <w:rFonts w:ascii="Times New Roman" w:hAnsi="Times New Roman" w:cs="Times New Roman"/>
          <w:sz w:val="28"/>
          <w:szCs w:val="28"/>
        </w:rPr>
        <w:t>de acuerdo con</w:t>
      </w:r>
      <w:r w:rsidRPr="00EE2FA1">
        <w:rPr>
          <w:rFonts w:ascii="Times New Roman" w:hAnsi="Times New Roman" w:cs="Times New Roman"/>
          <w:sz w:val="28"/>
          <w:szCs w:val="28"/>
        </w:rPr>
        <w:t xml:space="preserve"> que fueran tramitadas como</w:t>
      </w:r>
      <w:r w:rsidRPr="00EE2FA1">
        <w:rPr>
          <w:rFonts w:ascii="Times New Roman" w:hAnsi="Times New Roman" w:cs="Times New Roman"/>
          <w:sz w:val="28"/>
          <w:szCs w:val="28"/>
        </w:rPr>
        <w:t xml:space="preserve"> const</w:t>
      </w:r>
      <w:r w:rsidRPr="00EE2FA1">
        <w:rPr>
          <w:rFonts w:ascii="Times New Roman" w:hAnsi="Times New Roman" w:cs="Times New Roman"/>
          <w:sz w:val="28"/>
          <w:szCs w:val="28"/>
        </w:rPr>
        <w:t>ancia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no aplicaron la diligencia necesaria para garantizar que se sometiera</w:t>
      </w:r>
      <w:r w:rsidRPr="00EE2FA1">
        <w:rPr>
          <w:rFonts w:ascii="Times New Roman" w:hAnsi="Times New Roman" w:cs="Times New Roman"/>
          <w:sz w:val="28"/>
          <w:szCs w:val="28"/>
        </w:rPr>
        <w:t>n</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aquellas </w:t>
      </w:r>
      <w:r w:rsidRPr="00EE2FA1">
        <w:rPr>
          <w:rFonts w:ascii="Times New Roman" w:hAnsi="Times New Roman" w:cs="Times New Roman"/>
          <w:sz w:val="28"/>
          <w:szCs w:val="28"/>
        </w:rPr>
        <w:t>a debate y votación</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si ese era su propósito.</w:t>
      </w:r>
    </w:p>
    <w:p w:rsidR="00B70BAB" w:rsidRPr="00EE2FA1" w:rsidRDefault="00EE2FA1" w:rsidP="00C833B9">
      <w:pPr>
        <w:pStyle w:val="Prrafodelista"/>
        <w:tabs>
          <w:tab w:val="left" w:pos="284"/>
        </w:tabs>
        <w:spacing w:line="0" w:lineRule="atLeast"/>
        <w:ind w:left="0"/>
        <w:jc w:val="both"/>
        <w:rPr>
          <w:rFonts w:ascii="Times New Roman" w:hAnsi="Times New Roman" w:cs="Times New Roman"/>
          <w:iCs/>
          <w:sz w:val="28"/>
          <w:szCs w:val="28"/>
          <w:lang w:eastAsia="es-ES"/>
        </w:rPr>
      </w:pPr>
    </w:p>
    <w:p w:rsidR="00B70BAB" w:rsidRPr="00EE2FA1" w:rsidRDefault="00EE2FA1" w:rsidP="00C833B9">
      <w:pPr>
        <w:pStyle w:val="Prrafodelista"/>
        <w:tabs>
          <w:tab w:val="left" w:pos="284"/>
        </w:tabs>
        <w:spacing w:line="0" w:lineRule="atLeast"/>
        <w:ind w:left="0"/>
        <w:jc w:val="both"/>
        <w:rPr>
          <w:rFonts w:ascii="Times New Roman" w:hAnsi="Times New Roman" w:cs="Times New Roman"/>
          <w:iCs/>
          <w:sz w:val="28"/>
          <w:szCs w:val="28"/>
          <w:lang w:eastAsia="es-ES"/>
        </w:rPr>
      </w:pPr>
      <w:r w:rsidRPr="00EE2FA1">
        <w:rPr>
          <w:rFonts w:ascii="Times New Roman" w:hAnsi="Times New Roman" w:cs="Times New Roman"/>
          <w:iCs/>
          <w:sz w:val="28"/>
          <w:szCs w:val="28"/>
          <w:lang w:eastAsia="es-ES"/>
        </w:rPr>
        <w:t xml:space="preserve">El tercer cargo formulado se refirió a la supuesta violación de </w:t>
      </w:r>
      <w:r w:rsidRPr="00EE2FA1">
        <w:rPr>
          <w:rFonts w:ascii="Times New Roman" w:hAnsi="Times New Roman" w:cs="Times New Roman"/>
          <w:bCs/>
          <w:sz w:val="28"/>
          <w:szCs w:val="28"/>
        </w:rPr>
        <w:t xml:space="preserve">los artículos </w:t>
      </w:r>
      <w:r w:rsidRPr="00EE2FA1">
        <w:rPr>
          <w:rFonts w:ascii="Times New Roman" w:hAnsi="Times New Roman" w:cs="Times New Roman"/>
          <w:sz w:val="28"/>
          <w:szCs w:val="28"/>
        </w:rPr>
        <w:t>134, 158 y 173 de la Ley 5ª de 1992 al habe</w:t>
      </w:r>
      <w:r w:rsidRPr="00EE2FA1">
        <w:rPr>
          <w:rFonts w:ascii="Times New Roman" w:hAnsi="Times New Roman" w:cs="Times New Roman"/>
          <w:sz w:val="28"/>
          <w:szCs w:val="28"/>
        </w:rPr>
        <w:t xml:space="preserve">rse </w:t>
      </w:r>
      <w:r w:rsidRPr="00EE2FA1">
        <w:rPr>
          <w:rFonts w:ascii="Times New Roman" w:hAnsi="Times New Roman" w:cs="Times New Roman"/>
          <w:bCs/>
          <w:sz w:val="28"/>
          <w:szCs w:val="28"/>
        </w:rPr>
        <w:t xml:space="preserve">votado </w:t>
      </w:r>
      <w:r w:rsidRPr="00EE2FA1">
        <w:rPr>
          <w:rFonts w:ascii="Times New Roman" w:hAnsi="Times New Roman" w:cs="Times New Roman"/>
          <w:bCs/>
          <w:sz w:val="28"/>
          <w:szCs w:val="28"/>
        </w:rPr>
        <w:t xml:space="preserve">las normas demandadas </w:t>
      </w:r>
      <w:r w:rsidRPr="00EE2FA1">
        <w:rPr>
          <w:rFonts w:ascii="Times New Roman" w:hAnsi="Times New Roman" w:cs="Times New Roman"/>
          <w:bCs/>
          <w:sz w:val="28"/>
          <w:szCs w:val="28"/>
        </w:rPr>
        <w:t>en</w:t>
      </w:r>
      <w:r w:rsidRPr="00EE2FA1">
        <w:rPr>
          <w:rFonts w:ascii="Times New Roman" w:hAnsi="Times New Roman" w:cs="Times New Roman"/>
          <w:bCs/>
          <w:sz w:val="28"/>
          <w:szCs w:val="28"/>
        </w:rPr>
        <w:t xml:space="preserve"> un</w:t>
      </w:r>
      <w:r w:rsidRPr="00EE2FA1">
        <w:rPr>
          <w:rFonts w:ascii="Times New Roman" w:hAnsi="Times New Roman" w:cs="Times New Roman"/>
          <w:bCs/>
          <w:sz w:val="28"/>
          <w:szCs w:val="28"/>
        </w:rPr>
        <w:t xml:space="preserve"> bloque </w:t>
      </w:r>
      <w:r w:rsidRPr="00EE2FA1">
        <w:rPr>
          <w:rFonts w:ascii="Times New Roman" w:hAnsi="Times New Roman" w:cs="Times New Roman"/>
          <w:bCs/>
          <w:sz w:val="28"/>
          <w:szCs w:val="28"/>
        </w:rPr>
        <w:t>de artículos</w:t>
      </w:r>
      <w:r w:rsidRPr="00EE2FA1">
        <w:rPr>
          <w:rFonts w:ascii="Times New Roman" w:hAnsi="Times New Roman" w:cs="Times New Roman"/>
          <w:bCs/>
          <w:sz w:val="28"/>
          <w:szCs w:val="28"/>
        </w:rPr>
        <w:t xml:space="preserve"> en primer debate sin cumplir los requisitos previstos para ello. Para resolver </w:t>
      </w:r>
      <w:r w:rsidRPr="00EE2FA1">
        <w:rPr>
          <w:rFonts w:ascii="Times New Roman" w:hAnsi="Times New Roman" w:cs="Times New Roman"/>
          <w:bCs/>
          <w:sz w:val="28"/>
          <w:szCs w:val="28"/>
        </w:rPr>
        <w:t>esta censura</w:t>
      </w:r>
      <w:r w:rsidRPr="00EE2FA1">
        <w:rPr>
          <w:rFonts w:ascii="Times New Roman" w:hAnsi="Times New Roman" w:cs="Times New Roman"/>
          <w:bCs/>
          <w:sz w:val="28"/>
          <w:szCs w:val="28"/>
        </w:rPr>
        <w:t>, la Corte recordó que es el artículo 134 del Reglamento del Congreso</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la norma especial que regula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votación por partes de los proyectos de ley. Además, la Sentencia C-044 de 2015 fija parámetros para que la decisión discrecional de la mesa directiva de optar por la votación en bloque no se torne arbitraria. A partir del trámite que se adelantó para adop</w:t>
      </w:r>
      <w:r w:rsidRPr="00EE2FA1">
        <w:rPr>
          <w:rFonts w:ascii="Times New Roman" w:hAnsi="Times New Roman" w:cs="Times New Roman"/>
          <w:sz w:val="28"/>
          <w:szCs w:val="28"/>
        </w:rPr>
        <w:t>tar la decisión de votar en bloque el articulado, la Sala Plena estimó que se cumplieron las exigencias jurisprudenciales para que esa decisión se tomara en forma adecuada. Lo anterior, porque (i) la mesa directiva otorgó oportunidad para exponer los argum</w:t>
      </w:r>
      <w:r w:rsidRPr="00EE2FA1">
        <w:rPr>
          <w:rFonts w:ascii="Times New Roman" w:hAnsi="Times New Roman" w:cs="Times New Roman"/>
          <w:sz w:val="28"/>
          <w:szCs w:val="28"/>
        </w:rPr>
        <w:t>entos a favor o en contra de la propuesta de votación por partes, antes de la votación de la proposición al respecto, (ii) no hubo consenso acerca de votarse en bloque</w:t>
      </w:r>
      <w:r w:rsidRPr="00EE2FA1">
        <w:rPr>
          <w:rFonts w:ascii="Times New Roman" w:hAnsi="Times New Roman" w:cs="Times New Roman"/>
          <w:sz w:val="28"/>
          <w:szCs w:val="28"/>
        </w:rPr>
        <w:t xml:space="preserve"> y</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finalmente, (iii) no se desconocieron las garantías de la votación por artículo, pues</w:t>
      </w:r>
      <w:r w:rsidRPr="00EE2FA1">
        <w:rPr>
          <w:rFonts w:ascii="Times New Roman" w:hAnsi="Times New Roman" w:cs="Times New Roman"/>
          <w:sz w:val="28"/>
          <w:szCs w:val="28"/>
        </w:rPr>
        <w:t xml:space="preserve">to que se demostró que durante el debate en sesiones conjuntas </w:t>
      </w:r>
      <w:r w:rsidRPr="00EE2FA1">
        <w:rPr>
          <w:rFonts w:ascii="Times New Roman" w:hAnsi="Times New Roman" w:cs="Times New Roman"/>
          <w:sz w:val="28"/>
          <w:szCs w:val="28"/>
        </w:rPr>
        <w:t>se consideraron</w:t>
      </w:r>
      <w:r w:rsidRPr="00EE2FA1">
        <w:rPr>
          <w:rFonts w:ascii="Times New Roman" w:hAnsi="Times New Roman" w:cs="Times New Roman"/>
          <w:sz w:val="28"/>
          <w:szCs w:val="28"/>
        </w:rPr>
        <w:t xml:space="preserve"> proposiciones por parte de los congresistas</w:t>
      </w:r>
      <w:r w:rsidRPr="00EE2FA1">
        <w:rPr>
          <w:rFonts w:ascii="Times New Roman" w:hAnsi="Times New Roman" w:cs="Times New Roman"/>
          <w:sz w:val="28"/>
          <w:szCs w:val="28"/>
        </w:rPr>
        <w:t xml:space="preserve"> que tenían observaciones a algunos artículos pero no se pidió por ello votación separada, sino que se dejaron como constancia,</w:t>
      </w:r>
      <w:r w:rsidRPr="00EE2FA1">
        <w:rPr>
          <w:rFonts w:ascii="Times New Roman" w:hAnsi="Times New Roman" w:cs="Times New Roman"/>
          <w:sz w:val="28"/>
          <w:szCs w:val="28"/>
        </w:rPr>
        <w:t xml:space="preserve"> y no s</w:t>
      </w:r>
      <w:r w:rsidRPr="00EE2FA1">
        <w:rPr>
          <w:rFonts w:ascii="Times New Roman" w:hAnsi="Times New Roman" w:cs="Times New Roman"/>
          <w:sz w:val="28"/>
          <w:szCs w:val="28"/>
        </w:rPr>
        <w:t>e afectó la finalidad de la votación individualizada</w:t>
      </w:r>
      <w:r w:rsidRPr="00EE2FA1">
        <w:rPr>
          <w:rFonts w:ascii="Times New Roman" w:hAnsi="Times New Roman" w:cs="Times New Roman"/>
          <w:sz w:val="28"/>
          <w:szCs w:val="28"/>
        </w:rPr>
        <w:t xml:space="preserve">. </w:t>
      </w:r>
    </w:p>
    <w:p w:rsidR="00B70BAB" w:rsidRPr="00EE2FA1" w:rsidRDefault="00EE2FA1" w:rsidP="00C833B9">
      <w:pPr>
        <w:pStyle w:val="Prrafodelista"/>
        <w:spacing w:line="0" w:lineRule="atLeast"/>
        <w:ind w:left="0"/>
        <w:jc w:val="both"/>
        <w:rPr>
          <w:rFonts w:ascii="Times New Roman" w:hAnsi="Times New Roman" w:cs="Times New Roman"/>
          <w:iCs/>
          <w:sz w:val="28"/>
          <w:szCs w:val="28"/>
          <w:lang w:eastAsia="es-ES"/>
        </w:rPr>
      </w:pPr>
    </w:p>
    <w:p w:rsidR="00B70BAB" w:rsidRPr="00EE2FA1" w:rsidRDefault="00EE2FA1" w:rsidP="00C833B9">
      <w:pPr>
        <w:pStyle w:val="Prrafodelista"/>
        <w:tabs>
          <w:tab w:val="left" w:pos="284"/>
        </w:tabs>
        <w:spacing w:line="0" w:lineRule="atLeast"/>
        <w:ind w:left="0"/>
        <w:jc w:val="both"/>
        <w:rPr>
          <w:rFonts w:ascii="Times New Roman" w:hAnsi="Times New Roman" w:cs="Times New Roman"/>
          <w:sz w:val="28"/>
          <w:szCs w:val="28"/>
          <w:lang w:val="es-ES"/>
        </w:rPr>
      </w:pPr>
      <w:r w:rsidRPr="00EE2FA1">
        <w:rPr>
          <w:rFonts w:ascii="Times New Roman" w:hAnsi="Times New Roman" w:cs="Times New Roman"/>
          <w:iCs/>
          <w:sz w:val="28"/>
          <w:szCs w:val="28"/>
          <w:lang w:eastAsia="es-ES"/>
        </w:rPr>
        <w:t xml:space="preserve">Los cargos cuarto y quinto de la demanda eran de carácter material y </w:t>
      </w:r>
      <w:r w:rsidRPr="00EE2FA1">
        <w:rPr>
          <w:rFonts w:ascii="Times New Roman" w:hAnsi="Times New Roman" w:cs="Times New Roman"/>
          <w:iCs/>
          <w:sz w:val="28"/>
          <w:szCs w:val="28"/>
          <w:lang w:eastAsia="es-ES"/>
        </w:rPr>
        <w:t xml:space="preserve">estaban </w:t>
      </w:r>
      <w:r w:rsidRPr="00EE2FA1">
        <w:rPr>
          <w:rFonts w:ascii="Times New Roman" w:hAnsi="Times New Roman" w:cs="Times New Roman"/>
          <w:iCs/>
          <w:sz w:val="28"/>
          <w:szCs w:val="28"/>
          <w:lang w:eastAsia="es-ES"/>
        </w:rPr>
        <w:t>dirigidos únicamente contra el parágrafo 3.°</w:t>
      </w:r>
      <w:r w:rsidRPr="00EE2FA1">
        <w:rPr>
          <w:rFonts w:ascii="Times New Roman" w:hAnsi="Times New Roman" w:cs="Times New Roman"/>
          <w:iCs/>
          <w:sz w:val="28"/>
          <w:szCs w:val="28"/>
          <w:lang w:eastAsia="es-ES"/>
        </w:rPr>
        <w:t xml:space="preserve"> (parcial)</w:t>
      </w:r>
      <w:r w:rsidRPr="00EE2FA1">
        <w:rPr>
          <w:rFonts w:ascii="Times New Roman" w:hAnsi="Times New Roman" w:cs="Times New Roman"/>
          <w:iCs/>
          <w:sz w:val="28"/>
          <w:szCs w:val="28"/>
          <w:lang w:eastAsia="es-ES"/>
        </w:rPr>
        <w:t xml:space="preserve"> del artículo 240 del Estatuto Tributario, modificado por el artículo</w:t>
      </w:r>
      <w:r w:rsidRPr="00EE2FA1">
        <w:rPr>
          <w:rFonts w:ascii="Times New Roman" w:hAnsi="Times New Roman" w:cs="Times New Roman"/>
          <w:iCs/>
          <w:sz w:val="28"/>
          <w:szCs w:val="28"/>
          <w:lang w:eastAsia="es-ES"/>
        </w:rPr>
        <w:t xml:space="preserve"> 10 de la Ley 2277 de 2022. Por una parte, l</w:t>
      </w:r>
      <w:r w:rsidRPr="00EE2FA1">
        <w:rPr>
          <w:rFonts w:ascii="Times New Roman" w:hAnsi="Times New Roman" w:cs="Times New Roman"/>
          <w:sz w:val="28"/>
          <w:szCs w:val="28"/>
          <w:lang w:val="es-ES"/>
        </w:rPr>
        <w:t>a demandante sost</w:t>
      </w:r>
      <w:r w:rsidRPr="00EE2FA1">
        <w:rPr>
          <w:rFonts w:ascii="Times New Roman" w:hAnsi="Times New Roman" w:cs="Times New Roman"/>
          <w:sz w:val="28"/>
          <w:szCs w:val="28"/>
          <w:lang w:val="es-ES"/>
        </w:rPr>
        <w:t xml:space="preserve">uvo </w:t>
      </w:r>
      <w:r w:rsidRPr="00EE2FA1">
        <w:rPr>
          <w:rFonts w:ascii="Times New Roman" w:hAnsi="Times New Roman" w:cs="Times New Roman"/>
          <w:sz w:val="28"/>
          <w:szCs w:val="28"/>
          <w:lang w:val="es-ES"/>
        </w:rPr>
        <w:t xml:space="preserve">que el apartado demandado contradice la prohibición de retroactividad y retrospectividad de la ley tributaria, prevista en los artículos 338 y 363 de la Constitución. A </w:t>
      </w:r>
      <w:r w:rsidRPr="00EE2FA1">
        <w:rPr>
          <w:rFonts w:ascii="Times New Roman" w:hAnsi="Times New Roman" w:cs="Times New Roman"/>
          <w:sz w:val="28"/>
          <w:szCs w:val="28"/>
          <w:lang w:val="es-ES"/>
        </w:rPr>
        <w:t xml:space="preserve">su </w:t>
      </w:r>
      <w:r w:rsidRPr="00EE2FA1">
        <w:rPr>
          <w:rFonts w:ascii="Times New Roman" w:hAnsi="Times New Roman" w:cs="Times New Roman"/>
          <w:sz w:val="28"/>
          <w:szCs w:val="28"/>
          <w:lang w:val="es-ES"/>
        </w:rPr>
        <w:t>juicio, esa disposi</w:t>
      </w:r>
      <w:r w:rsidRPr="00EE2FA1">
        <w:rPr>
          <w:rFonts w:ascii="Times New Roman" w:hAnsi="Times New Roman" w:cs="Times New Roman"/>
          <w:sz w:val="28"/>
          <w:szCs w:val="28"/>
          <w:lang w:val="es-ES"/>
        </w:rPr>
        <w:t>ción impone tributos aplicables en el mismo año en que entra a regir la ley y se aplica al año gravable ya transcurrido</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y </w:t>
      </w:r>
      <w:r w:rsidRPr="00EE2FA1">
        <w:rPr>
          <w:rFonts w:ascii="Times New Roman" w:hAnsi="Times New Roman" w:cs="Times New Roman"/>
          <w:sz w:val="28"/>
          <w:szCs w:val="28"/>
          <w:lang w:val="es-ES"/>
        </w:rPr>
        <w:t xml:space="preserve">establece </w:t>
      </w:r>
      <w:r w:rsidRPr="00EE2FA1">
        <w:rPr>
          <w:rFonts w:ascii="Times New Roman" w:hAnsi="Times New Roman" w:cs="Times New Roman"/>
          <w:sz w:val="28"/>
          <w:szCs w:val="28"/>
          <w:lang w:val="es-ES"/>
        </w:rPr>
        <w:t xml:space="preserve">que los sujetos pasivos del sobrecargo solo pueden conocer uno de los elementos esenciales de la tarifa luego de finalizar </w:t>
      </w:r>
      <w:r w:rsidRPr="00EE2FA1">
        <w:rPr>
          <w:rFonts w:ascii="Times New Roman" w:hAnsi="Times New Roman" w:cs="Times New Roman"/>
          <w:sz w:val="28"/>
          <w:szCs w:val="28"/>
          <w:lang w:val="es-ES"/>
        </w:rPr>
        <w:t>el período gravable respectivo. Lo anterior, pues los puntos porcentuales de la sobretasa se definen cada año, pero se aplican a la renta líquida gravable del año inmediatamente anterior.</w:t>
      </w:r>
    </w:p>
    <w:p w:rsidR="00D425AF" w:rsidRPr="00EE2FA1" w:rsidRDefault="00EE2FA1" w:rsidP="00C833B9">
      <w:pPr>
        <w:pStyle w:val="Prrafodelista"/>
        <w:tabs>
          <w:tab w:val="left" w:pos="284"/>
        </w:tabs>
        <w:spacing w:line="0" w:lineRule="atLeast"/>
        <w:ind w:left="0"/>
        <w:jc w:val="both"/>
        <w:rPr>
          <w:rFonts w:ascii="Times New Roman" w:hAnsi="Times New Roman" w:cs="Times New Roman"/>
          <w:sz w:val="28"/>
          <w:szCs w:val="28"/>
          <w:lang w:val="es-ES"/>
        </w:rPr>
      </w:pPr>
    </w:p>
    <w:p w:rsidR="00B70BAB" w:rsidRPr="00EE2FA1" w:rsidRDefault="00EE2FA1" w:rsidP="00C833B9">
      <w:pPr>
        <w:pStyle w:val="Prrafodelista"/>
        <w:tabs>
          <w:tab w:val="left" w:pos="284"/>
        </w:tabs>
        <w:spacing w:line="0" w:lineRule="atLeast"/>
        <w:ind w:left="0"/>
        <w:jc w:val="both"/>
        <w:rPr>
          <w:rFonts w:ascii="Times New Roman" w:hAnsi="Times New Roman" w:cs="Times New Roman"/>
          <w:sz w:val="28"/>
          <w:szCs w:val="28"/>
          <w:lang w:eastAsia="es-ES"/>
        </w:rPr>
      </w:pPr>
      <w:r w:rsidRPr="00EE2FA1">
        <w:rPr>
          <w:rFonts w:ascii="Times New Roman" w:hAnsi="Times New Roman" w:cs="Times New Roman"/>
          <w:bCs/>
          <w:sz w:val="28"/>
          <w:szCs w:val="28"/>
          <w:lang w:val="es-ES_tradnl"/>
        </w:rPr>
        <w:t>Por otro lado, la parte actora señaló que esa disposición también d</w:t>
      </w:r>
      <w:r w:rsidRPr="00EE2FA1">
        <w:rPr>
          <w:rFonts w:ascii="Times New Roman" w:hAnsi="Times New Roman" w:cs="Times New Roman"/>
          <w:bCs/>
          <w:sz w:val="28"/>
          <w:szCs w:val="28"/>
          <w:lang w:val="es-ES_tradnl"/>
        </w:rPr>
        <w:t>esconoce los principios de justicia, equidad e igualdad tributarias, al no tener en cuenta la capacidad contributiva de las compañías de la industria del petróleo y tratarlas de manera discriminatoria</w:t>
      </w:r>
      <w:r w:rsidRPr="00EE2FA1">
        <w:rPr>
          <w:rFonts w:ascii="Times New Roman" w:hAnsi="Times New Roman" w:cs="Times New Roman"/>
          <w:bCs/>
          <w:sz w:val="28"/>
          <w:szCs w:val="28"/>
          <w:lang w:val="es-ES_tradnl"/>
        </w:rPr>
        <w:t xml:space="preserve"> frente a otras empresas gravadas con renta</w:t>
      </w:r>
      <w:r w:rsidRPr="00EE2FA1">
        <w:rPr>
          <w:rFonts w:ascii="Times New Roman" w:hAnsi="Times New Roman" w:cs="Times New Roman"/>
          <w:bCs/>
          <w:sz w:val="28"/>
          <w:szCs w:val="28"/>
          <w:lang w:val="es-ES_tradnl"/>
        </w:rPr>
        <w:t>. Lo anterior</w:t>
      </w:r>
      <w:r w:rsidRPr="00EE2FA1">
        <w:rPr>
          <w:rFonts w:ascii="Times New Roman" w:hAnsi="Times New Roman" w:cs="Times New Roman"/>
          <w:bCs/>
          <w:sz w:val="28"/>
          <w:szCs w:val="28"/>
          <w:lang w:val="es-ES_tradnl"/>
        </w:rPr>
        <w:t xml:space="preserve">, al contemplar que los puntos porcentuales adicionales no obedecen a la renta líquida de los contribuyentes, sino a un factor externo, </w:t>
      </w:r>
      <w:r w:rsidRPr="00EE2FA1">
        <w:rPr>
          <w:rFonts w:ascii="Times New Roman" w:hAnsi="Times New Roman" w:cs="Times New Roman"/>
          <w:bCs/>
          <w:sz w:val="28"/>
          <w:szCs w:val="28"/>
          <w:lang w:val="es-ES_tradnl"/>
        </w:rPr>
        <w:t>que corresponde a</w:t>
      </w:r>
      <w:r w:rsidRPr="00EE2FA1">
        <w:rPr>
          <w:rFonts w:ascii="Times New Roman" w:hAnsi="Times New Roman" w:cs="Times New Roman"/>
          <w:bCs/>
          <w:sz w:val="28"/>
          <w:szCs w:val="28"/>
          <w:lang w:val="es-ES_tradnl"/>
        </w:rPr>
        <w:t xml:space="preserve"> los precios del crudo. Por lo tanto, la tarifa no se basa en la capacidad contributiva de los sujetos </w:t>
      </w:r>
      <w:r w:rsidRPr="00EE2FA1">
        <w:rPr>
          <w:rFonts w:ascii="Times New Roman" w:hAnsi="Times New Roman" w:cs="Times New Roman"/>
          <w:bCs/>
          <w:sz w:val="28"/>
          <w:szCs w:val="28"/>
          <w:lang w:val="es-ES_tradnl"/>
        </w:rPr>
        <w:t>pasivos, sino en su pertenencia a un grupo</w:t>
      </w:r>
      <w:r w:rsidRPr="00EE2FA1">
        <w:rPr>
          <w:rFonts w:ascii="Times New Roman" w:hAnsi="Times New Roman" w:cs="Times New Roman"/>
          <w:bCs/>
          <w:sz w:val="28"/>
          <w:szCs w:val="28"/>
          <w:lang w:val="es-ES_tradnl"/>
        </w:rPr>
        <w:t xml:space="preserve">, aplicando un tributo de carácter </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estrangulador</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w:t>
      </w:r>
    </w:p>
    <w:p w:rsidR="00B70BAB" w:rsidRPr="00EE2FA1" w:rsidRDefault="00EE2FA1" w:rsidP="00C833B9">
      <w:pPr>
        <w:pStyle w:val="Prrafodelista"/>
        <w:spacing w:line="0" w:lineRule="atLeast"/>
        <w:ind w:left="0"/>
        <w:jc w:val="both"/>
        <w:rPr>
          <w:rFonts w:ascii="Times New Roman" w:hAnsi="Times New Roman" w:cs="Times New Roman"/>
          <w:sz w:val="28"/>
          <w:szCs w:val="28"/>
          <w:lang w:eastAsia="es-ES"/>
        </w:rPr>
      </w:pPr>
    </w:p>
    <w:p w:rsidR="00B70BAB" w:rsidRPr="00EE2FA1" w:rsidRDefault="00EE2FA1" w:rsidP="00C833B9">
      <w:pPr>
        <w:pStyle w:val="Prrafodelista"/>
        <w:tabs>
          <w:tab w:val="left" w:pos="284"/>
        </w:tabs>
        <w:spacing w:line="0" w:lineRule="atLeast"/>
        <w:ind w:left="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eastAsia="es-ES"/>
        </w:rPr>
        <w:t>En relación con el cuarto cargo, la Sala Plena</w:t>
      </w:r>
      <w:r w:rsidRPr="00EE2FA1">
        <w:rPr>
          <w:rFonts w:ascii="Times New Roman" w:hAnsi="Times New Roman" w:cs="Times New Roman"/>
          <w:sz w:val="28"/>
          <w:szCs w:val="28"/>
          <w:lang w:eastAsia="es-ES"/>
        </w:rPr>
        <w:t xml:space="preserve"> encontró que la censura basada en la</w:t>
      </w:r>
      <w:r w:rsidRPr="00EE2FA1">
        <w:rPr>
          <w:rFonts w:ascii="Times New Roman" w:hAnsi="Times New Roman" w:cs="Times New Roman"/>
          <w:sz w:val="28"/>
          <w:szCs w:val="28"/>
          <w:lang w:eastAsia="es-ES"/>
        </w:rPr>
        <w:t xml:space="preserve"> vulneración de la</w:t>
      </w:r>
      <w:r w:rsidRPr="00EE2FA1">
        <w:rPr>
          <w:rFonts w:ascii="Times New Roman" w:hAnsi="Times New Roman" w:cs="Times New Roman"/>
          <w:sz w:val="28"/>
          <w:szCs w:val="28"/>
          <w:lang w:eastAsia="es-ES"/>
        </w:rPr>
        <w:t xml:space="preserve"> retrospectividad </w:t>
      </w:r>
      <w:r w:rsidRPr="00EE2FA1">
        <w:rPr>
          <w:rFonts w:ascii="Times New Roman" w:hAnsi="Times New Roman" w:cs="Times New Roman"/>
          <w:sz w:val="28"/>
          <w:szCs w:val="28"/>
          <w:lang w:eastAsia="es-ES"/>
        </w:rPr>
        <w:t xml:space="preserve">tributaria </w:t>
      </w:r>
      <w:r w:rsidRPr="00EE2FA1">
        <w:rPr>
          <w:rFonts w:ascii="Times New Roman" w:hAnsi="Times New Roman" w:cs="Times New Roman"/>
          <w:sz w:val="28"/>
          <w:szCs w:val="28"/>
          <w:lang w:eastAsia="es-ES"/>
        </w:rPr>
        <w:t>no era apta para generar un pr</w:t>
      </w:r>
      <w:r w:rsidRPr="00EE2FA1">
        <w:rPr>
          <w:rFonts w:ascii="Times New Roman" w:hAnsi="Times New Roman" w:cs="Times New Roman"/>
          <w:sz w:val="28"/>
          <w:szCs w:val="28"/>
          <w:lang w:eastAsia="es-ES"/>
        </w:rPr>
        <w:t>onunciamiento de fondo</w:t>
      </w:r>
      <w:r w:rsidRPr="00EE2FA1">
        <w:rPr>
          <w:rFonts w:ascii="Times New Roman" w:hAnsi="Times New Roman" w:cs="Times New Roman"/>
          <w:sz w:val="28"/>
          <w:szCs w:val="28"/>
          <w:lang w:eastAsia="es-ES"/>
        </w:rPr>
        <w:t xml:space="preserve"> por falta de</w:t>
      </w:r>
      <w:r w:rsidRPr="00EE2FA1">
        <w:rPr>
          <w:rFonts w:ascii="Times New Roman" w:hAnsi="Times New Roman" w:cs="Times New Roman"/>
          <w:sz w:val="28"/>
          <w:szCs w:val="28"/>
          <w:lang w:eastAsia="es-ES"/>
        </w:rPr>
        <w:t xml:space="preserve"> claridad, especificidad y</w:t>
      </w:r>
      <w:r w:rsidRPr="00EE2FA1">
        <w:rPr>
          <w:rFonts w:ascii="Times New Roman" w:hAnsi="Times New Roman" w:cs="Times New Roman"/>
          <w:sz w:val="28"/>
          <w:szCs w:val="28"/>
          <w:lang w:eastAsia="es-ES"/>
        </w:rPr>
        <w:t xml:space="preserve"> certeza. En concreto, porque</w:t>
      </w:r>
      <w:r w:rsidRPr="00EE2FA1">
        <w:rPr>
          <w:rFonts w:ascii="Times New Roman" w:hAnsi="Times New Roman" w:cs="Times New Roman"/>
          <w:sz w:val="28"/>
          <w:szCs w:val="28"/>
          <w:lang w:eastAsia="es-ES"/>
        </w:rPr>
        <w:t xml:space="preserve"> la argumentación presentada compartió similitudes con la censura por violación del principio de irretroactividad,</w:t>
      </w:r>
      <w:r w:rsidRPr="00EE2FA1">
        <w:rPr>
          <w:rFonts w:ascii="Times New Roman" w:hAnsi="Times New Roman" w:cs="Times New Roman"/>
          <w:sz w:val="28"/>
          <w:szCs w:val="28"/>
          <w:lang w:eastAsia="es-ES"/>
        </w:rPr>
        <w:t xml:space="preserve"> si bien refirió el artículo 338 de la Constitución no precisó las razones para comprender el parámetro de control sobre el principio de retrospectividad </w:t>
      </w:r>
      <w:r w:rsidRPr="00EE2FA1">
        <w:rPr>
          <w:rFonts w:ascii="Times New Roman" w:hAnsi="Times New Roman" w:cs="Times New Roman"/>
          <w:sz w:val="28"/>
          <w:szCs w:val="28"/>
          <w:lang w:eastAsia="es-ES"/>
        </w:rPr>
        <w:t>y</w:t>
      </w:r>
      <w:r w:rsidRPr="00EE2FA1">
        <w:rPr>
          <w:rFonts w:ascii="Times New Roman" w:hAnsi="Times New Roman" w:cs="Times New Roman"/>
          <w:sz w:val="28"/>
          <w:szCs w:val="28"/>
          <w:lang w:eastAsia="es-ES"/>
        </w:rPr>
        <w:t xml:space="preserve"> la estructura de la sobretarifa no prevé su aplicación a situaciones jurídicas en proceso de consoli</w:t>
      </w:r>
      <w:r w:rsidRPr="00EE2FA1">
        <w:rPr>
          <w:rFonts w:ascii="Times New Roman" w:hAnsi="Times New Roman" w:cs="Times New Roman"/>
          <w:sz w:val="28"/>
          <w:szCs w:val="28"/>
          <w:lang w:eastAsia="es-ES"/>
        </w:rPr>
        <w:t xml:space="preserve">dación. De otra parte, </w:t>
      </w:r>
      <w:r w:rsidRPr="00EE2FA1">
        <w:rPr>
          <w:rFonts w:ascii="Times New Roman" w:hAnsi="Times New Roman" w:cs="Times New Roman"/>
          <w:sz w:val="28"/>
          <w:szCs w:val="28"/>
          <w:lang w:eastAsia="es-ES"/>
        </w:rPr>
        <w:t xml:space="preserve"> </w:t>
      </w:r>
      <w:r w:rsidRPr="00EE2FA1">
        <w:rPr>
          <w:rFonts w:ascii="Times New Roman" w:hAnsi="Times New Roman" w:cs="Times New Roman"/>
          <w:sz w:val="28"/>
          <w:szCs w:val="28"/>
          <w:lang w:eastAsia="es-ES"/>
        </w:rPr>
        <w:t xml:space="preserve">analizó de fondo la censura basada en el presunto </w:t>
      </w:r>
      <w:r w:rsidRPr="00EE2FA1">
        <w:rPr>
          <w:rFonts w:ascii="Times New Roman" w:hAnsi="Times New Roman" w:cs="Times New Roman"/>
          <w:sz w:val="28"/>
          <w:szCs w:val="28"/>
          <w:lang w:eastAsia="es-ES"/>
        </w:rPr>
        <w:t>desconocimiento</w:t>
      </w:r>
      <w:r w:rsidRPr="00EE2FA1">
        <w:rPr>
          <w:rFonts w:ascii="Times New Roman" w:hAnsi="Times New Roman" w:cs="Times New Roman"/>
          <w:sz w:val="28"/>
          <w:szCs w:val="28"/>
          <w:lang w:eastAsia="es-ES"/>
        </w:rPr>
        <w:t xml:space="preserve"> de la </w:t>
      </w:r>
      <w:r w:rsidRPr="00EE2FA1">
        <w:rPr>
          <w:rFonts w:ascii="Times New Roman" w:hAnsi="Times New Roman" w:cs="Times New Roman"/>
          <w:sz w:val="28"/>
          <w:szCs w:val="28"/>
          <w:lang w:eastAsia="es-ES"/>
        </w:rPr>
        <w:t>irretroactividad</w:t>
      </w:r>
      <w:r w:rsidRPr="00EE2FA1">
        <w:rPr>
          <w:rFonts w:ascii="Times New Roman" w:hAnsi="Times New Roman" w:cs="Times New Roman"/>
          <w:sz w:val="28"/>
          <w:szCs w:val="28"/>
          <w:lang w:eastAsia="es-ES"/>
        </w:rPr>
        <w:t xml:space="preserve"> tributaria y </w:t>
      </w:r>
      <w:r w:rsidRPr="00EE2FA1">
        <w:rPr>
          <w:rFonts w:ascii="Times New Roman" w:eastAsia="Calibri" w:hAnsi="Times New Roman" w:cs="Times New Roman"/>
          <w:sz w:val="28"/>
          <w:szCs w:val="28"/>
          <w:lang w:eastAsia="es-ES"/>
        </w:rPr>
        <w:t>destacó que la sobret</w:t>
      </w:r>
      <w:r w:rsidRPr="00EE2FA1">
        <w:rPr>
          <w:rFonts w:ascii="Times New Roman" w:eastAsia="Calibri" w:hAnsi="Times New Roman" w:cs="Times New Roman"/>
          <w:sz w:val="28"/>
          <w:szCs w:val="28"/>
          <w:lang w:eastAsia="es-ES"/>
        </w:rPr>
        <w:t>arifa</w:t>
      </w:r>
      <w:r w:rsidRPr="00EE2FA1">
        <w:rPr>
          <w:rFonts w:ascii="Times New Roman" w:eastAsia="Calibri" w:hAnsi="Times New Roman" w:cs="Times New Roman"/>
          <w:sz w:val="28"/>
          <w:szCs w:val="28"/>
          <w:lang w:eastAsia="es-ES"/>
        </w:rPr>
        <w:t xml:space="preserve"> relacionada con la extracción de petróleo crudo </w:t>
      </w:r>
      <w:r w:rsidRPr="00EE2FA1">
        <w:rPr>
          <w:rFonts w:ascii="Times New Roman" w:eastAsia="Calibri" w:hAnsi="Times New Roman" w:cs="Times New Roman"/>
          <w:sz w:val="28"/>
          <w:szCs w:val="28"/>
          <w:lang w:eastAsia="es-ES"/>
        </w:rPr>
        <w:t>que consagra</w:t>
      </w:r>
      <w:r w:rsidRPr="00EE2FA1">
        <w:rPr>
          <w:rFonts w:ascii="Times New Roman" w:eastAsia="Calibri" w:hAnsi="Times New Roman" w:cs="Times New Roman"/>
          <w:sz w:val="28"/>
          <w:szCs w:val="28"/>
          <w:lang w:eastAsia="es-ES"/>
        </w:rPr>
        <w:t xml:space="preserve"> la norma acusada no prevé su aplicación a </w:t>
      </w:r>
      <w:r w:rsidRPr="00EE2FA1">
        <w:rPr>
          <w:rFonts w:ascii="Times New Roman" w:eastAsia="Calibri" w:hAnsi="Times New Roman" w:cs="Times New Roman"/>
          <w:sz w:val="28"/>
          <w:szCs w:val="28"/>
          <w:lang w:eastAsia="es-ES"/>
        </w:rPr>
        <w:t xml:space="preserve">un año gravable determinado y anterior a la vigencia de la ley. Por el contrario, la determinación del año gravable aplicable </w:t>
      </w:r>
      <w:r w:rsidRPr="00EE2FA1">
        <w:rPr>
          <w:rFonts w:ascii="Times New Roman" w:eastAsia="Calibri" w:hAnsi="Times New Roman" w:cs="Times New Roman"/>
          <w:sz w:val="28"/>
          <w:szCs w:val="28"/>
          <w:lang w:eastAsia="es-ES"/>
        </w:rPr>
        <w:t>corresponde al</w:t>
      </w:r>
      <w:r w:rsidRPr="00EE2FA1">
        <w:rPr>
          <w:rFonts w:ascii="Times New Roman" w:eastAsia="Calibri" w:hAnsi="Times New Roman" w:cs="Times New Roman"/>
          <w:sz w:val="28"/>
          <w:szCs w:val="28"/>
          <w:lang w:eastAsia="es-ES"/>
        </w:rPr>
        <w:t xml:space="preserve"> siguiente </w:t>
      </w:r>
      <w:r w:rsidRPr="00EE2FA1">
        <w:rPr>
          <w:rFonts w:ascii="Times New Roman" w:eastAsia="Calibri" w:hAnsi="Times New Roman" w:cs="Times New Roman"/>
          <w:sz w:val="28"/>
          <w:szCs w:val="28"/>
          <w:lang w:eastAsia="es-ES"/>
        </w:rPr>
        <w:t xml:space="preserve">al de </w:t>
      </w:r>
      <w:r w:rsidRPr="00EE2FA1">
        <w:rPr>
          <w:rFonts w:ascii="Times New Roman" w:eastAsia="Calibri" w:hAnsi="Times New Roman" w:cs="Times New Roman"/>
          <w:sz w:val="28"/>
          <w:szCs w:val="28"/>
          <w:lang w:eastAsia="es-ES"/>
        </w:rPr>
        <w:t>la entrada en vigor de la Ley 2277 de 2022</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y del contenido de la </w:t>
      </w:r>
      <w:r w:rsidRPr="00EE2FA1">
        <w:rPr>
          <w:rFonts w:ascii="Times New Roman" w:eastAsia="Calibri" w:hAnsi="Times New Roman" w:cs="Times New Roman"/>
          <w:sz w:val="28"/>
          <w:szCs w:val="28"/>
          <w:lang w:eastAsia="es-ES"/>
        </w:rPr>
        <w:t>norma</w:t>
      </w:r>
      <w:r w:rsidRPr="00EE2FA1">
        <w:rPr>
          <w:rFonts w:ascii="Times New Roman" w:eastAsia="Calibri" w:hAnsi="Times New Roman" w:cs="Times New Roman"/>
          <w:sz w:val="28"/>
          <w:szCs w:val="28"/>
          <w:lang w:eastAsia="es-ES"/>
        </w:rPr>
        <w:t xml:space="preserve"> examinada no se advierte qu</w:t>
      </w:r>
      <w:r w:rsidRPr="00EE2FA1">
        <w:rPr>
          <w:rFonts w:ascii="Times New Roman" w:eastAsia="Calibri" w:hAnsi="Times New Roman" w:cs="Times New Roman"/>
          <w:sz w:val="28"/>
          <w:szCs w:val="28"/>
          <w:lang w:eastAsia="es-ES"/>
        </w:rPr>
        <w:t xml:space="preserve">e esta disponga efectos sobre liquidaciones del impuesto de renta de años gravables anteriores o en curso al momento de </w:t>
      </w:r>
      <w:r w:rsidRPr="00EE2FA1">
        <w:rPr>
          <w:rFonts w:ascii="Times New Roman" w:eastAsia="Calibri" w:hAnsi="Times New Roman" w:cs="Times New Roman"/>
          <w:sz w:val="28"/>
          <w:szCs w:val="28"/>
          <w:lang w:eastAsia="es-ES"/>
        </w:rPr>
        <w:t>su</w:t>
      </w:r>
      <w:r w:rsidRPr="00EE2FA1">
        <w:rPr>
          <w:rFonts w:ascii="Times New Roman" w:eastAsia="Calibri" w:hAnsi="Times New Roman" w:cs="Times New Roman"/>
          <w:sz w:val="28"/>
          <w:szCs w:val="28"/>
          <w:lang w:eastAsia="es-ES"/>
        </w:rPr>
        <w:t xml:space="preserve"> entrada en vigor</w:t>
      </w:r>
      <w:r w:rsidRPr="00EE2FA1">
        <w:rPr>
          <w:rFonts w:ascii="Times New Roman" w:eastAsia="Calibri" w:hAnsi="Times New Roman" w:cs="Times New Roman"/>
          <w:sz w:val="28"/>
          <w:szCs w:val="28"/>
          <w:lang w:eastAsia="es-ES"/>
        </w:rPr>
        <w:t xml:space="preserve">. En este punto, la Sala encontró que el </w:t>
      </w:r>
      <w:r w:rsidRPr="00EE2FA1">
        <w:rPr>
          <w:rFonts w:ascii="Times New Roman" w:eastAsia="Calibri" w:hAnsi="Times New Roman" w:cs="Times New Roman"/>
          <w:sz w:val="28"/>
          <w:szCs w:val="28"/>
          <w:lang w:eastAsia="es-ES"/>
        </w:rPr>
        <w:t xml:space="preserve">legislador </w:t>
      </w:r>
      <w:r w:rsidRPr="00EE2FA1">
        <w:rPr>
          <w:rFonts w:ascii="Times New Roman" w:eastAsia="Calibri" w:hAnsi="Times New Roman" w:cs="Times New Roman"/>
          <w:sz w:val="28"/>
          <w:szCs w:val="28"/>
          <w:lang w:eastAsia="es-ES"/>
        </w:rPr>
        <w:t>estableció la base gravable y el método para determinar la tarifa</w:t>
      </w:r>
      <w:r w:rsidRPr="00EE2FA1">
        <w:rPr>
          <w:rFonts w:ascii="Times New Roman" w:eastAsia="Calibri" w:hAnsi="Times New Roman" w:cs="Times New Roman"/>
          <w:sz w:val="28"/>
          <w:szCs w:val="28"/>
          <w:lang w:eastAsia="es-ES"/>
        </w:rPr>
        <w:t xml:space="preserve">, todo lo anterior en el marco </w:t>
      </w:r>
      <w:r w:rsidRPr="00EE2FA1">
        <w:rPr>
          <w:rFonts w:ascii="Times New Roman" w:eastAsia="Calibri" w:hAnsi="Times New Roman" w:cs="Times New Roman"/>
          <w:sz w:val="28"/>
          <w:szCs w:val="28"/>
          <w:lang w:eastAsia="es-ES"/>
        </w:rPr>
        <w:t>del</w:t>
      </w:r>
      <w:r w:rsidRPr="00EE2FA1">
        <w:rPr>
          <w:rFonts w:ascii="Times New Roman" w:eastAsia="Calibri" w:hAnsi="Times New Roman" w:cs="Times New Roman"/>
          <w:sz w:val="28"/>
          <w:szCs w:val="28"/>
          <w:lang w:eastAsia="es-ES"/>
        </w:rPr>
        <w:t xml:space="preserve"> periodo fiscal en que se causa el impuesto de renta. </w:t>
      </w:r>
      <w:r w:rsidRPr="00EE2FA1">
        <w:rPr>
          <w:rFonts w:ascii="Times New Roman" w:eastAsia="Calibri" w:hAnsi="Times New Roman" w:cs="Times New Roman"/>
          <w:sz w:val="28"/>
          <w:szCs w:val="28"/>
          <w:lang w:eastAsia="es-ES"/>
        </w:rPr>
        <w:t>La aplicación de dicho método implica la actuación de una autoridad administrativa en enero de cada anualidad, con carácter meramente informativo, y a efectos de que se</w:t>
      </w:r>
      <w:r w:rsidRPr="00EE2FA1">
        <w:rPr>
          <w:rFonts w:ascii="Times New Roman" w:eastAsia="Calibri" w:hAnsi="Times New Roman" w:cs="Times New Roman"/>
          <w:sz w:val="28"/>
          <w:szCs w:val="28"/>
          <w:lang w:eastAsia="es-ES"/>
        </w:rPr>
        <w:t xml:space="preserve"> liquide </w:t>
      </w:r>
      <w:r w:rsidRPr="00EE2FA1">
        <w:rPr>
          <w:rFonts w:ascii="Times New Roman" w:eastAsia="Calibri" w:hAnsi="Times New Roman" w:cs="Times New Roman"/>
          <w:sz w:val="28"/>
          <w:szCs w:val="28"/>
          <w:lang w:eastAsia="es-ES"/>
        </w:rPr>
        <w:t>el impuesto que ya se causó</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con base en el </w:t>
      </w:r>
      <w:r w:rsidRPr="00EE2FA1">
        <w:rPr>
          <w:rFonts w:ascii="Times New Roman" w:eastAsia="Calibri" w:hAnsi="Times New Roman" w:cs="Times New Roman"/>
          <w:sz w:val="28"/>
          <w:szCs w:val="28"/>
          <w:lang w:eastAsia="es-ES"/>
        </w:rPr>
        <w:t xml:space="preserve">criterio </w:t>
      </w:r>
      <w:r w:rsidRPr="00EE2FA1">
        <w:rPr>
          <w:rFonts w:ascii="Times New Roman" w:eastAsia="Calibri" w:hAnsi="Times New Roman" w:cs="Times New Roman"/>
          <w:sz w:val="28"/>
          <w:szCs w:val="28"/>
          <w:lang w:eastAsia="es-ES"/>
        </w:rPr>
        <w:t>fijado por el legislador y la realidad económica del respectivo periodo de causación</w:t>
      </w:r>
      <w:r w:rsidRPr="00EE2FA1">
        <w:rPr>
          <w:rFonts w:ascii="Times New Roman" w:eastAsia="Calibri" w:hAnsi="Times New Roman" w:cs="Times New Roman"/>
          <w:sz w:val="28"/>
          <w:szCs w:val="28"/>
          <w:lang w:eastAsia="es-ES"/>
        </w:rPr>
        <w:t xml:space="preserve"> y de periodos anteriores, lo cual ha sido pacíficamente admitido por la jurisprudencia constitucional</w:t>
      </w:r>
      <w:r w:rsidRPr="00EE2FA1">
        <w:rPr>
          <w:rFonts w:ascii="Times New Roman" w:eastAsia="Calibri" w:hAnsi="Times New Roman" w:cs="Times New Roman"/>
          <w:sz w:val="28"/>
          <w:szCs w:val="28"/>
          <w:lang w:eastAsia="es-ES"/>
        </w:rPr>
        <w:t>. Esta c</w:t>
      </w:r>
      <w:r w:rsidRPr="00EE2FA1">
        <w:rPr>
          <w:rFonts w:ascii="Times New Roman" w:eastAsia="Calibri" w:hAnsi="Times New Roman" w:cs="Times New Roman"/>
          <w:sz w:val="28"/>
          <w:szCs w:val="28"/>
          <w:lang w:eastAsia="es-ES"/>
        </w:rPr>
        <w:t>ircunstancia descart</w:t>
      </w:r>
      <w:r w:rsidRPr="00EE2FA1">
        <w:rPr>
          <w:rFonts w:ascii="Times New Roman" w:eastAsia="Calibri" w:hAnsi="Times New Roman" w:cs="Times New Roman"/>
          <w:sz w:val="28"/>
          <w:szCs w:val="28"/>
          <w:lang w:eastAsia="es-ES"/>
        </w:rPr>
        <w:t>ó</w:t>
      </w:r>
      <w:r w:rsidRPr="00EE2FA1">
        <w:rPr>
          <w:rFonts w:ascii="Times New Roman" w:eastAsia="Calibri" w:hAnsi="Times New Roman" w:cs="Times New Roman"/>
          <w:sz w:val="28"/>
          <w:szCs w:val="28"/>
          <w:lang w:eastAsia="es-ES"/>
        </w:rPr>
        <w:t xml:space="preserve"> la afectación de situaciones jurídicas consolidadas</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que suponga la infracción de la prohibición de irretroactividad</w:t>
      </w:r>
      <w:r w:rsidRPr="00EE2FA1">
        <w:rPr>
          <w:rFonts w:ascii="Times New Roman" w:eastAsia="Calibri" w:hAnsi="Times New Roman" w:cs="Times New Roman"/>
          <w:sz w:val="28"/>
          <w:szCs w:val="28"/>
          <w:lang w:eastAsia="es-ES"/>
        </w:rPr>
        <w:t xml:space="preserve">. </w:t>
      </w:r>
    </w:p>
    <w:p w:rsidR="00B70BAB" w:rsidRPr="00EE2FA1" w:rsidRDefault="00EE2FA1" w:rsidP="00C833B9">
      <w:pPr>
        <w:pStyle w:val="Prrafodelista"/>
        <w:tabs>
          <w:tab w:val="left" w:pos="284"/>
        </w:tabs>
        <w:spacing w:line="0" w:lineRule="atLeast"/>
        <w:ind w:left="0"/>
        <w:jc w:val="both"/>
        <w:rPr>
          <w:rFonts w:ascii="Times New Roman" w:hAnsi="Times New Roman" w:cs="Times New Roman"/>
          <w:sz w:val="28"/>
          <w:szCs w:val="28"/>
          <w:lang w:eastAsia="es-ES"/>
        </w:rPr>
      </w:pPr>
    </w:p>
    <w:p w:rsidR="009F31B2" w:rsidRPr="00EE2FA1" w:rsidRDefault="00EE2FA1" w:rsidP="00C833B9">
      <w:pPr>
        <w:pStyle w:val="Prrafodelista"/>
        <w:tabs>
          <w:tab w:val="left" w:pos="284"/>
        </w:tabs>
        <w:spacing w:line="0" w:lineRule="atLeast"/>
        <w:ind w:left="0"/>
        <w:jc w:val="both"/>
        <w:rPr>
          <w:rFonts w:ascii="Times New Roman" w:eastAsia="Calibri" w:hAnsi="Times New Roman" w:cs="Times New Roman"/>
          <w:sz w:val="28"/>
          <w:szCs w:val="28"/>
        </w:rPr>
      </w:pPr>
      <w:r w:rsidRPr="00EE2FA1">
        <w:rPr>
          <w:rFonts w:ascii="Times New Roman" w:hAnsi="Times New Roman" w:cs="Times New Roman"/>
          <w:sz w:val="28"/>
          <w:szCs w:val="28"/>
          <w:lang w:eastAsia="es-ES"/>
        </w:rPr>
        <w:t xml:space="preserve">En cuanto al quinto cargo, </w:t>
      </w:r>
      <w:r w:rsidRPr="00EE2FA1">
        <w:rPr>
          <w:rFonts w:ascii="Times New Roman" w:eastAsia="Calibri" w:hAnsi="Times New Roman" w:cs="Times New Roman"/>
          <w:sz w:val="28"/>
          <w:szCs w:val="28"/>
        </w:rPr>
        <w:t xml:space="preserve">la Corte consideró </w:t>
      </w:r>
      <w:r w:rsidRPr="00EE2FA1">
        <w:rPr>
          <w:rFonts w:ascii="Times New Roman" w:eastAsia="Calibri" w:hAnsi="Times New Roman" w:cs="Times New Roman"/>
          <w:sz w:val="28"/>
          <w:szCs w:val="28"/>
        </w:rPr>
        <w:t xml:space="preserve">que la censura fundada en el desconocimiento de la igualdad y la </w:t>
      </w:r>
      <w:r w:rsidRPr="00EE2FA1">
        <w:rPr>
          <w:rFonts w:ascii="Times New Roman" w:eastAsia="Calibri" w:hAnsi="Times New Roman" w:cs="Times New Roman"/>
          <w:sz w:val="28"/>
          <w:szCs w:val="28"/>
        </w:rPr>
        <w:t>equidad tributaria</w:t>
      </w:r>
      <w:r w:rsidRPr="00EE2FA1">
        <w:rPr>
          <w:rFonts w:ascii="Times New Roman" w:eastAsia="Calibri" w:hAnsi="Times New Roman" w:cs="Times New Roman"/>
          <w:sz w:val="28"/>
          <w:szCs w:val="28"/>
        </w:rPr>
        <w:t xml:space="preserve"> </w:t>
      </w:r>
      <w:r w:rsidRPr="00EE2FA1">
        <w:rPr>
          <w:rFonts w:ascii="Times New Roman" w:eastAsia="Calibri" w:hAnsi="Times New Roman" w:cs="Times New Roman"/>
          <w:sz w:val="28"/>
          <w:szCs w:val="28"/>
        </w:rPr>
        <w:t xml:space="preserve">no era apta para generar un pronunciamiento de fondo por falta de especificidad y suficiencia. En concreto, la demanda no acreditó </w:t>
      </w:r>
      <w:r w:rsidRPr="00EE2FA1">
        <w:rPr>
          <w:rFonts w:ascii="Times New Roman" w:eastAsia="Calibri" w:hAnsi="Times New Roman" w:cs="Times New Roman"/>
          <w:sz w:val="28"/>
          <w:szCs w:val="28"/>
        </w:rPr>
        <w:t>que</w:t>
      </w:r>
      <w:r w:rsidRPr="00EE2FA1">
        <w:rPr>
          <w:rFonts w:ascii="Times New Roman" w:eastAsia="Calibri" w:hAnsi="Times New Roman" w:cs="Times New Roman"/>
          <w:sz w:val="28"/>
          <w:szCs w:val="28"/>
        </w:rPr>
        <w:t xml:space="preserve"> los grupos identificados en la demanda </w:t>
      </w:r>
      <w:r w:rsidRPr="00EE2FA1">
        <w:rPr>
          <w:rFonts w:ascii="Times New Roman" w:eastAsia="Calibri" w:hAnsi="Times New Roman" w:cs="Times New Roman"/>
          <w:sz w:val="28"/>
          <w:szCs w:val="28"/>
        </w:rPr>
        <w:t>fu</w:t>
      </w:r>
      <w:r w:rsidRPr="00EE2FA1">
        <w:rPr>
          <w:rFonts w:ascii="Times New Roman" w:eastAsia="Calibri" w:hAnsi="Times New Roman" w:cs="Times New Roman"/>
          <w:sz w:val="28"/>
          <w:szCs w:val="28"/>
        </w:rPr>
        <w:t>eran comparables</w:t>
      </w:r>
      <w:r w:rsidRPr="00EE2FA1">
        <w:rPr>
          <w:rFonts w:ascii="Times New Roman" w:eastAsia="Calibri" w:hAnsi="Times New Roman" w:cs="Times New Roman"/>
          <w:sz w:val="28"/>
          <w:szCs w:val="28"/>
        </w:rPr>
        <w:t>,</w:t>
      </w:r>
      <w:r w:rsidRPr="00EE2FA1">
        <w:rPr>
          <w:rFonts w:ascii="Times New Roman" w:eastAsia="Calibri" w:hAnsi="Times New Roman" w:cs="Times New Roman"/>
          <w:sz w:val="28"/>
          <w:szCs w:val="28"/>
        </w:rPr>
        <w:t xml:space="preserve"> </w:t>
      </w:r>
      <w:r w:rsidRPr="00EE2FA1">
        <w:rPr>
          <w:rFonts w:ascii="Times New Roman" w:eastAsia="Calibri" w:hAnsi="Times New Roman" w:cs="Times New Roman"/>
          <w:sz w:val="28"/>
          <w:szCs w:val="28"/>
        </w:rPr>
        <w:t xml:space="preserve">por cuanto </w:t>
      </w:r>
      <w:r w:rsidRPr="00EE2FA1">
        <w:rPr>
          <w:rFonts w:ascii="Times New Roman" w:eastAsia="Calibri" w:hAnsi="Times New Roman" w:cs="Times New Roman"/>
          <w:sz w:val="28"/>
          <w:szCs w:val="28"/>
        </w:rPr>
        <w:t>no identificó las razones por la</w:t>
      </w:r>
      <w:r w:rsidRPr="00EE2FA1">
        <w:rPr>
          <w:rFonts w:ascii="Times New Roman" w:eastAsia="Calibri" w:hAnsi="Times New Roman" w:cs="Times New Roman"/>
          <w:sz w:val="28"/>
          <w:szCs w:val="28"/>
        </w:rPr>
        <w:t xml:space="preserve">s que los obligados con </w:t>
      </w:r>
      <w:r w:rsidRPr="00EE2FA1">
        <w:rPr>
          <w:rFonts w:ascii="Times New Roman" w:eastAsia="Calibri" w:hAnsi="Times New Roman" w:cs="Times New Roman"/>
          <w:sz w:val="28"/>
          <w:szCs w:val="28"/>
        </w:rPr>
        <w:t>la sobretarifa</w:t>
      </w:r>
      <w:r w:rsidRPr="00EE2FA1">
        <w:rPr>
          <w:rFonts w:ascii="Times New Roman" w:eastAsia="Calibri" w:hAnsi="Times New Roman" w:cs="Times New Roman"/>
          <w:sz w:val="28"/>
          <w:szCs w:val="28"/>
        </w:rPr>
        <w:t xml:space="preserve"> y el resto de contribuyentes del impuesto de renta </w:t>
      </w:r>
      <w:r w:rsidRPr="00EE2FA1">
        <w:rPr>
          <w:rFonts w:ascii="Times New Roman" w:eastAsia="Calibri" w:hAnsi="Times New Roman" w:cs="Times New Roman"/>
          <w:sz w:val="28"/>
          <w:szCs w:val="28"/>
        </w:rPr>
        <w:t xml:space="preserve">compartan </w:t>
      </w:r>
      <w:r w:rsidRPr="00EE2FA1">
        <w:rPr>
          <w:rFonts w:ascii="Times New Roman" w:eastAsia="Calibri" w:hAnsi="Times New Roman" w:cs="Times New Roman"/>
          <w:sz w:val="28"/>
          <w:szCs w:val="28"/>
        </w:rPr>
        <w:t xml:space="preserve">similitudes y </w:t>
      </w:r>
      <w:r w:rsidRPr="00EE2FA1">
        <w:rPr>
          <w:rFonts w:ascii="Times New Roman" w:eastAsia="Calibri" w:hAnsi="Times New Roman" w:cs="Times New Roman"/>
          <w:sz w:val="28"/>
          <w:szCs w:val="28"/>
        </w:rPr>
        <w:t xml:space="preserve">deban </w:t>
      </w:r>
      <w:r w:rsidRPr="00EE2FA1">
        <w:rPr>
          <w:rFonts w:ascii="Times New Roman" w:eastAsia="Calibri" w:hAnsi="Times New Roman" w:cs="Times New Roman"/>
          <w:sz w:val="28"/>
          <w:szCs w:val="28"/>
        </w:rPr>
        <w:t>ser destinatarios de un tratamiento fiscal igual.</w:t>
      </w:r>
      <w:r w:rsidRPr="00EE2FA1">
        <w:rPr>
          <w:rFonts w:ascii="Times New Roman" w:eastAsia="Calibri" w:hAnsi="Times New Roman" w:cs="Times New Roman"/>
          <w:sz w:val="28"/>
          <w:szCs w:val="28"/>
        </w:rPr>
        <w:t xml:space="preserve"> De otra parte, en relación con el reproche por justicia y equidad tributaria, la Corte Constitucional consideró que la sobretarifa s</w:t>
      </w:r>
      <w:r w:rsidRPr="00EE2FA1">
        <w:rPr>
          <w:rFonts w:ascii="Times New Roman" w:eastAsia="Calibri" w:hAnsi="Times New Roman" w:cs="Times New Roman"/>
          <w:sz w:val="28"/>
          <w:szCs w:val="28"/>
        </w:rPr>
        <w:t>í</w:t>
      </w:r>
      <w:r w:rsidRPr="00EE2FA1">
        <w:rPr>
          <w:rFonts w:ascii="Times New Roman" w:eastAsia="Calibri" w:hAnsi="Times New Roman" w:cs="Times New Roman"/>
          <w:sz w:val="28"/>
          <w:szCs w:val="28"/>
        </w:rPr>
        <w:t xml:space="preserve"> consultó la capacidad contributiva de los sujetos pasivos</w:t>
      </w:r>
      <w:r w:rsidRPr="00EE2FA1">
        <w:rPr>
          <w:rFonts w:ascii="Times New Roman" w:eastAsia="Calibri" w:hAnsi="Times New Roman" w:cs="Times New Roman"/>
          <w:sz w:val="28"/>
          <w:szCs w:val="28"/>
        </w:rPr>
        <w:t xml:space="preserve"> porque: i) </w:t>
      </w:r>
      <w:r w:rsidRPr="00EE2FA1">
        <w:rPr>
          <w:rFonts w:ascii="Times New Roman" w:eastAsia="Calibri" w:hAnsi="Times New Roman" w:cs="Times New Roman"/>
          <w:sz w:val="28"/>
          <w:szCs w:val="28"/>
        </w:rPr>
        <w:t>está sustentada en la renta l</w:t>
      </w:r>
      <w:r w:rsidRPr="00EE2FA1">
        <w:rPr>
          <w:rFonts w:ascii="Times New Roman" w:eastAsia="Calibri" w:hAnsi="Times New Roman" w:cs="Times New Roman"/>
          <w:sz w:val="28"/>
          <w:szCs w:val="28"/>
        </w:rPr>
        <w:t>í</w:t>
      </w:r>
      <w:r w:rsidRPr="00EE2FA1">
        <w:rPr>
          <w:rFonts w:ascii="Times New Roman" w:eastAsia="Calibri" w:hAnsi="Times New Roman" w:cs="Times New Roman"/>
          <w:sz w:val="28"/>
          <w:szCs w:val="28"/>
        </w:rPr>
        <w:t>quida</w:t>
      </w:r>
      <w:r w:rsidRPr="00EE2FA1">
        <w:rPr>
          <w:rFonts w:ascii="Times New Roman" w:eastAsia="Calibri" w:hAnsi="Times New Roman" w:cs="Times New Roman"/>
          <w:sz w:val="28"/>
          <w:szCs w:val="28"/>
        </w:rPr>
        <w:t xml:space="preserve"> de los contribuy</w:t>
      </w:r>
      <w:r w:rsidRPr="00EE2FA1">
        <w:rPr>
          <w:rFonts w:ascii="Times New Roman" w:eastAsia="Calibri" w:hAnsi="Times New Roman" w:cs="Times New Roman"/>
          <w:sz w:val="28"/>
          <w:szCs w:val="28"/>
        </w:rPr>
        <w:t xml:space="preserve">entes; ii) se establecieron tarifas progresivas y </w:t>
      </w:r>
      <w:r w:rsidRPr="00EE2FA1">
        <w:rPr>
          <w:rFonts w:ascii="Times New Roman" w:eastAsia="Calibri" w:hAnsi="Times New Roman" w:cs="Times New Roman"/>
          <w:sz w:val="28"/>
          <w:szCs w:val="28"/>
        </w:rPr>
        <w:t>i</w:t>
      </w:r>
      <w:r w:rsidRPr="00EE2FA1">
        <w:rPr>
          <w:rFonts w:ascii="Times New Roman" w:eastAsia="Calibri" w:hAnsi="Times New Roman" w:cs="Times New Roman"/>
          <w:sz w:val="28"/>
          <w:szCs w:val="28"/>
        </w:rPr>
        <w:t>ii) la arquitectura de la medida contiene elementos y criterios de fijación de la tarifa sensibles a la realidad económica del sector.</w:t>
      </w:r>
      <w:r w:rsidRPr="00EE2FA1">
        <w:rPr>
          <w:rFonts w:ascii="Times New Roman" w:eastAsia="Calibri" w:hAnsi="Times New Roman" w:cs="Times New Roman"/>
          <w:sz w:val="28"/>
          <w:szCs w:val="28"/>
        </w:rPr>
        <w:t xml:space="preserve"> </w:t>
      </w:r>
      <w:r w:rsidRPr="00EE2FA1">
        <w:rPr>
          <w:rFonts w:ascii="Times New Roman" w:eastAsia="Calibri" w:hAnsi="Times New Roman" w:cs="Times New Roman"/>
          <w:sz w:val="28"/>
          <w:szCs w:val="28"/>
        </w:rPr>
        <w:t>E</w:t>
      </w:r>
      <w:r w:rsidRPr="00EE2FA1">
        <w:rPr>
          <w:rFonts w:ascii="Times New Roman" w:eastAsia="Calibri" w:hAnsi="Times New Roman" w:cs="Times New Roman"/>
          <w:sz w:val="28"/>
          <w:szCs w:val="28"/>
        </w:rPr>
        <w:t>n consecuencia</w:t>
      </w:r>
      <w:r w:rsidRPr="00EE2FA1">
        <w:rPr>
          <w:rFonts w:ascii="Times New Roman" w:eastAsia="Calibri" w:hAnsi="Times New Roman" w:cs="Times New Roman"/>
          <w:sz w:val="28"/>
          <w:szCs w:val="28"/>
        </w:rPr>
        <w:t>,</w:t>
      </w:r>
      <w:r w:rsidRPr="00EE2FA1">
        <w:rPr>
          <w:rFonts w:ascii="Times New Roman" w:eastAsia="Calibri" w:hAnsi="Times New Roman" w:cs="Times New Roman"/>
          <w:sz w:val="28"/>
          <w:szCs w:val="28"/>
        </w:rPr>
        <w:t xml:space="preserve"> la norma acusada es exequible</w:t>
      </w:r>
      <w:r w:rsidRPr="00EE2FA1">
        <w:rPr>
          <w:rFonts w:ascii="Times New Roman" w:eastAsia="Calibri" w:hAnsi="Times New Roman" w:cs="Times New Roman"/>
          <w:sz w:val="28"/>
          <w:szCs w:val="28"/>
        </w:rPr>
        <w:t xml:space="preserve"> por esta censura</w:t>
      </w:r>
      <w:r w:rsidRPr="00EE2FA1">
        <w:rPr>
          <w:rFonts w:ascii="Times New Roman" w:eastAsia="Calibri" w:hAnsi="Times New Roman" w:cs="Times New Roman"/>
          <w:sz w:val="28"/>
          <w:szCs w:val="28"/>
        </w:rPr>
        <w:t xml:space="preserve">. </w:t>
      </w:r>
    </w:p>
    <w:p w:rsidR="007C31BF" w:rsidRPr="00EE2FA1" w:rsidRDefault="00EE2FA1" w:rsidP="00C833B9">
      <w:pPr>
        <w:pStyle w:val="Prrafodelista"/>
        <w:tabs>
          <w:tab w:val="left" w:pos="284"/>
        </w:tabs>
        <w:spacing w:line="0" w:lineRule="atLeast"/>
        <w:ind w:left="0"/>
        <w:jc w:val="both"/>
        <w:rPr>
          <w:rFonts w:ascii="Times New Roman" w:eastAsia="Calibri" w:hAnsi="Times New Roman" w:cs="Times New Roman"/>
          <w:sz w:val="28"/>
          <w:szCs w:val="28"/>
          <w:lang w:eastAsia="es-ES"/>
        </w:rPr>
      </w:pPr>
    </w:p>
    <w:p w:rsidR="007C31BF" w:rsidRPr="00EE2FA1" w:rsidRDefault="00EE2FA1" w:rsidP="007C31BF">
      <w:pPr>
        <w:pStyle w:val="Prrafodelista"/>
        <w:tabs>
          <w:tab w:val="left" w:pos="284"/>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Por</w:t>
      </w:r>
      <w:r w:rsidRPr="00EE2FA1">
        <w:rPr>
          <w:rFonts w:ascii="Times New Roman" w:eastAsia="Calibri" w:hAnsi="Times New Roman" w:cs="Times New Roman"/>
          <w:sz w:val="28"/>
          <w:szCs w:val="28"/>
          <w:lang w:eastAsia="es-ES"/>
        </w:rPr>
        <w:t xml:space="preserve"> lo anterior, </w:t>
      </w:r>
      <w:r w:rsidRPr="00EE2FA1">
        <w:rPr>
          <w:rFonts w:ascii="Times New Roman" w:eastAsia="Calibri" w:hAnsi="Times New Roman" w:cs="Times New Roman"/>
          <w:sz w:val="28"/>
          <w:szCs w:val="28"/>
          <w:lang w:eastAsia="es-ES"/>
        </w:rPr>
        <w:t xml:space="preserve">la Corte Constitucional </w:t>
      </w:r>
      <w:r w:rsidRPr="00EE2FA1">
        <w:rPr>
          <w:rFonts w:ascii="Times New Roman" w:eastAsia="Calibri" w:hAnsi="Times New Roman" w:cs="Times New Roman"/>
          <w:sz w:val="28"/>
          <w:szCs w:val="28"/>
          <w:lang w:eastAsia="es-ES"/>
        </w:rPr>
        <w:t>resolvió declarar</w:t>
      </w:r>
      <w:r w:rsidRPr="00EE2FA1">
        <w:rPr>
          <w:rFonts w:ascii="Times New Roman" w:eastAsia="Calibri" w:hAnsi="Times New Roman" w:cs="Times New Roman"/>
          <w:sz w:val="28"/>
          <w:szCs w:val="28"/>
          <w:lang w:eastAsia="es-ES"/>
        </w:rPr>
        <w:t>se inhibida para pronunciarse sobre las censuras por desconocimiento de la retrospectividad tributaria y los principios de igualdad y equidad tributaria contra</w:t>
      </w:r>
      <w:r w:rsidRPr="00EE2FA1">
        <w:rPr>
          <w:rFonts w:ascii="Times New Roman" w:eastAsia="Calibri" w:hAnsi="Times New Roman" w:cs="Times New Roman"/>
          <w:sz w:val="28"/>
          <w:szCs w:val="28"/>
          <w:lang w:eastAsia="es-ES"/>
        </w:rPr>
        <w:t xml:space="preserve"> </w:t>
      </w:r>
      <w:r w:rsidRPr="00EE2FA1">
        <w:rPr>
          <w:rFonts w:ascii="Times New Roman" w:hAnsi="Times New Roman" w:cs="Times New Roman"/>
          <w:sz w:val="28"/>
          <w:szCs w:val="28"/>
        </w:rPr>
        <w:t xml:space="preserve">el parágrafo 3.° (parcial) del artículo </w:t>
      </w:r>
      <w:r w:rsidRPr="00EE2FA1">
        <w:rPr>
          <w:rFonts w:ascii="Times New Roman" w:hAnsi="Times New Roman" w:cs="Times New Roman"/>
          <w:sz w:val="28"/>
          <w:szCs w:val="28"/>
        </w:rPr>
        <w:t>240. De igual manera, declaró</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exequibles, por los cargos analizados</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hAnsi="Times New Roman" w:cs="Times New Roman"/>
          <w:sz w:val="28"/>
          <w:szCs w:val="28"/>
        </w:rPr>
        <w:t>el parágrafo 3.° (parcial) del artículo 240 y el artículo 115 del Estatuto Tributario, modificados por los artículos 10.° y 19 de la Ley 2277 de 2022, respectivamente</w:t>
      </w:r>
      <w:r w:rsidRPr="00EE2FA1">
        <w:rPr>
          <w:rFonts w:ascii="Times New Roman" w:hAnsi="Times New Roman" w:cs="Times New Roman"/>
          <w:sz w:val="28"/>
          <w:szCs w:val="28"/>
        </w:rPr>
        <w:t>, excepto el parágraf</w:t>
      </w:r>
      <w:r w:rsidRPr="00EE2FA1">
        <w:rPr>
          <w:rFonts w:ascii="Times New Roman" w:hAnsi="Times New Roman" w:cs="Times New Roman"/>
          <w:sz w:val="28"/>
          <w:szCs w:val="28"/>
        </w:rPr>
        <w:t>o 1° del artículo 19 de la Ley 2277 de 2022, que fue declarado inexequible en la Sentencia C-489 de 2023</w:t>
      </w:r>
      <w:r w:rsidRPr="00EE2FA1">
        <w:rPr>
          <w:rFonts w:ascii="Times New Roman" w:hAnsi="Times New Roman" w:cs="Times New Roman"/>
          <w:bCs/>
          <w:sz w:val="28"/>
          <w:szCs w:val="28"/>
        </w:rPr>
        <w:t>.</w:t>
      </w:r>
    </w:p>
    <w:p w:rsidR="00B70BAB" w:rsidRPr="00EE2FA1" w:rsidRDefault="00EE2FA1" w:rsidP="00C833B9">
      <w:pPr>
        <w:spacing w:line="0" w:lineRule="atLeast"/>
        <w:contextualSpacing/>
        <w:jc w:val="both"/>
        <w:rPr>
          <w:rFonts w:ascii="Times New Roman" w:eastAsia="Calibri" w:hAnsi="Times New Roman" w:cs="Times New Roman"/>
          <w:sz w:val="28"/>
          <w:szCs w:val="28"/>
          <w:lang w:eastAsia="es-ES"/>
        </w:rPr>
      </w:pPr>
    </w:p>
    <w:p w:rsidR="00673952" w:rsidRPr="00EE2FA1" w:rsidRDefault="00EE2FA1" w:rsidP="00C833B9">
      <w:pPr>
        <w:spacing w:line="0" w:lineRule="atLeast"/>
        <w:contextualSpacing/>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Bogotá, D. C., </w:t>
      </w:r>
      <w:r w:rsidRPr="00EE2FA1">
        <w:rPr>
          <w:rFonts w:ascii="Times New Roman" w:eastAsia="Calibri" w:hAnsi="Times New Roman" w:cs="Times New Roman"/>
          <w:sz w:val="28"/>
          <w:szCs w:val="28"/>
          <w:lang w:eastAsia="es-ES"/>
        </w:rPr>
        <w:t xml:space="preserve">tres (3) de octubre </w:t>
      </w:r>
      <w:r w:rsidRPr="00EE2FA1">
        <w:rPr>
          <w:rFonts w:ascii="Times New Roman" w:eastAsia="Calibri" w:hAnsi="Times New Roman" w:cs="Times New Roman"/>
          <w:sz w:val="28"/>
          <w:szCs w:val="28"/>
          <w:lang w:eastAsia="es-ES"/>
        </w:rPr>
        <w:t xml:space="preserve">de </w:t>
      </w:r>
      <w:r w:rsidRPr="00EE2FA1">
        <w:rPr>
          <w:rFonts w:ascii="Times New Roman" w:eastAsia="Calibri" w:hAnsi="Times New Roman" w:cs="Times New Roman"/>
          <w:sz w:val="28"/>
          <w:szCs w:val="28"/>
          <w:lang w:eastAsia="es-ES"/>
        </w:rPr>
        <w:t xml:space="preserve">dos mil </w:t>
      </w:r>
      <w:r w:rsidRPr="00EE2FA1">
        <w:rPr>
          <w:rFonts w:ascii="Times New Roman" w:eastAsia="Calibri" w:hAnsi="Times New Roman" w:cs="Times New Roman"/>
          <w:sz w:val="28"/>
          <w:szCs w:val="28"/>
          <w:lang w:eastAsia="es-ES"/>
        </w:rPr>
        <w:t>veinticuatro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2024</w:t>
      </w:r>
      <w:r w:rsidRPr="00EE2FA1">
        <w:rPr>
          <w:rFonts w:ascii="Times New Roman" w:eastAsia="Calibri" w:hAnsi="Times New Roman" w:cs="Times New Roman"/>
          <w:sz w:val="28"/>
          <w:szCs w:val="28"/>
          <w:lang w:eastAsia="es-ES"/>
        </w:rPr>
        <w:t>)</w:t>
      </w:r>
    </w:p>
    <w:p w:rsidR="00673952" w:rsidRPr="00EE2FA1" w:rsidRDefault="00EE2FA1" w:rsidP="00C833B9">
      <w:pPr>
        <w:spacing w:line="0" w:lineRule="atLeast"/>
        <w:contextualSpacing/>
        <w:jc w:val="both"/>
        <w:rPr>
          <w:rFonts w:ascii="Times New Roman" w:hAnsi="Times New Roman" w:cs="Times New Roman"/>
          <w:sz w:val="28"/>
          <w:szCs w:val="28"/>
          <w:lang w:eastAsia="es-ES"/>
        </w:rPr>
      </w:pPr>
    </w:p>
    <w:p w:rsidR="00673952" w:rsidRPr="00EE2FA1" w:rsidRDefault="00EE2FA1" w:rsidP="00C833B9">
      <w:pPr>
        <w:spacing w:line="0" w:lineRule="atLeast"/>
        <w:jc w:val="both"/>
        <w:rPr>
          <w:rFonts w:ascii="Times New Roman" w:hAnsi="Times New Roman" w:cs="Times New Roman"/>
          <w:sz w:val="28"/>
          <w:szCs w:val="28"/>
          <w:shd w:val="clear" w:color="auto" w:fill="FFFFFF"/>
          <w:lang w:eastAsia="es-ES"/>
        </w:rPr>
      </w:pPr>
      <w:r w:rsidRPr="00EE2FA1">
        <w:rPr>
          <w:rFonts w:ascii="Times New Roman" w:hAnsi="Times New Roman" w:cs="Times New Roman"/>
          <w:sz w:val="28"/>
          <w:szCs w:val="28"/>
          <w:shd w:val="clear" w:color="auto" w:fill="FFFFFF"/>
          <w:lang w:eastAsia="es-ES"/>
        </w:rPr>
        <w:t xml:space="preserve">La Sala Plena de la Corte Constitucional, en ejercicio de sus atribuciones </w:t>
      </w:r>
      <w:r w:rsidRPr="00EE2FA1">
        <w:rPr>
          <w:rFonts w:ascii="Times New Roman" w:hAnsi="Times New Roman" w:cs="Times New Roman"/>
          <w:sz w:val="28"/>
          <w:szCs w:val="28"/>
          <w:shd w:val="clear" w:color="auto" w:fill="FFFFFF"/>
          <w:lang w:eastAsia="es-ES"/>
        </w:rPr>
        <w:t>constitucionales y legales, en especial de la prevista en el artículo 241</w:t>
      </w:r>
      <w:r w:rsidRPr="00EE2FA1">
        <w:rPr>
          <w:rFonts w:ascii="Times New Roman" w:hAnsi="Times New Roman" w:cs="Times New Roman"/>
          <w:sz w:val="28"/>
          <w:szCs w:val="28"/>
          <w:shd w:val="clear" w:color="auto" w:fill="FFFFFF"/>
          <w:lang w:eastAsia="es-ES"/>
        </w:rPr>
        <w:t>.4</w:t>
      </w:r>
      <w:r w:rsidRPr="00EE2FA1">
        <w:rPr>
          <w:rFonts w:ascii="Times New Roman" w:hAnsi="Times New Roman" w:cs="Times New Roman"/>
          <w:sz w:val="28"/>
          <w:szCs w:val="28"/>
          <w:shd w:val="clear" w:color="auto" w:fill="FFFFFF"/>
          <w:lang w:eastAsia="es-ES"/>
        </w:rPr>
        <w:t xml:space="preserve"> de la Constitución Política, cumplidos todos los trámites y requisitos contemplados en el Decreto 2067 de 1991, ha proferido la siguiente</w:t>
      </w:r>
    </w:p>
    <w:p w:rsidR="00673952" w:rsidRPr="00EE2FA1" w:rsidRDefault="00EE2FA1" w:rsidP="00C833B9">
      <w:pPr>
        <w:spacing w:line="0" w:lineRule="atLeast"/>
        <w:jc w:val="both"/>
        <w:rPr>
          <w:rFonts w:ascii="Times New Roman" w:hAnsi="Times New Roman" w:cs="Times New Roman"/>
          <w:sz w:val="28"/>
          <w:szCs w:val="28"/>
          <w:shd w:val="clear" w:color="auto" w:fill="FFFFFF"/>
          <w:lang w:eastAsia="es-ES"/>
        </w:rPr>
      </w:pPr>
    </w:p>
    <w:p w:rsidR="00673952" w:rsidRPr="00EE2FA1" w:rsidRDefault="00EE2FA1" w:rsidP="002666EA">
      <w:pPr>
        <w:spacing w:line="0" w:lineRule="atLeast"/>
        <w:jc w:val="center"/>
        <w:rPr>
          <w:rFonts w:ascii="Times New Roman" w:hAnsi="Times New Roman" w:cs="Times New Roman"/>
          <w:b/>
          <w:bCs/>
          <w:sz w:val="28"/>
          <w:szCs w:val="28"/>
          <w:lang w:eastAsia="es-ES"/>
        </w:rPr>
      </w:pPr>
      <w:r w:rsidRPr="00EE2FA1">
        <w:rPr>
          <w:rFonts w:ascii="Times New Roman" w:hAnsi="Times New Roman" w:cs="Times New Roman"/>
          <w:b/>
          <w:bCs/>
          <w:sz w:val="28"/>
          <w:szCs w:val="28"/>
          <w:lang w:eastAsia="es-ES"/>
        </w:rPr>
        <w:t>SENTENCIA</w:t>
      </w:r>
    </w:p>
    <w:p w:rsidR="00BF1640" w:rsidRPr="00EE2FA1" w:rsidRDefault="00EE2FA1" w:rsidP="00C833B9">
      <w:pPr>
        <w:tabs>
          <w:tab w:val="left" w:pos="284"/>
        </w:tabs>
        <w:spacing w:line="0" w:lineRule="atLeast"/>
        <w:jc w:val="both"/>
        <w:rPr>
          <w:rFonts w:ascii="Times New Roman" w:hAnsi="Times New Roman" w:cs="Times New Roman"/>
          <w:sz w:val="28"/>
          <w:szCs w:val="28"/>
        </w:rPr>
      </w:pPr>
      <w:r w:rsidRPr="00EE2FA1">
        <w:rPr>
          <w:rFonts w:ascii="Times New Roman" w:eastAsia="Calibri" w:hAnsi="Times New Roman" w:cs="Times New Roman"/>
          <w:b/>
          <w:sz w:val="28"/>
          <w:szCs w:val="28"/>
          <w:lang w:eastAsia="es-ES"/>
        </w:rPr>
        <w:t xml:space="preserve"> </w:t>
      </w:r>
    </w:p>
    <w:p w:rsidR="00673952" w:rsidRPr="00EE2FA1" w:rsidRDefault="00EE2FA1" w:rsidP="00C833B9">
      <w:pPr>
        <w:tabs>
          <w:tab w:val="left" w:pos="284"/>
        </w:tabs>
        <w:spacing w:line="0" w:lineRule="atLeast"/>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 xml:space="preserve">I. </w:t>
      </w:r>
      <w:r w:rsidRPr="00EE2FA1">
        <w:rPr>
          <w:rFonts w:ascii="Times New Roman" w:eastAsia="Calibri" w:hAnsi="Times New Roman" w:cs="Times New Roman"/>
          <w:b/>
          <w:sz w:val="28"/>
          <w:szCs w:val="28"/>
          <w:lang w:eastAsia="es-ES"/>
        </w:rPr>
        <w:t>Antecedentes</w:t>
      </w:r>
    </w:p>
    <w:p w:rsidR="00673952" w:rsidRPr="00EE2FA1" w:rsidRDefault="00EE2FA1" w:rsidP="00C833B9">
      <w:pPr>
        <w:spacing w:line="0" w:lineRule="atLeast"/>
        <w:contextualSpacing/>
        <w:jc w:val="both"/>
        <w:rPr>
          <w:rFonts w:ascii="Times New Roman" w:eastAsia="Calibri" w:hAnsi="Times New Roman" w:cs="Times New Roman"/>
          <w:sz w:val="28"/>
          <w:szCs w:val="28"/>
          <w:lang w:eastAsia="es-ES"/>
        </w:rPr>
      </w:pPr>
    </w:p>
    <w:p w:rsidR="001C42C8"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sz w:val="28"/>
          <w:szCs w:val="28"/>
        </w:rPr>
        <w:t>E</w:t>
      </w:r>
      <w:r w:rsidRPr="00EE2FA1">
        <w:rPr>
          <w:rFonts w:ascii="Times New Roman" w:hAnsi="Times New Roman" w:cs="Times New Roman"/>
          <w:bCs/>
          <w:sz w:val="28"/>
          <w:szCs w:val="28"/>
        </w:rPr>
        <w:t>n ejercicio</w:t>
      </w:r>
      <w:r w:rsidRPr="00EE2FA1">
        <w:rPr>
          <w:rFonts w:ascii="Times New Roman" w:hAnsi="Times New Roman" w:cs="Times New Roman"/>
          <w:bCs/>
          <w:sz w:val="28"/>
          <w:szCs w:val="28"/>
        </w:rPr>
        <w:t xml:space="preserve"> de la acción pública de inconstitucionalidad, la ciudadana Martha Cecilia Paz demandó </w:t>
      </w:r>
      <w:r w:rsidRPr="00EE2FA1">
        <w:rPr>
          <w:rFonts w:ascii="Times New Roman" w:hAnsi="Times New Roman" w:cs="Times New Roman"/>
          <w:sz w:val="28"/>
          <w:szCs w:val="28"/>
        </w:rPr>
        <w:t>los artículos 10.°</w:t>
      </w:r>
      <w:r w:rsidRPr="00EE2FA1">
        <w:rPr>
          <w:rFonts w:ascii="Times New Roman" w:hAnsi="Times New Roman" w:cs="Times New Roman"/>
          <w:sz w:val="28"/>
          <w:szCs w:val="28"/>
        </w:rPr>
        <w:t xml:space="preserve"> parágrafo 3º</w:t>
      </w:r>
      <w:r w:rsidRPr="00EE2FA1">
        <w:rPr>
          <w:rFonts w:ascii="Times New Roman" w:hAnsi="Times New Roman" w:cs="Times New Roman"/>
          <w:sz w:val="28"/>
          <w:szCs w:val="28"/>
        </w:rPr>
        <w:t xml:space="preserve"> (parcial)</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y 19 de la Ley 2277 de 2022</w:t>
      </w:r>
      <w:r w:rsidRPr="00EE2FA1">
        <w:rPr>
          <w:rFonts w:ascii="Times New Roman" w:hAnsi="Times New Roman" w:cs="Times New Roman"/>
          <w:bCs/>
          <w:sz w:val="28"/>
          <w:szCs w:val="28"/>
        </w:rPr>
        <w:t xml:space="preserve">. </w:t>
      </w:r>
      <w:r w:rsidRPr="00EE2FA1">
        <w:rPr>
          <w:rFonts w:ascii="Times New Roman" w:hAnsi="Times New Roman" w:cs="Times New Roman"/>
          <w:sz w:val="28"/>
          <w:szCs w:val="28"/>
        </w:rPr>
        <w:t>La demand</w:t>
      </w:r>
      <w:r w:rsidRPr="00EE2FA1">
        <w:rPr>
          <w:rFonts w:ascii="Times New Roman" w:hAnsi="Times New Roman" w:cs="Times New Roman"/>
          <w:sz w:val="28"/>
          <w:szCs w:val="28"/>
        </w:rPr>
        <w:t>a fue admitida por</w:t>
      </w:r>
      <w:r w:rsidRPr="00EE2FA1">
        <w:rPr>
          <w:rFonts w:ascii="Times New Roman" w:hAnsi="Times New Roman" w:cs="Times New Roman"/>
          <w:sz w:val="28"/>
          <w:szCs w:val="28"/>
        </w:rPr>
        <w:t xml:space="preserve"> cinco cargos de inconstitucionalidad</w:t>
      </w:r>
      <w:r w:rsidRPr="00EE2FA1">
        <w:rPr>
          <w:rStyle w:val="Refdenotaalpie"/>
          <w:rFonts w:ascii="Times New Roman" w:hAnsi="Times New Roman" w:cs="Times New Roman"/>
          <w:sz w:val="28"/>
          <w:szCs w:val="28"/>
        </w:rPr>
        <w:footnoteReference w:id="2"/>
      </w:r>
      <w:r w:rsidRPr="00EE2FA1">
        <w:rPr>
          <w:rFonts w:ascii="Times New Roman" w:hAnsi="Times New Roman" w:cs="Times New Roman"/>
          <w:sz w:val="28"/>
          <w:szCs w:val="28"/>
        </w:rPr>
        <w:t xml:space="preserve">. Tres de ellos por la configuración de vicios de procedimiento en la adopción de las disposiciones demandadas y dos dirigidos contra el referido </w:t>
      </w:r>
      <w:r w:rsidRPr="00EE2FA1">
        <w:rPr>
          <w:rFonts w:ascii="Times New Roman" w:hAnsi="Times New Roman" w:cs="Times New Roman"/>
          <w:sz w:val="28"/>
          <w:szCs w:val="28"/>
        </w:rPr>
        <w:t xml:space="preserve">parágrafo 3.° </w:t>
      </w:r>
      <w:r w:rsidRPr="00EE2FA1">
        <w:rPr>
          <w:rFonts w:ascii="Times New Roman" w:hAnsi="Times New Roman" w:cs="Times New Roman"/>
          <w:sz w:val="28"/>
          <w:szCs w:val="28"/>
        </w:rPr>
        <w:t>del artículo 10</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por infracción de la prohibición de retroactividad y retrospectividad de la ley </w:t>
      </w:r>
      <w:r w:rsidRPr="00EE2FA1">
        <w:rPr>
          <w:rFonts w:ascii="Times New Roman" w:hAnsi="Times New Roman" w:cs="Times New Roman"/>
          <w:sz w:val="28"/>
          <w:szCs w:val="28"/>
        </w:rPr>
        <w:t xml:space="preserve">tributaria y </w:t>
      </w:r>
      <w:r w:rsidRPr="00EE2FA1">
        <w:rPr>
          <w:rFonts w:ascii="Times New Roman" w:hAnsi="Times New Roman" w:cs="Times New Roman"/>
          <w:sz w:val="28"/>
          <w:szCs w:val="28"/>
        </w:rPr>
        <w:t xml:space="preserve">por </w:t>
      </w:r>
      <w:r w:rsidRPr="00EE2FA1">
        <w:rPr>
          <w:rFonts w:ascii="Times New Roman" w:hAnsi="Times New Roman" w:cs="Times New Roman"/>
          <w:sz w:val="28"/>
          <w:szCs w:val="28"/>
        </w:rPr>
        <w:t>desconocimiento de los principios de justicia, equidad e igualdad tributarias.</w:t>
      </w:r>
    </w:p>
    <w:p w:rsidR="00921C10" w:rsidRPr="00EE2FA1" w:rsidRDefault="00EE2FA1" w:rsidP="00C833B9">
      <w:pPr>
        <w:pStyle w:val="Prrafodelista"/>
        <w:tabs>
          <w:tab w:val="left" w:pos="284"/>
          <w:tab w:val="left" w:pos="426"/>
        </w:tabs>
        <w:spacing w:line="0" w:lineRule="atLeast"/>
        <w:ind w:left="0"/>
        <w:jc w:val="both"/>
        <w:rPr>
          <w:rFonts w:ascii="Times New Roman" w:hAnsi="Times New Roman" w:cs="Times New Roman"/>
          <w:iCs/>
          <w:sz w:val="28"/>
          <w:szCs w:val="28"/>
          <w:lang w:eastAsia="es-ES"/>
        </w:rPr>
      </w:pPr>
    </w:p>
    <w:p w:rsidR="00877F42"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iCs/>
          <w:sz w:val="28"/>
          <w:szCs w:val="28"/>
          <w:lang w:eastAsia="es-ES"/>
        </w:rPr>
        <w:t xml:space="preserve">Mediante Auto del 13 de junio de 2023, el magistrado </w:t>
      </w:r>
      <w:r w:rsidRPr="00EE2FA1">
        <w:rPr>
          <w:rFonts w:ascii="Times New Roman" w:hAnsi="Times New Roman" w:cs="Times New Roman"/>
          <w:iCs/>
          <w:sz w:val="28"/>
          <w:szCs w:val="28"/>
          <w:lang w:eastAsia="es-ES"/>
        </w:rPr>
        <w:t xml:space="preserve">sustanciador </w:t>
      </w:r>
      <w:r w:rsidRPr="00EE2FA1">
        <w:rPr>
          <w:rFonts w:ascii="Times New Roman" w:hAnsi="Times New Roman" w:cs="Times New Roman"/>
          <w:iCs/>
          <w:sz w:val="28"/>
          <w:szCs w:val="28"/>
          <w:lang w:eastAsia="es-ES"/>
        </w:rPr>
        <w:t>al disponer la admisión</w:t>
      </w:r>
      <w:r w:rsidRPr="00EE2FA1">
        <w:rPr>
          <w:rStyle w:val="Refdenotaalpie"/>
          <w:rFonts w:ascii="Times New Roman" w:hAnsi="Times New Roman" w:cs="Times New Roman"/>
          <w:iCs/>
          <w:sz w:val="28"/>
          <w:szCs w:val="28"/>
          <w:lang w:eastAsia="es-ES"/>
        </w:rPr>
        <w:footnoteReference w:id="3"/>
      </w:r>
      <w:r w:rsidRPr="00EE2FA1">
        <w:rPr>
          <w:rFonts w:ascii="Times New Roman" w:hAnsi="Times New Roman" w:cs="Times New Roman"/>
          <w:bCs/>
          <w:sz w:val="28"/>
          <w:szCs w:val="28"/>
          <w:lang w:val="es-ES_tradnl"/>
        </w:rPr>
        <w:t>, comunicó el inicio del proceso al p</w:t>
      </w:r>
      <w:r w:rsidRPr="00EE2FA1">
        <w:rPr>
          <w:rFonts w:ascii="Times New Roman" w:hAnsi="Times New Roman" w:cs="Times New Roman"/>
          <w:bCs/>
          <w:sz w:val="28"/>
          <w:szCs w:val="28"/>
        </w:rPr>
        <w:t xml:space="preserve">residente de la República, al presidente del Congreso de la República y </w:t>
      </w:r>
      <w:r w:rsidRPr="00EE2FA1">
        <w:rPr>
          <w:rFonts w:ascii="Times New Roman" w:hAnsi="Times New Roman" w:cs="Times New Roman"/>
          <w:bCs/>
          <w:sz w:val="28"/>
          <w:szCs w:val="28"/>
        </w:rPr>
        <w:t xml:space="preserve">al </w:t>
      </w:r>
      <w:r w:rsidRPr="00EE2FA1">
        <w:rPr>
          <w:rFonts w:ascii="Times New Roman" w:hAnsi="Times New Roman" w:cs="Times New Roman"/>
          <w:bCs/>
          <w:sz w:val="28"/>
          <w:szCs w:val="28"/>
        </w:rPr>
        <w:t>Ministro de Hacienda y Crédito Público para que, si lo estimaban oportuno, presentaran por escrito las razones que justificaban la constitucionalidad de la norma sometida a control.</w:t>
      </w:r>
      <w:r w:rsidRPr="00EE2FA1">
        <w:rPr>
          <w:rFonts w:ascii="Times New Roman" w:hAnsi="Times New Roman" w:cs="Times New Roman"/>
          <w:bCs/>
          <w:sz w:val="28"/>
          <w:szCs w:val="28"/>
        </w:rPr>
        <w:t xml:space="preserve"> A su vez, ofició a diversas autoridades, organizaciones y </w:t>
      </w:r>
      <w:r w:rsidRPr="00EE2FA1">
        <w:rPr>
          <w:rFonts w:ascii="Times New Roman" w:hAnsi="Times New Roman" w:cs="Times New Roman"/>
          <w:bCs/>
          <w:sz w:val="28"/>
          <w:szCs w:val="28"/>
        </w:rPr>
        <w:t>expertos</w:t>
      </w:r>
      <w:r w:rsidRPr="00EE2FA1">
        <w:rPr>
          <w:rStyle w:val="Refdenotaalpie"/>
          <w:rFonts w:ascii="Times New Roman" w:hAnsi="Times New Roman" w:cs="Times New Roman"/>
          <w:bCs/>
          <w:sz w:val="28"/>
          <w:szCs w:val="28"/>
        </w:rPr>
        <w:footnoteReference w:id="4"/>
      </w:r>
      <w:r w:rsidRPr="00EE2FA1">
        <w:rPr>
          <w:rFonts w:ascii="Times New Roman" w:hAnsi="Times New Roman" w:cs="Times New Roman"/>
          <w:bCs/>
          <w:sz w:val="28"/>
          <w:szCs w:val="28"/>
        </w:rPr>
        <w:t xml:space="preserve"> para que emitieran concepto sobre distintos </w:t>
      </w:r>
      <w:r w:rsidRPr="00EE2FA1">
        <w:rPr>
          <w:rFonts w:ascii="Times New Roman" w:eastAsia="Calibri" w:hAnsi="Times New Roman" w:cs="Times New Roman"/>
          <w:sz w:val="28"/>
          <w:szCs w:val="28"/>
        </w:rPr>
        <w:t>puntos relevantes de la controversia.</w:t>
      </w:r>
      <w:r w:rsidRPr="00EE2FA1">
        <w:rPr>
          <w:rFonts w:ascii="Times New Roman" w:eastAsia="Calibri" w:hAnsi="Times New Roman" w:cs="Times New Roman"/>
          <w:sz w:val="28"/>
          <w:szCs w:val="28"/>
        </w:rPr>
        <w:t xml:space="preserve"> Por último, decretó la práctica de algunas pruebas</w:t>
      </w:r>
      <w:r w:rsidRPr="00EE2FA1">
        <w:rPr>
          <w:rStyle w:val="Refdenotaalpie"/>
          <w:rFonts w:ascii="Times New Roman" w:eastAsia="Calibri" w:hAnsi="Times New Roman" w:cs="Times New Roman"/>
          <w:sz w:val="28"/>
          <w:szCs w:val="28"/>
        </w:rPr>
        <w:footnoteReference w:id="5"/>
      </w:r>
      <w:r w:rsidRPr="00EE2FA1">
        <w:rPr>
          <w:rFonts w:ascii="Times New Roman" w:eastAsia="Calibri" w:hAnsi="Times New Roman" w:cs="Times New Roman"/>
          <w:sz w:val="28"/>
          <w:szCs w:val="28"/>
        </w:rPr>
        <w:t>.</w:t>
      </w:r>
    </w:p>
    <w:p w:rsidR="00877F42" w:rsidRPr="00EE2FA1" w:rsidRDefault="00EE2FA1" w:rsidP="00C833B9">
      <w:pPr>
        <w:tabs>
          <w:tab w:val="left" w:pos="426"/>
        </w:tabs>
        <w:spacing w:line="0" w:lineRule="atLeast"/>
        <w:jc w:val="both"/>
        <w:rPr>
          <w:rFonts w:ascii="Times New Roman" w:hAnsi="Times New Roman" w:cs="Times New Roman"/>
          <w:sz w:val="28"/>
          <w:szCs w:val="28"/>
        </w:rPr>
      </w:pPr>
    </w:p>
    <w:p w:rsidR="00877F42" w:rsidRPr="00EE2FA1" w:rsidRDefault="00EE2FA1" w:rsidP="00202DD0">
      <w:pPr>
        <w:pStyle w:val="Prrafodelista"/>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 Texto de la norma demandada</w:t>
      </w:r>
    </w:p>
    <w:p w:rsidR="00877F42"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73952"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sz w:val="28"/>
          <w:szCs w:val="28"/>
        </w:rPr>
        <w:t>A continuación, se</w:t>
      </w:r>
      <w:r w:rsidRPr="00EE2FA1">
        <w:rPr>
          <w:rFonts w:ascii="Times New Roman" w:hAnsi="Times New Roman" w:cs="Times New Roman"/>
          <w:sz w:val="28"/>
          <w:szCs w:val="28"/>
        </w:rPr>
        <w:t xml:space="preserve"> transcribe</w:t>
      </w:r>
      <w:r w:rsidRPr="00EE2FA1">
        <w:rPr>
          <w:rFonts w:ascii="Times New Roman" w:hAnsi="Times New Roman" w:cs="Times New Roman"/>
          <w:sz w:val="28"/>
          <w:szCs w:val="28"/>
        </w:rPr>
        <w:t>n</w:t>
      </w:r>
      <w:r w:rsidRPr="00EE2FA1">
        <w:rPr>
          <w:rFonts w:ascii="Times New Roman" w:hAnsi="Times New Roman" w:cs="Times New Roman"/>
          <w:sz w:val="28"/>
          <w:szCs w:val="28"/>
        </w:rPr>
        <w:t xml:space="preserve"> la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disposiciones</w:t>
      </w:r>
      <w:r w:rsidRPr="00EE2FA1">
        <w:rPr>
          <w:rFonts w:ascii="Times New Roman" w:hAnsi="Times New Roman" w:cs="Times New Roman"/>
          <w:sz w:val="28"/>
          <w:szCs w:val="28"/>
        </w:rPr>
        <w:t xml:space="preserve"> acusada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y se subrayan los apartados demandados</w:t>
      </w:r>
      <w:r w:rsidRPr="00EE2FA1">
        <w:rPr>
          <w:rStyle w:val="Refdenotaalpie"/>
          <w:rFonts w:ascii="Times New Roman" w:hAnsi="Times New Roman" w:cs="Times New Roman"/>
          <w:sz w:val="28"/>
          <w:szCs w:val="28"/>
        </w:rPr>
        <w:footnoteReference w:id="6"/>
      </w:r>
      <w:r w:rsidRPr="00EE2FA1">
        <w:rPr>
          <w:rFonts w:ascii="Times New Roman" w:hAnsi="Times New Roman" w:cs="Times New Roman"/>
          <w:sz w:val="28"/>
          <w:szCs w:val="28"/>
        </w:rPr>
        <w:t>:</w:t>
      </w:r>
    </w:p>
    <w:p w:rsidR="002E0CC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szCs w:val="28"/>
        </w:rPr>
      </w:pPr>
    </w:p>
    <w:p w:rsidR="00990EE6" w:rsidRPr="00EE2FA1" w:rsidRDefault="00EE2FA1" w:rsidP="006D58E6">
      <w:pPr>
        <w:spacing w:line="0" w:lineRule="atLeast"/>
        <w:ind w:left="567"/>
        <w:jc w:val="center"/>
        <w:rPr>
          <w:rFonts w:ascii="Times New Roman" w:hAnsi="Times New Roman" w:cs="Times New Roman"/>
          <w:iCs/>
          <w:sz w:val="28"/>
          <w:lang w:eastAsia="es-ES"/>
        </w:rPr>
      </w:pPr>
      <w:r w:rsidRPr="00EE2FA1">
        <w:rPr>
          <w:rFonts w:ascii="Times New Roman" w:hAnsi="Times New Roman" w:cs="Times New Roman"/>
          <w:iCs/>
          <w:sz w:val="28"/>
          <w:lang w:eastAsia="es-ES"/>
        </w:rPr>
        <w:t>“LEY 2277 DE 2022</w:t>
      </w:r>
    </w:p>
    <w:p w:rsidR="00990EE6" w:rsidRPr="00EE2FA1" w:rsidRDefault="00EE2FA1" w:rsidP="006D58E6">
      <w:pPr>
        <w:spacing w:line="0" w:lineRule="atLeast"/>
        <w:ind w:left="567"/>
        <w:jc w:val="center"/>
        <w:rPr>
          <w:rFonts w:ascii="Times New Roman" w:hAnsi="Times New Roman" w:cs="Times New Roman"/>
          <w:iCs/>
          <w:sz w:val="28"/>
          <w:lang w:eastAsia="es-ES"/>
        </w:rPr>
      </w:pPr>
      <w:r w:rsidRPr="00EE2FA1">
        <w:rPr>
          <w:rFonts w:ascii="Times New Roman" w:hAnsi="Times New Roman" w:cs="Times New Roman"/>
          <w:iCs/>
          <w:sz w:val="28"/>
          <w:lang w:eastAsia="es-ES"/>
        </w:rPr>
        <w:t>(diciembre 13)</w:t>
      </w:r>
    </w:p>
    <w:p w:rsidR="00990EE6" w:rsidRPr="00EE2FA1" w:rsidRDefault="00EE2FA1" w:rsidP="006D58E6">
      <w:pPr>
        <w:spacing w:line="0" w:lineRule="atLeast"/>
        <w:ind w:left="567"/>
        <w:jc w:val="center"/>
        <w:rPr>
          <w:rFonts w:ascii="Times New Roman" w:hAnsi="Times New Roman" w:cs="Times New Roman"/>
          <w:iCs/>
          <w:sz w:val="28"/>
          <w:lang w:eastAsia="es-ES"/>
        </w:rPr>
      </w:pPr>
      <w:r w:rsidRPr="00EE2FA1">
        <w:rPr>
          <w:rFonts w:ascii="Times New Roman" w:hAnsi="Times New Roman" w:cs="Times New Roman"/>
          <w:iCs/>
          <w:sz w:val="28"/>
          <w:lang w:eastAsia="es-ES"/>
        </w:rPr>
        <w:t>por medio de la cual se adopta una reforma tributaria para la igualdad y la justicia social y se dictan otras disposiciones (…)</w:t>
      </w:r>
    </w:p>
    <w:p w:rsidR="00990EE6" w:rsidRPr="00EE2FA1" w:rsidRDefault="00EE2FA1" w:rsidP="006D58E6">
      <w:pPr>
        <w:spacing w:line="0" w:lineRule="atLeast"/>
        <w:ind w:left="567"/>
        <w:jc w:val="center"/>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Artículo 10.</w:t>
      </w:r>
      <w:r w:rsidRPr="00EE2FA1">
        <w:rPr>
          <w:rFonts w:ascii="Times New Roman" w:hAnsi="Times New Roman" w:cs="Times New Roman"/>
          <w:iCs/>
          <w:sz w:val="28"/>
          <w:lang w:eastAsia="es-ES"/>
        </w:rPr>
        <w:t xml:space="preserve"> Modifíquese el artículo 240 del Estatuto Tributario, el cual quedará así:</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Artículo 240. Tarifa General para Personas Jurídicas. La tarifa general del impuesto sobre la renta aplicable a las sociedades nacionales y sus asimiladas, los establecimientos per</w:t>
      </w:r>
      <w:r w:rsidRPr="00EE2FA1">
        <w:rPr>
          <w:rFonts w:ascii="Times New Roman" w:hAnsi="Times New Roman" w:cs="Times New Roman"/>
          <w:iCs/>
          <w:sz w:val="28"/>
          <w:lang w:eastAsia="es-ES"/>
        </w:rPr>
        <w:t>manentes de entidades del exterior y las personas jurídicas extranjeras con o sin residencia en el país, obligadas a presentar la declaración anual del impuesto sobre la renta y complementarios, será del treinta y cinco por ciento (35%).</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PARÁGRAFO 1. Esta</w:t>
      </w:r>
      <w:r w:rsidRPr="00EE2FA1">
        <w:rPr>
          <w:rFonts w:ascii="Times New Roman" w:hAnsi="Times New Roman" w:cs="Times New Roman"/>
          <w:iCs/>
          <w:sz w:val="28"/>
          <w:lang w:eastAsia="es-ES"/>
        </w:rPr>
        <w:t xml:space="preserve">rán gravadas a la tarifa del nueve por ciento (9%) las rentas obtenidas por las empresas industriales y comerciales del Estado y las sociedades de economía mixta del orden Departamental, Municipal y Distrital, en las cuales la participación del Estado sea </w:t>
      </w:r>
      <w:r w:rsidRPr="00EE2FA1">
        <w:rPr>
          <w:rFonts w:ascii="Times New Roman" w:hAnsi="Times New Roman" w:cs="Times New Roman"/>
          <w:iCs/>
          <w:sz w:val="28"/>
          <w:lang w:eastAsia="es-ES"/>
        </w:rPr>
        <w:t>superior del noventa por ciento (90%) que ejerzan los monopolios de suerte y azar y de licores y alcoholes.</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PARÁGRAFO 2. Las instituciones financieras, las entidades aseguradoras y reaseguradoras, las sociedades comisionistas de bolsa de valores, las soci</w:t>
      </w:r>
      <w:r w:rsidRPr="00EE2FA1">
        <w:rPr>
          <w:rFonts w:ascii="Times New Roman" w:hAnsi="Times New Roman" w:cs="Times New Roman"/>
          <w:iCs/>
          <w:sz w:val="28"/>
          <w:lang w:eastAsia="es-ES"/>
        </w:rPr>
        <w:t>edades comisionistas agropecuarias, las bolsas de bienes y productos agropecuarios, agroindustriales o de otros commodities y los proveedores de infraestructura del mercado de valores deberán liquidar cinco (5) puntos adicionales al impuesto sobre la renta</w:t>
      </w:r>
      <w:r w:rsidRPr="00EE2FA1">
        <w:rPr>
          <w:rFonts w:ascii="Times New Roman" w:hAnsi="Times New Roman" w:cs="Times New Roman"/>
          <w:iCs/>
          <w:sz w:val="28"/>
          <w:lang w:eastAsia="es-ES"/>
        </w:rPr>
        <w:t xml:space="preserve"> y complementarios durante los periodos gravables 2023, 2024, 2025, 2026 y 202 siendo en total la tarifa del cuarenta por ciento (40%).</w:t>
      </w: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Los puntos adicionales de los que trata el presente parágrafo solo son aplicables a las personas jurídicas que, en el añ</w:t>
      </w:r>
      <w:r w:rsidRPr="00EE2FA1">
        <w:rPr>
          <w:rFonts w:ascii="Times New Roman" w:hAnsi="Times New Roman" w:cs="Times New Roman"/>
          <w:iCs/>
          <w:sz w:val="28"/>
          <w:lang w:eastAsia="es-ES"/>
        </w:rPr>
        <w:t>o gravable correspondiente, tengan una renta gravable igual o superior a ciento veinte mil (120.000) UVT.</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 xml:space="preserve">La sobretasa de que trata este parágrafo está sujeta a un anticipo del ciento por ciento (100%) del valor de la misma, calculado sobre la base </w:t>
      </w:r>
      <w:r w:rsidRPr="00EE2FA1">
        <w:rPr>
          <w:rFonts w:ascii="Times New Roman" w:hAnsi="Times New Roman" w:cs="Times New Roman"/>
          <w:iCs/>
          <w:sz w:val="28"/>
          <w:lang w:eastAsia="es-ES"/>
        </w:rPr>
        <w:t>gravable del impuesto sobre la renta y complementarios sobre la cual el contribuyente liquidó el mencionado impuesto para el año gravable inmediatamente anterior. El anticipo de la sobretasa del impuesto sobre la renta y complementarios deberá pagarse en d</w:t>
      </w:r>
      <w:r w:rsidRPr="00EE2FA1">
        <w:rPr>
          <w:rFonts w:ascii="Times New Roman" w:hAnsi="Times New Roman" w:cs="Times New Roman"/>
          <w:iCs/>
          <w:sz w:val="28"/>
          <w:lang w:eastAsia="es-ES"/>
        </w:rPr>
        <w:t>os cuotas iguales anuales en los plazos que fije el reglamento.</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 xml:space="preserve">Con el fin de contribuir al bienestar general y al mejoramiento de la calidad de vida de la población, tres (3) puntos del recaudo por concepto de la sobretasa de que trata este parágrafo se </w:t>
      </w:r>
      <w:r w:rsidRPr="00EE2FA1">
        <w:rPr>
          <w:rFonts w:ascii="Times New Roman" w:hAnsi="Times New Roman" w:cs="Times New Roman"/>
          <w:iCs/>
          <w:sz w:val="28"/>
          <w:lang w:eastAsia="es-ES"/>
        </w:rPr>
        <w:t>destinará a la financiación de vías de la Red Vial Terciaria. El Gobierno nacional determinará las condiciones y la forma de asignación de los recursos recaudados, así como el mecanismo para la ejecución de los mismos, dando prioridad en todo caso a los pr</w:t>
      </w:r>
      <w:r w:rsidRPr="00EE2FA1">
        <w:rPr>
          <w:rFonts w:ascii="Times New Roman" w:hAnsi="Times New Roman" w:cs="Times New Roman"/>
          <w:iCs/>
          <w:sz w:val="28"/>
          <w:lang w:eastAsia="es-ES"/>
        </w:rPr>
        <w:t>oyectos viales de municipios PDET.</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 xml:space="preserve"> </w:t>
      </w: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PARÁGRAFO</w:t>
      </w:r>
      <w:r w:rsidRPr="00EE2FA1">
        <w:rPr>
          <w:rFonts w:ascii="Times New Roman" w:hAnsi="Times New Roman" w:cs="Times New Roman"/>
          <w:iCs/>
          <w:sz w:val="28"/>
          <w:lang w:eastAsia="es-ES"/>
        </w:rPr>
        <w:t xml:space="preserve"> 3. Las sociedades nacionales y sus asimiladas, los establecimientos permanentes de entidades del exterior y las personas jurídicas extranjeras con o sin residencia en el país, deberán adicional a la tarifa general del impuesto sobre la renta unos puntos a</w:t>
      </w:r>
      <w:r w:rsidRPr="00EE2FA1">
        <w:rPr>
          <w:rFonts w:ascii="Times New Roman" w:hAnsi="Times New Roman" w:cs="Times New Roman"/>
          <w:iCs/>
          <w:sz w:val="28"/>
          <w:lang w:eastAsia="es-ES"/>
        </w:rPr>
        <w:t>dicionales, cuando desarrollen alguna o algunas de las siguientes actividades económicas, así:</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numPr>
          <w:ilvl w:val="0"/>
          <w:numId w:val="2"/>
        </w:numPr>
        <w:tabs>
          <w:tab w:val="left" w:pos="993"/>
        </w:tabs>
        <w:spacing w:line="0" w:lineRule="atLeast"/>
        <w:ind w:left="567" w:hanging="11"/>
        <w:jc w:val="both"/>
        <w:rPr>
          <w:rFonts w:ascii="Times New Roman" w:hAnsi="Times New Roman" w:cs="Times New Roman"/>
          <w:iCs/>
          <w:sz w:val="28"/>
          <w:lang w:eastAsia="es-ES"/>
        </w:rPr>
      </w:pPr>
      <w:r w:rsidRPr="00EE2FA1">
        <w:rPr>
          <w:rFonts w:ascii="Times New Roman" w:hAnsi="Times New Roman" w:cs="Times New Roman"/>
          <w:iCs/>
          <w:sz w:val="28"/>
          <w:lang w:eastAsia="es-ES"/>
        </w:rPr>
        <w:t>Extracción de hulla (carbón de piedra) CIIU-0510 y extracción de carbón lignito CIIU-0520, así:</w:t>
      </w:r>
      <w:r w:rsidRPr="00EE2FA1">
        <w:rPr>
          <w:rFonts w:ascii="Times New Roman" w:hAnsi="Times New Roman" w:cs="Times New Roman"/>
          <w:iCs/>
          <w:sz w:val="28"/>
          <w:lang w:eastAsia="es-ES"/>
        </w:rPr>
        <w:tab/>
      </w:r>
    </w:p>
    <w:p w:rsidR="00990EE6" w:rsidRPr="00EE2FA1" w:rsidRDefault="00EE2FA1" w:rsidP="006D58E6">
      <w:pPr>
        <w:spacing w:line="0" w:lineRule="atLeast"/>
        <w:ind w:left="567"/>
        <w:jc w:val="both"/>
        <w:rPr>
          <w:rFonts w:ascii="Times New Roman" w:hAnsi="Times New Roman" w:cs="Times New Roman"/>
          <w:iCs/>
          <w:sz w:val="28"/>
          <w:lang w:eastAsia="es-ES"/>
        </w:rPr>
      </w:pPr>
    </w:p>
    <w:tbl>
      <w:tblPr>
        <w:tblStyle w:val="Tablaconcuadrcula"/>
        <w:tblW w:w="8647" w:type="dxa"/>
        <w:tblInd w:w="562" w:type="dxa"/>
        <w:tblLayout w:type="fixed"/>
        <w:tblLook w:val="06A0" w:firstRow="1" w:lastRow="0" w:firstColumn="1" w:lastColumn="0" w:noHBand="1" w:noVBand="1"/>
      </w:tblPr>
      <w:tblGrid>
        <w:gridCol w:w="2797"/>
        <w:gridCol w:w="5850"/>
      </w:tblGrid>
      <w:tr w:rsidR="008F41DE" w:rsidRPr="00EE2FA1" w:rsidTr="00D22E9F">
        <w:trPr>
          <w:trHeight w:val="300"/>
        </w:trPr>
        <w:tc>
          <w:tcPr>
            <w:tcW w:w="2797"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Puntos adicionales en la tarifa del impuesto sobre la renta</w:t>
            </w:r>
          </w:p>
        </w:tc>
        <w:tc>
          <w:tcPr>
            <w:tcW w:w="5850"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Co</w:t>
            </w:r>
            <w:r w:rsidRPr="00EE2FA1">
              <w:rPr>
                <w:rFonts w:ascii="Times New Roman" w:hAnsi="Times New Roman" w:cs="Times New Roman"/>
                <w:iCs/>
                <w:sz w:val="28"/>
                <w:lang w:eastAsia="es-ES"/>
              </w:rPr>
              <w:t>ndición de adición de los puntos adicionales</w:t>
            </w:r>
          </w:p>
        </w:tc>
      </w:tr>
      <w:tr w:rsidR="008F41DE" w:rsidRPr="00EE2FA1" w:rsidTr="00D22E9F">
        <w:trPr>
          <w:trHeight w:val="300"/>
        </w:trPr>
        <w:tc>
          <w:tcPr>
            <w:tcW w:w="2797"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Cero (0) puntos adicionales Cero por ciento (0%)</w:t>
            </w:r>
          </w:p>
        </w:tc>
        <w:tc>
          <w:tcPr>
            <w:tcW w:w="5850"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Cuando el precio promedio del respectivo año gravable objeto de declaración se encuentre por debajo del percentil sesenta y cinco (65) de los precios promedio me</w:t>
            </w:r>
            <w:r w:rsidRPr="00EE2FA1">
              <w:rPr>
                <w:rFonts w:ascii="Times New Roman" w:hAnsi="Times New Roman" w:cs="Times New Roman"/>
                <w:iCs/>
                <w:sz w:val="28"/>
                <w:lang w:eastAsia="es-ES"/>
              </w:rPr>
              <w:t>nsuales de los últimos ciento veinte (120) meses, sin incluir el precio de los meses transcurridos en el año de la declaración.</w:t>
            </w:r>
          </w:p>
        </w:tc>
      </w:tr>
      <w:tr w:rsidR="008F41DE" w:rsidRPr="00EE2FA1" w:rsidTr="00D22E9F">
        <w:trPr>
          <w:trHeight w:val="300"/>
        </w:trPr>
        <w:tc>
          <w:tcPr>
            <w:tcW w:w="2797"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Cinco (5) puntos adicionales Cinco por ciento (5%)</w:t>
            </w:r>
          </w:p>
        </w:tc>
        <w:tc>
          <w:tcPr>
            <w:tcW w:w="5850"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Cua</w:t>
            </w:r>
            <w:r w:rsidRPr="00EE2FA1">
              <w:rPr>
                <w:rFonts w:ascii="Times New Roman" w:hAnsi="Times New Roman" w:cs="Times New Roman"/>
                <w:iCs/>
                <w:sz w:val="28"/>
                <w:lang w:eastAsia="es-ES"/>
              </w:rPr>
              <w:t>n</w:t>
            </w:r>
            <w:r w:rsidRPr="00EE2FA1">
              <w:rPr>
                <w:rFonts w:ascii="Times New Roman" w:hAnsi="Times New Roman" w:cs="Times New Roman"/>
                <w:iCs/>
                <w:sz w:val="28"/>
                <w:lang w:eastAsia="es-ES"/>
              </w:rPr>
              <w:t>do el precio pr</w:t>
            </w:r>
            <w:r w:rsidRPr="00EE2FA1">
              <w:rPr>
                <w:rFonts w:ascii="Times New Roman" w:hAnsi="Times New Roman" w:cs="Times New Roman"/>
                <w:iCs/>
                <w:sz w:val="28"/>
                <w:lang w:eastAsia="es-ES"/>
              </w:rPr>
              <w:t>o</w:t>
            </w:r>
            <w:r w:rsidRPr="00EE2FA1">
              <w:rPr>
                <w:rFonts w:ascii="Times New Roman" w:hAnsi="Times New Roman" w:cs="Times New Roman"/>
                <w:iCs/>
                <w:sz w:val="28"/>
                <w:lang w:eastAsia="es-ES"/>
              </w:rPr>
              <w:t xml:space="preserve">medio del respectivo año gravable objeto de declaración se encuentre entre el percentil sesenta y cinco (65) y setenta y cinco (75) de los precios promedio </w:t>
            </w:r>
            <w:r w:rsidRPr="00EE2FA1">
              <w:rPr>
                <w:rFonts w:ascii="Times New Roman" w:hAnsi="Times New Roman" w:cs="Times New Roman"/>
                <w:iCs/>
                <w:sz w:val="28"/>
                <w:lang w:eastAsia="es-ES"/>
              </w:rPr>
              <w:t>mensuales</w:t>
            </w:r>
            <w:r w:rsidRPr="00EE2FA1">
              <w:rPr>
                <w:rFonts w:ascii="Times New Roman" w:hAnsi="Times New Roman" w:cs="Times New Roman"/>
                <w:iCs/>
                <w:sz w:val="28"/>
                <w:lang w:eastAsia="es-ES"/>
              </w:rPr>
              <w:t xml:space="preserve"> de los últimos ciento </w:t>
            </w:r>
            <w:r w:rsidRPr="00EE2FA1">
              <w:rPr>
                <w:rFonts w:ascii="Times New Roman" w:hAnsi="Times New Roman" w:cs="Times New Roman"/>
                <w:iCs/>
                <w:sz w:val="28"/>
                <w:lang w:eastAsia="es-ES"/>
              </w:rPr>
              <w:t>veinte</w:t>
            </w:r>
            <w:r w:rsidRPr="00EE2FA1">
              <w:rPr>
                <w:rFonts w:ascii="Times New Roman" w:hAnsi="Times New Roman" w:cs="Times New Roman"/>
                <w:iCs/>
                <w:sz w:val="28"/>
                <w:lang w:eastAsia="es-ES"/>
              </w:rPr>
              <w:t xml:space="preserve"> (120) meses, sin incluir el precio de los meses transcurridos</w:t>
            </w:r>
            <w:r w:rsidRPr="00EE2FA1">
              <w:rPr>
                <w:rFonts w:ascii="Times New Roman" w:hAnsi="Times New Roman" w:cs="Times New Roman"/>
                <w:iCs/>
                <w:sz w:val="28"/>
                <w:lang w:eastAsia="es-ES"/>
              </w:rPr>
              <w:t xml:space="preserve"> en el año de la declaración.</w:t>
            </w:r>
          </w:p>
        </w:tc>
      </w:tr>
      <w:tr w:rsidR="00D22E9F" w:rsidRPr="00EE2FA1" w:rsidTr="00D22E9F">
        <w:trPr>
          <w:trHeight w:val="300"/>
        </w:trPr>
        <w:tc>
          <w:tcPr>
            <w:tcW w:w="2797"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Diez (10) puntos adicionales Diez por ciento (10%)</w:t>
            </w:r>
          </w:p>
        </w:tc>
        <w:tc>
          <w:tcPr>
            <w:tcW w:w="5850" w:type="dxa"/>
          </w:tcPr>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Cuando el precio promedio del respectivo año gravable objeto de declaración se encuentre por encima del percentil setenta y cinco (75) de los precios promedio mensuales de lo</w:t>
            </w:r>
            <w:r w:rsidRPr="00EE2FA1">
              <w:rPr>
                <w:rFonts w:ascii="Times New Roman" w:hAnsi="Times New Roman" w:cs="Times New Roman"/>
                <w:iCs/>
                <w:sz w:val="28"/>
                <w:lang w:eastAsia="es-ES"/>
              </w:rPr>
              <w:t xml:space="preserve">s últimos ciento veinte (120) meses, sin incluir el precio de los meses transcurridos en el año de la declaración. </w:t>
            </w:r>
          </w:p>
        </w:tc>
      </w:tr>
    </w:tbl>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 xml:space="preserve">Los precios de la tabla anterior para las actividades económica extracción de hulla (carbón de piedra) CIIU – 0510 y extracción de carbón </w:t>
      </w:r>
      <w:r w:rsidRPr="00EE2FA1">
        <w:rPr>
          <w:rFonts w:ascii="Times New Roman" w:hAnsi="Times New Roman" w:cs="Times New Roman"/>
          <w:iCs/>
          <w:sz w:val="28"/>
          <w:lang w:eastAsia="es-ES"/>
        </w:rPr>
        <w:t>lignito CIIU – 0520, corresponderán al precio promedio internacional del carbón de referencia API2, restado por el valor del flete BCI7 (API2 – BCI7) USD/Tonelada, deflactado con el Índice de Precios al Consumidor para todos los consumidores urbanos de los</w:t>
      </w:r>
      <w:r w:rsidRPr="00EE2FA1">
        <w:rPr>
          <w:rFonts w:ascii="Times New Roman" w:hAnsi="Times New Roman" w:cs="Times New Roman"/>
          <w:iCs/>
          <w:sz w:val="28"/>
          <w:lang w:eastAsia="es-ES"/>
        </w:rPr>
        <w:t xml:space="preserve"> Estados Unidos de América, publicado por la Oficina de Estadísticas Laborales de este país. </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2. Extracción de petróleo crudo CIIU – 0610, así:</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379"/>
      </w:tblGrid>
      <w:tr w:rsidR="008F41DE" w:rsidRPr="00EE2FA1" w:rsidTr="00273AAF">
        <w:tc>
          <w:tcPr>
            <w:tcW w:w="2268"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Puntos adicionales en la tarifa del impuesto sobre la renta</w:t>
            </w:r>
          </w:p>
        </w:tc>
        <w:tc>
          <w:tcPr>
            <w:tcW w:w="6379"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Condición de adición de los puntos adicionales</w:t>
            </w:r>
          </w:p>
        </w:tc>
      </w:tr>
      <w:tr w:rsidR="008F41DE" w:rsidRPr="00EE2FA1" w:rsidTr="00273AAF">
        <w:tc>
          <w:tcPr>
            <w:tcW w:w="2268"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Cero (0) puntos adicionales</w:t>
            </w:r>
          </w:p>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Cero por ciento (0%)</w:t>
            </w:r>
          </w:p>
        </w:tc>
        <w:tc>
          <w:tcPr>
            <w:tcW w:w="6379"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bookmarkStart w:id="2" w:name="_Int_Kv71xtOZ"/>
            <w:r w:rsidRPr="00EE2FA1">
              <w:rPr>
                <w:rFonts w:ascii="Times New Roman" w:hAnsi="Times New Roman" w:cs="Times New Roman"/>
                <w:iCs/>
                <w:sz w:val="28"/>
                <w:u w:val="single"/>
                <w:lang w:eastAsia="es-ES"/>
              </w:rPr>
              <w:t xml:space="preserve">Cuando el precio promedio del respectivo año gravable objeto de declaración se encuentre por debajo del percentil treinta (30) de los precios promedio mensuales de los últimos ciento veinte (120) meses, sin </w:t>
            </w:r>
            <w:r w:rsidRPr="00EE2FA1">
              <w:rPr>
                <w:rFonts w:ascii="Times New Roman" w:hAnsi="Times New Roman" w:cs="Times New Roman"/>
                <w:iCs/>
                <w:sz w:val="28"/>
                <w:u w:val="single"/>
                <w:lang w:eastAsia="es-ES"/>
              </w:rPr>
              <w:t>incluir el precio de los meses transcurridos en el año de la declaración.</w:t>
            </w:r>
            <w:bookmarkEnd w:id="2"/>
            <w:r w:rsidRPr="00EE2FA1">
              <w:rPr>
                <w:rFonts w:ascii="Times New Roman" w:hAnsi="Times New Roman" w:cs="Times New Roman"/>
                <w:iCs/>
                <w:sz w:val="28"/>
                <w:u w:val="single"/>
                <w:lang w:eastAsia="es-ES"/>
              </w:rPr>
              <w:t xml:space="preserve"> </w:t>
            </w:r>
          </w:p>
        </w:tc>
      </w:tr>
      <w:tr w:rsidR="008F41DE" w:rsidRPr="00EE2FA1" w:rsidTr="00273AAF">
        <w:tc>
          <w:tcPr>
            <w:tcW w:w="2268"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Cinco (5) puntos adicionales Cinco por ciento (5%)</w:t>
            </w:r>
          </w:p>
        </w:tc>
        <w:tc>
          <w:tcPr>
            <w:tcW w:w="6379"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Cuando el precio promedio del respectivo año gravable objeto de declaración se encuentre entre el percentil treinta (30) y cuaren</w:t>
            </w:r>
            <w:r w:rsidRPr="00EE2FA1">
              <w:rPr>
                <w:rFonts w:ascii="Times New Roman" w:hAnsi="Times New Roman" w:cs="Times New Roman"/>
                <w:iCs/>
                <w:sz w:val="28"/>
                <w:u w:val="single"/>
                <w:lang w:eastAsia="es-ES"/>
              </w:rPr>
              <w:t xml:space="preserve">ta y cinco (45) de los precios promedio mensuales de los últimos ciento veinte (120) meses, sin incluir el precio de los meses transcurridos en el año de la declaración. </w:t>
            </w:r>
          </w:p>
        </w:tc>
      </w:tr>
      <w:tr w:rsidR="008F41DE" w:rsidRPr="00EE2FA1" w:rsidTr="00273AAF">
        <w:tc>
          <w:tcPr>
            <w:tcW w:w="2268"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Diez (10) puntos adicionales Diez por ciento (10%)</w:t>
            </w:r>
          </w:p>
        </w:tc>
        <w:tc>
          <w:tcPr>
            <w:tcW w:w="6379"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Cuando el precio del respectivo a</w:t>
            </w:r>
            <w:r w:rsidRPr="00EE2FA1">
              <w:rPr>
                <w:rFonts w:ascii="Times New Roman" w:hAnsi="Times New Roman" w:cs="Times New Roman"/>
                <w:iCs/>
                <w:sz w:val="28"/>
                <w:u w:val="single"/>
                <w:lang w:eastAsia="es-ES"/>
              </w:rPr>
              <w:t xml:space="preserve">ño gravable objeto de declaración se encuentre por encima del percentil cuarenta y cinco (45) y entre el percentil sesenta (60) de los precios promedio mensuales de los últimos ciento veinte (120) meses, sin incluir el precio de los meses transcurridos en </w:t>
            </w:r>
            <w:r w:rsidRPr="00EE2FA1">
              <w:rPr>
                <w:rFonts w:ascii="Times New Roman" w:hAnsi="Times New Roman" w:cs="Times New Roman"/>
                <w:iCs/>
                <w:sz w:val="28"/>
                <w:u w:val="single"/>
                <w:lang w:eastAsia="es-ES"/>
              </w:rPr>
              <w:t xml:space="preserve">el año de la declaración. </w:t>
            </w:r>
          </w:p>
        </w:tc>
      </w:tr>
      <w:tr w:rsidR="00D22E9F" w:rsidRPr="00EE2FA1" w:rsidTr="00273AAF">
        <w:tc>
          <w:tcPr>
            <w:tcW w:w="2268"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Quince (15) puntos adicionales Quince por ciento (15%)</w:t>
            </w:r>
          </w:p>
        </w:tc>
        <w:tc>
          <w:tcPr>
            <w:tcW w:w="6379" w:type="dxa"/>
            <w:shd w:val="clear" w:color="auto" w:fill="auto"/>
          </w:tcPr>
          <w:p w:rsidR="00990EE6" w:rsidRPr="00EE2FA1" w:rsidRDefault="00EE2FA1" w:rsidP="006D58E6">
            <w:pPr>
              <w:spacing w:line="0" w:lineRule="atLeast"/>
              <w:ind w:left="567" w:firstLine="34"/>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Cuando el precio promedio del respectivo año gravable objeto de declaración se encuentre por encima del percentil sesenta (60) de los precios promedio mensuales de los últim</w:t>
            </w:r>
            <w:r w:rsidRPr="00EE2FA1">
              <w:rPr>
                <w:rFonts w:ascii="Times New Roman" w:hAnsi="Times New Roman" w:cs="Times New Roman"/>
                <w:iCs/>
                <w:sz w:val="28"/>
                <w:u w:val="single"/>
                <w:lang w:eastAsia="es-ES"/>
              </w:rPr>
              <w:t xml:space="preserve">os ciento veinte (120) meses, sin incluir el precio de los meses transcurridos en el año de la declaración. </w:t>
            </w:r>
          </w:p>
        </w:tc>
      </w:tr>
    </w:tbl>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 xml:space="preserve">Los precios promedio de la tabla anterior para la actividad económica extracción de petróleo crudo CIIU - 0610 corresponderán al precio promedio </w:t>
      </w:r>
      <w:r w:rsidRPr="00EE2FA1">
        <w:rPr>
          <w:rFonts w:ascii="Times New Roman" w:hAnsi="Times New Roman" w:cs="Times New Roman"/>
          <w:iCs/>
          <w:sz w:val="28"/>
          <w:u w:val="single"/>
          <w:lang w:eastAsia="es-ES"/>
        </w:rPr>
        <w:t>internacional del petróleo crudo de referencia Brent. USD/Barril deflactado con” el Índice de Precios al Consumidor. para todos los consumidores urbanos de los Estados Unidos de América, publicado por la Oficina de Estadísticas Laborales de ese país.</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lang w:eastAsia="es-ES"/>
        </w:rPr>
        <w:t>Para</w:t>
      </w:r>
      <w:r w:rsidRPr="00EE2FA1">
        <w:rPr>
          <w:rFonts w:ascii="Times New Roman" w:hAnsi="Times New Roman" w:cs="Times New Roman"/>
          <w:iCs/>
          <w:sz w:val="28"/>
          <w:lang w:eastAsia="es-ES"/>
        </w:rPr>
        <w:t xml:space="preserve"> la aplicación de los puntos adicionales, la Unidad de Planeación Minero Energética, en el caso de las actividades de extracción de hulla (carbón de piedra) CIIU 0510 y extracción de carbón lignito CIIU 0520,</w:t>
      </w:r>
      <w:r w:rsidRPr="00EE2FA1">
        <w:rPr>
          <w:rFonts w:ascii="Times New Roman" w:hAnsi="Times New Roman" w:cs="Times New Roman"/>
          <w:iCs/>
          <w:sz w:val="28"/>
          <w:u w:val="single"/>
          <w:lang w:eastAsia="es-ES"/>
        </w:rPr>
        <w:t xml:space="preserve"> y la Agencia Nacional de Hidrocarburos, para el caso de la actividad económica de extracción de petróleo crudo CIIU- 0610, publicarán a más tardar, el Último día hábil de enero de cada año, mediante resolución, la información correspondiente a los precios</w:t>
      </w:r>
      <w:r w:rsidRPr="00EE2FA1">
        <w:rPr>
          <w:rFonts w:ascii="Times New Roman" w:hAnsi="Times New Roman" w:cs="Times New Roman"/>
          <w:iCs/>
          <w:sz w:val="28"/>
          <w:u w:val="single"/>
          <w:lang w:eastAsia="es-ES"/>
        </w:rPr>
        <w:t xml:space="preserve"> promedio del año gravable inmediatamente anterior, </w:t>
      </w:r>
      <w:r w:rsidRPr="00EE2FA1">
        <w:rPr>
          <w:rFonts w:ascii="Times New Roman" w:hAnsi="Times New Roman" w:cs="Times New Roman"/>
          <w:iCs/>
          <w:sz w:val="28"/>
          <w:lang w:eastAsia="es-ES"/>
        </w:rPr>
        <w:t>así como la tabla de percentiles de precios promedio mensuales, incluyendo por lo menos:</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1. El precio promedio del petróleo crudo que se encuentre en el percentil treinta (30) de los precios promedio men</w:t>
      </w:r>
      <w:r w:rsidRPr="00EE2FA1">
        <w:rPr>
          <w:rFonts w:ascii="Times New Roman" w:hAnsi="Times New Roman" w:cs="Times New Roman"/>
          <w:iCs/>
          <w:sz w:val="28"/>
          <w:u w:val="single"/>
          <w:lang w:eastAsia="es-ES"/>
        </w:rPr>
        <w:t>suales de los últimos ciento veinte (120) meses, sin incluir el precio de los meses transcurridos en el año de la declaración.</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2. El precio promedio del petróleo crudo que se encuentre en el percentil cuarenta y cinco (45) de los precios promedio mensuale</w:t>
      </w:r>
      <w:r w:rsidRPr="00EE2FA1">
        <w:rPr>
          <w:rFonts w:ascii="Times New Roman" w:hAnsi="Times New Roman" w:cs="Times New Roman"/>
          <w:iCs/>
          <w:sz w:val="28"/>
          <w:u w:val="single"/>
          <w:lang w:eastAsia="es-ES"/>
        </w:rPr>
        <w:t>s de los últimos ciento veinte (120) meses, sin incluir el precio de los meses transcurridos en el año de la declaración.</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3. El precio promedio del petróleo crudo que se encuentre en el percentil sesenta (60) de los precios promedio mensuales de los últim</w:t>
      </w:r>
      <w:r w:rsidRPr="00EE2FA1">
        <w:rPr>
          <w:rFonts w:ascii="Times New Roman" w:hAnsi="Times New Roman" w:cs="Times New Roman"/>
          <w:iCs/>
          <w:sz w:val="28"/>
          <w:u w:val="single"/>
          <w:lang w:eastAsia="es-ES"/>
        </w:rPr>
        <w:t>os ciento veinte (120) meses, sin incluir el precio de los meses transcurridos en el año de la. declaración.</w:t>
      </w: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4. El precio promedio del carbón que se encuentre en el percentil sesenta y cinco (65) de los precios promedio mensuales de los últimos ciento vein</w:t>
      </w:r>
      <w:r w:rsidRPr="00EE2FA1">
        <w:rPr>
          <w:rFonts w:ascii="Times New Roman" w:hAnsi="Times New Roman" w:cs="Times New Roman"/>
          <w:iCs/>
          <w:sz w:val="28"/>
          <w:lang w:eastAsia="es-ES"/>
        </w:rPr>
        <w:t>te (120) meses, sin incluir el precio de los meses transcurridos en el año de la declaración.</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5. El precio promedio del carbón que se encuentre en el percentil setenta - y cinco (75).de los, precios promedio mensuales de los últimos ciento veinte (120) me</w:t>
      </w:r>
      <w:r w:rsidRPr="00EE2FA1">
        <w:rPr>
          <w:rFonts w:ascii="Times New Roman" w:hAnsi="Times New Roman" w:cs="Times New Roman"/>
          <w:iCs/>
          <w:sz w:val="28"/>
          <w:lang w:eastAsia="es-ES"/>
        </w:rPr>
        <w:t>ses, sin incluir el precio de los meses transcurridos en el año de la declaración.</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Estos puntos adicionales sobre la tarifa del impuesto sobre la renta solo son - aplicables a los contribuyentes de que trata este parágrafo que, en el año gravable correspo</w:t>
      </w:r>
      <w:r w:rsidRPr="00EE2FA1">
        <w:rPr>
          <w:rFonts w:ascii="Times New Roman" w:hAnsi="Times New Roman" w:cs="Times New Roman"/>
          <w:iCs/>
          <w:sz w:val="28"/>
          <w:u w:val="single"/>
          <w:lang w:eastAsia="es-ES"/>
        </w:rPr>
        <w:t>ndiente, tengan una renta gravable igual o superior a cincuenta mil (50.000) UVT. El umbral anterior se calculará de manera agregada para las actividades realizadas por personas vinculadas según los criterios de vinculación previstos en el artículo 260-1 d</w:t>
      </w:r>
      <w:r w:rsidRPr="00EE2FA1">
        <w:rPr>
          <w:rFonts w:ascii="Times New Roman" w:hAnsi="Times New Roman" w:cs="Times New Roman"/>
          <w:iCs/>
          <w:sz w:val="28"/>
          <w:u w:val="single"/>
          <w:lang w:eastAsia="es-ES"/>
        </w:rPr>
        <w:t>e este Estatuto.</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Cuando un mismo contribuyente tenga ingresos por l</w:t>
      </w:r>
      <w:r w:rsidRPr="00EE2FA1">
        <w:rPr>
          <w:rFonts w:ascii="Times New Roman" w:hAnsi="Times New Roman" w:cs="Times New Roman"/>
          <w:iCs/>
          <w:sz w:val="28"/>
          <w:u w:val="single"/>
          <w:lang w:eastAsia="es-ES"/>
        </w:rPr>
        <w:t xml:space="preserve">as diferentes </w:t>
      </w:r>
      <w:r w:rsidRPr="00EE2FA1">
        <w:rPr>
          <w:rFonts w:ascii="Times New Roman" w:hAnsi="Times New Roman" w:cs="Times New Roman"/>
          <w:iCs/>
          <w:sz w:val="28"/>
          <w:u w:val="single"/>
          <w:lang w:eastAsia="es-ES"/>
        </w:rPr>
        <w:t>actividades económicas sujetas a lo aquí previsto, los puntos adicionales serán determinados por la actividad que mayores ingresos fiscales genera para el contribuyente.</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u w:val="single"/>
          <w:lang w:eastAsia="es-ES"/>
        </w:rPr>
        <w:t>Cua</w:t>
      </w:r>
      <w:r w:rsidRPr="00EE2FA1">
        <w:rPr>
          <w:rFonts w:ascii="Times New Roman" w:hAnsi="Times New Roman" w:cs="Times New Roman"/>
          <w:iCs/>
          <w:sz w:val="28"/>
          <w:u w:val="single"/>
          <w:lang w:eastAsia="es-ES"/>
        </w:rPr>
        <w:t>ndo los contribuyentes obtengan ingreso</w:t>
      </w:r>
      <w:r w:rsidRPr="00EE2FA1">
        <w:rPr>
          <w:rFonts w:ascii="Times New Roman" w:hAnsi="Times New Roman" w:cs="Times New Roman"/>
          <w:iCs/>
          <w:sz w:val="28"/>
          <w:u w:val="single"/>
          <w:lang w:eastAsia="es-ES"/>
        </w:rPr>
        <w:t>s</w:t>
      </w:r>
      <w:r w:rsidRPr="00EE2FA1">
        <w:rPr>
          <w:rFonts w:ascii="Times New Roman" w:hAnsi="Times New Roman" w:cs="Times New Roman"/>
          <w:iCs/>
          <w:sz w:val="28"/>
          <w:u w:val="single"/>
          <w:lang w:eastAsia="es-ES"/>
        </w:rPr>
        <w:t xml:space="preserve"> por concepto de venta de gas natural. los puntos adicionales que se deberán adicionar a la tarifa general del impuesto sobre la renta se determinarán .al multiplicar los puntos adicionales determinados de acuerdo a </w:t>
      </w:r>
      <w:r w:rsidRPr="00EE2FA1">
        <w:rPr>
          <w:rFonts w:ascii="Times New Roman" w:hAnsi="Times New Roman" w:cs="Times New Roman"/>
          <w:iCs/>
          <w:sz w:val="28"/>
          <w:u w:val="single"/>
          <w:lang w:eastAsia="es-ES"/>
        </w:rPr>
        <w:t>lo establecido en los incisos anteriores de este parágrafo, por la proporción que dé como resultado la división de la totalidad de los ingresos brutos diferentes a la venta de gas natural entre los ingresos brutos totales”. […]</w:t>
      </w:r>
    </w:p>
    <w:p w:rsidR="00990EE6" w:rsidRPr="00EE2FA1" w:rsidRDefault="00EE2FA1" w:rsidP="006D58E6">
      <w:pPr>
        <w:spacing w:line="0" w:lineRule="atLeast"/>
        <w:ind w:left="567"/>
        <w:jc w:val="both"/>
        <w:rPr>
          <w:rFonts w:ascii="Times New Roman" w:hAnsi="Times New Roman" w:cs="Times New Roman"/>
          <w:iCs/>
          <w:sz w:val="28"/>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Artículo 19. Modifíquese el</w:t>
      </w:r>
      <w:r w:rsidRPr="00EE2FA1">
        <w:rPr>
          <w:rFonts w:ascii="Times New Roman" w:hAnsi="Times New Roman" w:cs="Times New Roman"/>
          <w:iCs/>
          <w:sz w:val="28"/>
          <w:u w:val="single"/>
          <w:lang w:eastAsia="es-ES"/>
        </w:rPr>
        <w:t xml:space="preserve"> artículo 115 del Estatuto Tributario, el cual quedará así:</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Artículo 115. Deducción de impuestos pagados y otros. Es deducible el cien por ciento (100%) de los impuestos, tasas y contribuciones, que efectivamente se hayan pagado durante el año o período gr</w:t>
      </w:r>
      <w:r w:rsidRPr="00EE2FA1">
        <w:rPr>
          <w:rFonts w:ascii="Times New Roman" w:hAnsi="Times New Roman" w:cs="Times New Roman"/>
          <w:iCs/>
          <w:sz w:val="28"/>
          <w:u w:val="single"/>
          <w:lang w:eastAsia="es-ES"/>
        </w:rPr>
        <w:t xml:space="preserve">avable por parte del contribuyente, que tengan relación de causalidad con su actividad económica, con excepción del Impuesto sobre la renta y complementarios. </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En el caso del gravamen a los movimientos financieros será deducible el cincuenta por ciento (5</w:t>
      </w:r>
      <w:r w:rsidRPr="00EE2FA1">
        <w:rPr>
          <w:rFonts w:ascii="Times New Roman" w:hAnsi="Times New Roman" w:cs="Times New Roman"/>
          <w:iCs/>
          <w:sz w:val="28"/>
          <w:u w:val="single"/>
          <w:lang w:eastAsia="es-ES"/>
        </w:rPr>
        <w:t>0%) que haya sido efectivamente pagado por los contribuyentes durante el respectivo año gravable, independientemente que tenga o no relación de causalidad con la actividad económica del contribuyente, siempre que se encuentre debidamente certificado por el</w:t>
      </w:r>
      <w:r w:rsidRPr="00EE2FA1">
        <w:rPr>
          <w:rFonts w:ascii="Times New Roman" w:hAnsi="Times New Roman" w:cs="Times New Roman"/>
          <w:iCs/>
          <w:sz w:val="28"/>
          <w:u w:val="single"/>
          <w:lang w:eastAsia="es-ES"/>
        </w:rPr>
        <w:t xml:space="preserve"> agente retenedor.  </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273AAF">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Las deducciones de que trata el presente artículo en ningún caso podrán tratarse simultáneamente como costo y gasto de la respectiva empresa.</w:t>
      </w:r>
    </w:p>
    <w:p w:rsidR="001F30C8"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 xml:space="preserve">Parágrafo 1. La contraprestación económica a título de regalía de que tratan los artículos </w:t>
      </w:r>
      <w:r w:rsidRPr="00EE2FA1">
        <w:rPr>
          <w:rFonts w:ascii="Times New Roman" w:hAnsi="Times New Roman" w:cs="Times New Roman"/>
          <w:iCs/>
          <w:sz w:val="28"/>
          <w:u w:val="single"/>
          <w:lang w:eastAsia="es-ES"/>
        </w:rPr>
        <w:t>360 y 261 de la Constitución Política no será deducible del impuesto sobre la renta ni podrá tratarse como costo ni gasto de la respectiva empresa, indistintamente de la denominación del pago y del tratamiento contable o financiero que el contribuyente rea</w:t>
      </w:r>
      <w:r w:rsidRPr="00EE2FA1">
        <w:rPr>
          <w:rFonts w:ascii="Times New Roman" w:hAnsi="Times New Roman" w:cs="Times New Roman"/>
          <w:iCs/>
          <w:sz w:val="28"/>
          <w:u w:val="single"/>
          <w:lang w:eastAsia="es-ES"/>
        </w:rPr>
        <w:t xml:space="preserve">lice, e independientemente de la forma del pago de la misma, ya sea en dinero o en especie. Para efectos del impuesto sobre la renta, el monto no deducible correspondiente a las regalías pagadas en especie será al costo total de producción de los recursos </w:t>
      </w:r>
      <w:r w:rsidRPr="00EE2FA1">
        <w:rPr>
          <w:rFonts w:ascii="Times New Roman" w:hAnsi="Times New Roman" w:cs="Times New Roman"/>
          <w:iCs/>
          <w:sz w:val="28"/>
          <w:u w:val="single"/>
          <w:lang w:eastAsia="es-ES"/>
        </w:rPr>
        <w:t>naturales no renovables.</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Cuando el contribuyente haga parte del sector de hidrocarburos y pague la regalía en especie, el costo total de producción de los recursos naturales no renovables (CTP) será el resultado de la sumatoria de los costos anuales de pr</w:t>
      </w:r>
      <w:r w:rsidRPr="00EE2FA1">
        <w:rPr>
          <w:rFonts w:ascii="Times New Roman" w:hAnsi="Times New Roman" w:cs="Times New Roman"/>
          <w:iCs/>
          <w:sz w:val="28"/>
          <w:u w:val="single"/>
          <w:lang w:eastAsia="es-ES"/>
        </w:rPr>
        <w:t>oducción de los recursos naturales no renovables pagados a título de regalía de cada pozo (ΣCP), así:</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CTP = ΣCP</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 xml:space="preserve">El costo anual. de producción (CP) de los recursos naturales no renovables pagados en especie a título de regalía de cada pozo corresponde al </w:t>
      </w:r>
      <w:r w:rsidRPr="00EE2FA1">
        <w:rPr>
          <w:rFonts w:ascii="Times New Roman" w:hAnsi="Times New Roman" w:cs="Times New Roman"/>
          <w:iCs/>
          <w:sz w:val="28"/>
          <w:u w:val="single"/>
          <w:lang w:eastAsia="es-ES"/>
        </w:rPr>
        <w:t>resultado de multiplicar el volumen de hidrocarburos pagados en especie a título de regalía (VR) por el costo unitario (CU) de producir el hidrocarburo pagado en especie, así</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CP=VR x CU</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Donde:</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VR= Es el volumen de hidrocarburo que se paga a título de re</w:t>
      </w:r>
      <w:r w:rsidRPr="00EE2FA1">
        <w:rPr>
          <w:rFonts w:ascii="Times New Roman" w:hAnsi="Times New Roman" w:cs="Times New Roman"/>
          <w:iCs/>
          <w:sz w:val="28"/>
          <w:u w:val="single"/>
          <w:lang w:eastAsia="es-ES"/>
        </w:rPr>
        <w:t>galías en especie por cada pozo, expresado en barriles o barriles equivalentes, durante el año gravable.</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 xml:space="preserve">CU = El costo unitario (CU) se calculará dividiendo el costo total anual (CT) por pozo entre el volumen total anual de barriles producido por el pozo </w:t>
      </w:r>
      <w:r w:rsidRPr="00EE2FA1">
        <w:rPr>
          <w:rFonts w:ascii="Times New Roman" w:hAnsi="Times New Roman" w:cs="Times New Roman"/>
          <w:iCs/>
          <w:sz w:val="28"/>
          <w:u w:val="single"/>
          <w:lang w:eastAsia="es-ES"/>
        </w:rPr>
        <w:t>(VT), así:</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PARÁGRAFO 2. El impuesto al patrimonio y el impuesto de normalización no son deducibles en e1 el impuesto sobre la renta,</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990EE6" w:rsidRPr="00EE2FA1" w:rsidRDefault="00EE2FA1" w:rsidP="006D58E6">
      <w:pPr>
        <w:spacing w:line="0" w:lineRule="atLeast"/>
        <w:ind w:left="567"/>
        <w:jc w:val="both"/>
        <w:rPr>
          <w:rFonts w:ascii="Times New Roman" w:hAnsi="Times New Roman" w:cs="Times New Roman"/>
          <w:iCs/>
          <w:sz w:val="28"/>
          <w:u w:val="single"/>
          <w:lang w:eastAsia="es-ES"/>
        </w:rPr>
      </w:pPr>
      <w:r w:rsidRPr="00EE2FA1">
        <w:rPr>
          <w:rFonts w:ascii="Times New Roman" w:hAnsi="Times New Roman" w:cs="Times New Roman"/>
          <w:iCs/>
          <w:sz w:val="28"/>
          <w:u w:val="single"/>
          <w:lang w:eastAsia="es-ES"/>
        </w:rPr>
        <w:t>PARÁGRAFO 3. Las cuotas de afiliación pagadas a los gremios serán deducibles del impuesto de renta.</w:t>
      </w:r>
    </w:p>
    <w:p w:rsidR="00990EE6" w:rsidRPr="00EE2FA1" w:rsidRDefault="00EE2FA1" w:rsidP="006D58E6">
      <w:pPr>
        <w:spacing w:line="0" w:lineRule="atLeast"/>
        <w:ind w:left="567"/>
        <w:jc w:val="both"/>
        <w:rPr>
          <w:rFonts w:ascii="Times New Roman" w:hAnsi="Times New Roman" w:cs="Times New Roman"/>
          <w:iCs/>
          <w:sz w:val="28"/>
          <w:u w:val="single"/>
          <w:lang w:eastAsia="es-ES"/>
        </w:rPr>
      </w:pPr>
    </w:p>
    <w:p w:rsidR="00776AC8" w:rsidRPr="00EE2FA1" w:rsidRDefault="00EE2FA1" w:rsidP="006D58E6">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u w:val="single"/>
          <w:lang w:eastAsia="es-ES"/>
        </w:rPr>
        <w:t>PARÁGRAFO 4. No se p</w:t>
      </w:r>
      <w:r w:rsidRPr="00EE2FA1">
        <w:rPr>
          <w:rFonts w:ascii="Times New Roman" w:hAnsi="Times New Roman" w:cs="Times New Roman"/>
          <w:iCs/>
          <w:sz w:val="28"/>
          <w:u w:val="single"/>
          <w:lang w:eastAsia="es-ES"/>
        </w:rPr>
        <w:t>odrán deducir del impuesto sobre la renta los pagos por afiliaciones a clubes sociales, gastos. laborales del personal de apoyo en la vivienda u otras actividades ajenas a la actividad productora de renta, gastos personales de los socios, partícipes, accio</w:t>
      </w:r>
      <w:r w:rsidRPr="00EE2FA1">
        <w:rPr>
          <w:rFonts w:ascii="Times New Roman" w:hAnsi="Times New Roman" w:cs="Times New Roman"/>
          <w:iCs/>
          <w:sz w:val="28"/>
          <w:u w:val="single"/>
          <w:lang w:eastAsia="es-ES"/>
        </w:rPr>
        <w:t>nistas, clientes y/o sus familiares</w:t>
      </w:r>
      <w:r w:rsidRPr="00EE2FA1">
        <w:rPr>
          <w:rFonts w:ascii="Times New Roman" w:hAnsi="Times New Roman" w:cs="Times New Roman"/>
          <w:iCs/>
          <w:sz w:val="28"/>
          <w:u w:val="single"/>
          <w:lang w:eastAsia="es-ES"/>
        </w:rPr>
        <w:t>”.</w:t>
      </w:r>
    </w:p>
    <w:p w:rsidR="002E0CCA" w:rsidRPr="00EE2FA1" w:rsidRDefault="00EE2FA1" w:rsidP="00C833B9">
      <w:pPr>
        <w:tabs>
          <w:tab w:val="left" w:pos="426"/>
        </w:tabs>
        <w:spacing w:line="0" w:lineRule="atLeast"/>
        <w:jc w:val="both"/>
        <w:rPr>
          <w:rFonts w:ascii="Times New Roman" w:hAnsi="Times New Roman" w:cs="Times New Roman"/>
          <w:iCs/>
          <w:sz w:val="28"/>
          <w:szCs w:val="28"/>
        </w:rPr>
      </w:pPr>
    </w:p>
    <w:p w:rsidR="00A5492F"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II</w:t>
      </w:r>
      <w:r w:rsidRPr="00EE2FA1">
        <w:rPr>
          <w:rFonts w:ascii="Times New Roman" w:eastAsia="Calibri" w:hAnsi="Times New Roman" w:cs="Times New Roman"/>
          <w:b/>
          <w:sz w:val="28"/>
          <w:szCs w:val="28"/>
          <w:lang w:eastAsia="es-ES"/>
        </w:rPr>
        <w:t>. La demanda</w:t>
      </w:r>
    </w:p>
    <w:p w:rsidR="00B74B75"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BD6CF8"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bCs/>
          <w:sz w:val="28"/>
          <w:szCs w:val="28"/>
          <w:lang w:val="es-ES_tradnl"/>
        </w:rPr>
      </w:pPr>
      <w:r w:rsidRPr="00EE2FA1">
        <w:rPr>
          <w:rFonts w:ascii="Times New Roman" w:hAnsi="Times New Roman" w:cs="Times New Roman"/>
          <w:bCs/>
          <w:sz w:val="28"/>
          <w:szCs w:val="28"/>
          <w:lang w:val="es-ES_tradnl"/>
        </w:rPr>
        <w:t>La accionante argument</w:t>
      </w:r>
      <w:r w:rsidRPr="00EE2FA1">
        <w:rPr>
          <w:rFonts w:ascii="Times New Roman" w:hAnsi="Times New Roman" w:cs="Times New Roman"/>
          <w:bCs/>
          <w:sz w:val="28"/>
          <w:szCs w:val="28"/>
          <w:lang w:val="es-ES_tradnl"/>
        </w:rPr>
        <w:t>ó</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rPr>
        <w:t>que la</w:t>
      </w:r>
      <w:r w:rsidRPr="00EE2FA1">
        <w:rPr>
          <w:rFonts w:ascii="Times New Roman" w:hAnsi="Times New Roman" w:cs="Times New Roman"/>
          <w:bCs/>
          <w:sz w:val="28"/>
          <w:szCs w:val="28"/>
        </w:rPr>
        <w:t>s</w:t>
      </w:r>
      <w:r w:rsidRPr="00EE2FA1">
        <w:rPr>
          <w:rFonts w:ascii="Times New Roman" w:hAnsi="Times New Roman" w:cs="Times New Roman"/>
          <w:bCs/>
          <w:sz w:val="28"/>
          <w:szCs w:val="28"/>
        </w:rPr>
        <w:t xml:space="preserve"> norma</w:t>
      </w:r>
      <w:r w:rsidRPr="00EE2FA1">
        <w:rPr>
          <w:rFonts w:ascii="Times New Roman" w:hAnsi="Times New Roman" w:cs="Times New Roman"/>
          <w:bCs/>
          <w:sz w:val="28"/>
          <w:szCs w:val="28"/>
        </w:rPr>
        <w:t>s</w:t>
      </w:r>
      <w:r w:rsidRPr="00EE2FA1">
        <w:rPr>
          <w:rFonts w:ascii="Times New Roman" w:hAnsi="Times New Roman" w:cs="Times New Roman"/>
          <w:bCs/>
          <w:sz w:val="28"/>
          <w:szCs w:val="28"/>
        </w:rPr>
        <w:t xml:space="preserve"> acusada</w:t>
      </w:r>
      <w:r w:rsidRPr="00EE2FA1">
        <w:rPr>
          <w:rFonts w:ascii="Times New Roman" w:hAnsi="Times New Roman" w:cs="Times New Roman"/>
          <w:bCs/>
          <w:sz w:val="28"/>
          <w:szCs w:val="28"/>
        </w:rPr>
        <w:t>s fueron adoptadas con vicios d</w:t>
      </w:r>
      <w:r w:rsidRPr="00EE2FA1">
        <w:rPr>
          <w:rFonts w:ascii="Times New Roman" w:hAnsi="Times New Roman" w:cs="Times New Roman"/>
          <w:bCs/>
          <w:sz w:val="28"/>
          <w:szCs w:val="28"/>
        </w:rPr>
        <w:t>e procedimiento</w:t>
      </w:r>
      <w:r w:rsidRPr="00EE2FA1">
        <w:rPr>
          <w:rFonts w:ascii="Times New Roman" w:hAnsi="Times New Roman" w:cs="Times New Roman"/>
          <w:bCs/>
          <w:sz w:val="28"/>
          <w:szCs w:val="28"/>
        </w:rPr>
        <w:t xml:space="preserve">. Además, </w:t>
      </w:r>
      <w:r w:rsidRPr="00EE2FA1">
        <w:rPr>
          <w:rFonts w:ascii="Times New Roman" w:hAnsi="Times New Roman" w:cs="Times New Roman"/>
          <w:bCs/>
          <w:sz w:val="28"/>
          <w:szCs w:val="28"/>
        </w:rPr>
        <w:t>consider</w:t>
      </w:r>
      <w:r w:rsidRPr="00EE2FA1">
        <w:rPr>
          <w:rFonts w:ascii="Times New Roman" w:hAnsi="Times New Roman" w:cs="Times New Roman"/>
          <w:bCs/>
          <w:sz w:val="28"/>
          <w:szCs w:val="28"/>
        </w:rPr>
        <w:t>ó</w:t>
      </w:r>
      <w:r w:rsidRPr="00EE2FA1">
        <w:rPr>
          <w:rFonts w:ascii="Times New Roman" w:hAnsi="Times New Roman" w:cs="Times New Roman"/>
          <w:bCs/>
          <w:sz w:val="28"/>
          <w:szCs w:val="28"/>
        </w:rPr>
        <w:t xml:space="preserve"> que </w:t>
      </w:r>
      <w:r w:rsidRPr="00EE2FA1">
        <w:rPr>
          <w:rFonts w:ascii="Times New Roman" w:hAnsi="Times New Roman" w:cs="Times New Roman"/>
          <w:bCs/>
          <w:sz w:val="28"/>
          <w:szCs w:val="28"/>
        </w:rPr>
        <w:t xml:space="preserve">el </w:t>
      </w:r>
      <w:r w:rsidRPr="00EE2FA1">
        <w:rPr>
          <w:rFonts w:ascii="Times New Roman" w:hAnsi="Times New Roman" w:cs="Times New Roman"/>
          <w:sz w:val="28"/>
          <w:szCs w:val="28"/>
        </w:rPr>
        <w:t>parágrafo 3.° del artículo 240</w:t>
      </w:r>
      <w:r w:rsidRPr="00EE2FA1">
        <w:rPr>
          <w:rFonts w:ascii="Times New Roman" w:hAnsi="Times New Roman" w:cs="Times New Roman"/>
          <w:sz w:val="28"/>
          <w:szCs w:val="28"/>
        </w:rPr>
        <w:t xml:space="preserve"> (parcial)</w:t>
      </w:r>
      <w:r w:rsidRPr="00EE2FA1">
        <w:rPr>
          <w:rFonts w:ascii="Times New Roman" w:hAnsi="Times New Roman" w:cs="Times New Roman"/>
          <w:sz w:val="28"/>
          <w:szCs w:val="28"/>
        </w:rPr>
        <w:t xml:space="preserve"> del Estatuto Tributario</w:t>
      </w:r>
      <w:r w:rsidRPr="00EE2FA1">
        <w:rPr>
          <w:rFonts w:ascii="Times New Roman" w:hAnsi="Times New Roman" w:cs="Times New Roman"/>
          <w:bCs/>
          <w:sz w:val="28"/>
          <w:szCs w:val="28"/>
        </w:rPr>
        <w:t xml:space="preserve">, modificado por </w:t>
      </w:r>
      <w:r w:rsidRPr="00EE2FA1">
        <w:rPr>
          <w:rFonts w:ascii="Times New Roman" w:hAnsi="Times New Roman" w:cs="Times New Roman"/>
          <w:bCs/>
          <w:sz w:val="28"/>
          <w:szCs w:val="28"/>
        </w:rPr>
        <w:t>el artículo 10.° de la Ley 2277</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viola </w:t>
      </w:r>
      <w:r w:rsidRPr="00EE2FA1">
        <w:rPr>
          <w:rFonts w:ascii="Times New Roman" w:hAnsi="Times New Roman" w:cs="Times New Roman"/>
          <w:bCs/>
          <w:sz w:val="28"/>
          <w:szCs w:val="28"/>
        </w:rPr>
        <w:t xml:space="preserve">la </w:t>
      </w:r>
      <w:r w:rsidRPr="00EE2FA1">
        <w:rPr>
          <w:rFonts w:ascii="Times New Roman" w:hAnsi="Times New Roman" w:cs="Times New Roman"/>
          <w:bCs/>
          <w:sz w:val="28"/>
          <w:szCs w:val="28"/>
        </w:rPr>
        <w:t xml:space="preserve">prohibición de retroactividad y </w:t>
      </w:r>
      <w:r w:rsidRPr="00EE2FA1">
        <w:rPr>
          <w:rFonts w:ascii="Times New Roman" w:hAnsi="Times New Roman" w:cs="Times New Roman"/>
          <w:bCs/>
          <w:sz w:val="28"/>
          <w:szCs w:val="28"/>
        </w:rPr>
        <w:t>retrospectividad</w:t>
      </w:r>
      <w:r w:rsidRPr="00EE2FA1">
        <w:rPr>
          <w:rFonts w:ascii="Times New Roman" w:hAnsi="Times New Roman" w:cs="Times New Roman"/>
          <w:bCs/>
          <w:sz w:val="28"/>
          <w:szCs w:val="28"/>
        </w:rPr>
        <w:t xml:space="preserve"> de la ley tributaria y </w:t>
      </w:r>
      <w:r w:rsidRPr="00EE2FA1">
        <w:rPr>
          <w:rFonts w:ascii="Times New Roman" w:hAnsi="Times New Roman" w:cs="Times New Roman"/>
          <w:bCs/>
          <w:sz w:val="28"/>
          <w:szCs w:val="28"/>
        </w:rPr>
        <w:t>desconoce los principios de justicia, equidad e igualdad tributarias.</w:t>
      </w:r>
      <w:r w:rsidRPr="00EE2FA1">
        <w:rPr>
          <w:rFonts w:ascii="Times New Roman" w:hAnsi="Times New Roman" w:cs="Times New Roman"/>
          <w:bCs/>
          <w:sz w:val="28"/>
          <w:szCs w:val="28"/>
        </w:rPr>
        <w:t xml:space="preserve"> A continuación, la Sala presenta una síntesis general de las censuras, si</w:t>
      </w:r>
      <w:r w:rsidRPr="00EE2FA1">
        <w:rPr>
          <w:rFonts w:ascii="Times New Roman" w:hAnsi="Times New Roman" w:cs="Times New Roman"/>
          <w:bCs/>
          <w:sz w:val="28"/>
          <w:szCs w:val="28"/>
        </w:rPr>
        <w:t xml:space="preserve">n perjuicio de la aproximación completa de los argumentos al abordar su estudio particular. </w:t>
      </w:r>
      <w:r w:rsidRPr="00EE2FA1">
        <w:rPr>
          <w:rFonts w:ascii="Times New Roman" w:hAnsi="Times New Roman" w:cs="Times New Roman"/>
          <w:bCs/>
          <w:sz w:val="28"/>
          <w:szCs w:val="28"/>
        </w:rPr>
        <w:t xml:space="preserve"> </w:t>
      </w:r>
    </w:p>
    <w:p w:rsidR="00BD6CF8" w:rsidRPr="00EE2FA1" w:rsidRDefault="00EE2FA1" w:rsidP="00C833B9">
      <w:pPr>
        <w:pStyle w:val="Prrafodelista"/>
        <w:tabs>
          <w:tab w:val="left" w:pos="284"/>
          <w:tab w:val="left" w:pos="426"/>
        </w:tabs>
        <w:spacing w:line="0" w:lineRule="atLeast"/>
        <w:ind w:left="0"/>
        <w:jc w:val="both"/>
        <w:rPr>
          <w:rFonts w:ascii="Times New Roman" w:hAnsi="Times New Roman" w:cs="Times New Roman"/>
          <w:bCs/>
          <w:sz w:val="28"/>
          <w:szCs w:val="28"/>
          <w:lang w:val="es-ES_tradnl"/>
        </w:rPr>
      </w:pPr>
    </w:p>
    <w:p w:rsidR="00BD6CF8" w:rsidRPr="00EE2FA1" w:rsidRDefault="00EE2FA1" w:rsidP="00C833B9">
      <w:pPr>
        <w:pStyle w:val="Prrafodelista"/>
        <w:tabs>
          <w:tab w:val="left" w:pos="284"/>
          <w:tab w:val="left" w:pos="426"/>
        </w:tabs>
        <w:spacing w:line="0" w:lineRule="atLeast"/>
        <w:ind w:left="0"/>
        <w:jc w:val="both"/>
        <w:rPr>
          <w:rFonts w:ascii="Times New Roman" w:hAnsi="Times New Roman" w:cs="Times New Roman"/>
          <w:b/>
          <w:sz w:val="28"/>
          <w:szCs w:val="28"/>
          <w:lang w:val="es-ES_tradnl"/>
        </w:rPr>
      </w:pPr>
      <w:r w:rsidRPr="00EE2FA1">
        <w:rPr>
          <w:rFonts w:ascii="Times New Roman" w:hAnsi="Times New Roman" w:cs="Times New Roman"/>
          <w:b/>
          <w:sz w:val="28"/>
          <w:szCs w:val="28"/>
          <w:lang w:val="es-ES_tradnl"/>
        </w:rPr>
        <w:t>Vicios de procedimiento</w:t>
      </w:r>
    </w:p>
    <w:p w:rsidR="00BD6CF8" w:rsidRPr="00EE2FA1" w:rsidRDefault="00EE2FA1" w:rsidP="00C833B9">
      <w:pPr>
        <w:pStyle w:val="Prrafodelista"/>
        <w:tabs>
          <w:tab w:val="left" w:pos="284"/>
          <w:tab w:val="left" w:pos="426"/>
        </w:tabs>
        <w:spacing w:line="0" w:lineRule="atLeast"/>
        <w:ind w:left="0"/>
        <w:jc w:val="both"/>
        <w:rPr>
          <w:rFonts w:ascii="Times New Roman" w:hAnsi="Times New Roman" w:cs="Times New Roman"/>
          <w:bCs/>
          <w:sz w:val="28"/>
          <w:szCs w:val="28"/>
          <w:lang w:val="es-ES_tradnl"/>
        </w:rPr>
      </w:pPr>
    </w:p>
    <w:p w:rsidR="00955462"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bCs/>
          <w:sz w:val="28"/>
          <w:szCs w:val="28"/>
          <w:lang w:val="es-ES_tradnl"/>
        </w:rPr>
      </w:pPr>
      <w:r w:rsidRPr="00EE2FA1">
        <w:rPr>
          <w:rFonts w:ascii="Times New Roman" w:hAnsi="Times New Roman" w:cs="Times New Roman"/>
          <w:bCs/>
          <w:i/>
          <w:iCs/>
          <w:sz w:val="28"/>
          <w:szCs w:val="28"/>
        </w:rPr>
        <w:t>Primer cargo</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La demanda </w:t>
      </w:r>
      <w:r w:rsidRPr="00EE2FA1">
        <w:rPr>
          <w:rFonts w:ascii="Times New Roman" w:hAnsi="Times New Roman" w:cs="Times New Roman"/>
          <w:bCs/>
          <w:sz w:val="28"/>
          <w:szCs w:val="28"/>
        </w:rPr>
        <w:t>estim</w:t>
      </w:r>
      <w:r w:rsidRPr="00EE2FA1">
        <w:rPr>
          <w:rFonts w:ascii="Times New Roman" w:hAnsi="Times New Roman" w:cs="Times New Roman"/>
          <w:bCs/>
          <w:sz w:val="28"/>
          <w:szCs w:val="28"/>
        </w:rPr>
        <w:t>ó</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que</w:t>
      </w:r>
      <w:r w:rsidRPr="00EE2FA1">
        <w:rPr>
          <w:rFonts w:ascii="Times New Roman" w:hAnsi="Times New Roman" w:cs="Times New Roman"/>
          <w:bCs/>
          <w:sz w:val="28"/>
          <w:szCs w:val="28"/>
        </w:rPr>
        <w:t xml:space="preserve"> la adopción de los artículos 10 y 19 de la Ley 2277 de 2022</w:t>
      </w:r>
      <w:r w:rsidRPr="00EE2FA1">
        <w:rPr>
          <w:rFonts w:ascii="Times New Roman" w:hAnsi="Times New Roman" w:cs="Times New Roman"/>
          <w:bCs/>
          <w:sz w:val="28"/>
          <w:szCs w:val="28"/>
        </w:rPr>
        <w:t xml:space="preserve"> vulner</w:t>
      </w:r>
      <w:r w:rsidRPr="00EE2FA1">
        <w:rPr>
          <w:rFonts w:ascii="Times New Roman" w:hAnsi="Times New Roman" w:cs="Times New Roman"/>
          <w:bCs/>
          <w:sz w:val="28"/>
          <w:szCs w:val="28"/>
        </w:rPr>
        <w:t>ó</w:t>
      </w:r>
      <w:r w:rsidRPr="00EE2FA1">
        <w:rPr>
          <w:rFonts w:ascii="Times New Roman" w:hAnsi="Times New Roman" w:cs="Times New Roman"/>
          <w:bCs/>
          <w:sz w:val="28"/>
          <w:szCs w:val="28"/>
        </w:rPr>
        <w:t xml:space="preserve"> </w:t>
      </w:r>
      <w:bookmarkStart w:id="3" w:name="_Hlk161153770"/>
      <w:r w:rsidRPr="00EE2FA1">
        <w:rPr>
          <w:rFonts w:ascii="Times New Roman" w:hAnsi="Times New Roman" w:cs="Times New Roman"/>
          <w:bCs/>
          <w:sz w:val="28"/>
          <w:szCs w:val="28"/>
        </w:rPr>
        <w:t>el artículo</w:t>
      </w:r>
      <w:r w:rsidRPr="00EE2FA1">
        <w:rPr>
          <w:rFonts w:ascii="Times New Roman" w:hAnsi="Times New Roman" w:cs="Times New Roman"/>
          <w:bCs/>
          <w:sz w:val="28"/>
          <w:szCs w:val="28"/>
        </w:rPr>
        <w:t xml:space="preserve"> 157 de la Constitución </w:t>
      </w:r>
      <w:r w:rsidRPr="00EE2FA1">
        <w:rPr>
          <w:rFonts w:ascii="Times New Roman" w:hAnsi="Times New Roman" w:cs="Times New Roman"/>
          <w:bCs/>
          <w:sz w:val="28"/>
          <w:szCs w:val="28"/>
        </w:rPr>
        <w:t>y</w:t>
      </w:r>
      <w:r w:rsidRPr="00EE2FA1">
        <w:rPr>
          <w:rFonts w:ascii="Times New Roman" w:hAnsi="Times New Roman" w:cs="Times New Roman"/>
          <w:bCs/>
          <w:sz w:val="28"/>
          <w:szCs w:val="28"/>
        </w:rPr>
        <w:t xml:space="preserve"> los artículos</w:t>
      </w:r>
      <w:r w:rsidRPr="00EE2FA1">
        <w:rPr>
          <w:rFonts w:ascii="Times New Roman" w:hAnsi="Times New Roman" w:cs="Times New Roman"/>
          <w:bCs/>
          <w:sz w:val="28"/>
          <w:szCs w:val="28"/>
        </w:rPr>
        <w:t xml:space="preserve"> 157 y 173 de la Ley 5</w:t>
      </w:r>
      <w:r w:rsidRPr="00EE2FA1">
        <w:rPr>
          <w:rFonts w:ascii="Times New Roman" w:hAnsi="Times New Roman" w:cs="Times New Roman"/>
          <w:bCs/>
          <w:sz w:val="28"/>
          <w:szCs w:val="28"/>
        </w:rPr>
        <w:t xml:space="preserve">ª </w:t>
      </w:r>
      <w:r w:rsidRPr="00EE2FA1">
        <w:rPr>
          <w:rFonts w:ascii="Times New Roman" w:hAnsi="Times New Roman" w:cs="Times New Roman"/>
          <w:bCs/>
          <w:sz w:val="28"/>
          <w:szCs w:val="28"/>
        </w:rPr>
        <w:t>de 1992</w:t>
      </w:r>
      <w:r w:rsidRPr="00EE2FA1">
        <w:rPr>
          <w:rFonts w:ascii="Times New Roman" w:hAnsi="Times New Roman" w:cs="Times New Roman"/>
          <w:bCs/>
          <w:sz w:val="28"/>
          <w:szCs w:val="28"/>
        </w:rPr>
        <w:t xml:space="preserve">, al desconocerse el principio de </w:t>
      </w:r>
      <w:r w:rsidRPr="00EE2FA1">
        <w:rPr>
          <w:rFonts w:ascii="Times New Roman" w:hAnsi="Times New Roman" w:cs="Times New Roman"/>
          <w:bCs/>
          <w:sz w:val="28"/>
          <w:szCs w:val="28"/>
        </w:rPr>
        <w:t>consecutividad</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lang w:val="es-ES_tradnl"/>
        </w:rPr>
        <w:t>La actora especificó que la referida ley fue tramitada con mensaje de urgencia e insistencia, razón por la cual el primer debate se real</w:t>
      </w:r>
      <w:r w:rsidRPr="00EE2FA1">
        <w:rPr>
          <w:rFonts w:ascii="Times New Roman" w:hAnsi="Times New Roman" w:cs="Times New Roman"/>
          <w:bCs/>
          <w:sz w:val="28"/>
          <w:szCs w:val="28"/>
          <w:lang w:val="es-ES_tradnl"/>
        </w:rPr>
        <w:t>izó en comisiones conjuntas y, una vez designados los ponentes, se presentaron distintos informes de ponencia, al no haber sido posible presentar una sola</w:t>
      </w:r>
      <w:r w:rsidRPr="00EE2FA1">
        <w:rPr>
          <w:rFonts w:ascii="Times New Roman" w:hAnsi="Times New Roman" w:cs="Times New Roman"/>
          <w:bCs/>
          <w:sz w:val="28"/>
          <w:szCs w:val="28"/>
          <w:lang w:val="es-ES_tradnl"/>
        </w:rPr>
        <w:t xml:space="preserve"> ponencia</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 xml:space="preserve">Añadió </w:t>
      </w:r>
      <w:r w:rsidRPr="00EE2FA1">
        <w:rPr>
          <w:rFonts w:ascii="Times New Roman" w:hAnsi="Times New Roman" w:cs="Times New Roman"/>
          <w:bCs/>
          <w:sz w:val="28"/>
          <w:szCs w:val="28"/>
          <w:lang w:val="es-ES_tradnl"/>
        </w:rPr>
        <w:t>que en el primer debate en el Senado se omitió la votación de la ponencia minoritari</w:t>
      </w:r>
      <w:r w:rsidRPr="00EE2FA1">
        <w:rPr>
          <w:rFonts w:ascii="Times New Roman" w:hAnsi="Times New Roman" w:cs="Times New Roman"/>
          <w:bCs/>
          <w:sz w:val="28"/>
          <w:szCs w:val="28"/>
          <w:lang w:val="es-ES_tradnl"/>
        </w:rPr>
        <w:t xml:space="preserve">a de archivo, al considerar que ya se había cumplido con </w:t>
      </w:r>
      <w:r w:rsidRPr="00EE2FA1">
        <w:rPr>
          <w:rFonts w:ascii="Times New Roman" w:hAnsi="Times New Roman" w:cs="Times New Roman"/>
          <w:bCs/>
          <w:sz w:val="28"/>
          <w:szCs w:val="28"/>
          <w:lang w:val="es-ES_tradnl"/>
        </w:rPr>
        <w:t xml:space="preserve">ese </w:t>
      </w:r>
      <w:r w:rsidRPr="00EE2FA1">
        <w:rPr>
          <w:rFonts w:ascii="Times New Roman" w:hAnsi="Times New Roman" w:cs="Times New Roman"/>
          <w:bCs/>
          <w:sz w:val="28"/>
          <w:szCs w:val="28"/>
          <w:lang w:val="es-ES_tradnl"/>
        </w:rPr>
        <w:t>requisito</w:t>
      </w:r>
      <w:r w:rsidRPr="00EE2FA1">
        <w:rPr>
          <w:rFonts w:ascii="Times New Roman" w:hAnsi="Times New Roman" w:cs="Times New Roman"/>
          <w:bCs/>
          <w:sz w:val="28"/>
          <w:szCs w:val="28"/>
          <w:lang w:val="es-ES_tradnl"/>
        </w:rPr>
        <w:t xml:space="preserve"> al haber sido debatida y negada en </w:t>
      </w:r>
      <w:r w:rsidRPr="00EE2FA1">
        <w:rPr>
          <w:rFonts w:ascii="Times New Roman" w:hAnsi="Times New Roman" w:cs="Times New Roman"/>
          <w:bCs/>
          <w:sz w:val="28"/>
          <w:szCs w:val="28"/>
          <w:lang w:val="es-ES_tradnl"/>
        </w:rPr>
        <w:t xml:space="preserve">la Cámara de Representantes. </w:t>
      </w:r>
      <w:r w:rsidRPr="00EE2FA1">
        <w:rPr>
          <w:rFonts w:ascii="Times New Roman" w:hAnsi="Times New Roman" w:cs="Times New Roman"/>
          <w:bCs/>
          <w:sz w:val="28"/>
          <w:szCs w:val="28"/>
          <w:lang w:val="es-ES_tradnl"/>
        </w:rPr>
        <w:t>P</w:t>
      </w:r>
      <w:r w:rsidRPr="00EE2FA1">
        <w:rPr>
          <w:rFonts w:ascii="Times New Roman" w:hAnsi="Times New Roman" w:cs="Times New Roman"/>
          <w:bCs/>
          <w:sz w:val="28"/>
          <w:szCs w:val="28"/>
          <w:lang w:val="es-ES_tradnl"/>
        </w:rPr>
        <w:t>ara la accionante esto va en contra de lo establecido en el artículo 173 de la Ley 5</w:t>
      </w:r>
      <w:r w:rsidRPr="00EE2FA1">
        <w:rPr>
          <w:rFonts w:ascii="Times New Roman" w:hAnsi="Times New Roman" w:cs="Times New Roman"/>
          <w:bCs/>
          <w:sz w:val="28"/>
          <w:szCs w:val="28"/>
          <w:lang w:val="es-ES_tradnl"/>
        </w:rPr>
        <w:t>ª</w:t>
      </w:r>
      <w:r w:rsidRPr="00EE2FA1">
        <w:rPr>
          <w:rFonts w:ascii="Times New Roman" w:hAnsi="Times New Roman" w:cs="Times New Roman"/>
          <w:bCs/>
          <w:sz w:val="28"/>
          <w:szCs w:val="28"/>
          <w:lang w:val="es-ES_tradnl"/>
        </w:rPr>
        <w:t xml:space="preserve"> de 1992, el cual indica que cada </w:t>
      </w:r>
      <w:r w:rsidRPr="00EE2FA1">
        <w:rPr>
          <w:rFonts w:ascii="Times New Roman" w:hAnsi="Times New Roman" w:cs="Times New Roman"/>
          <w:bCs/>
          <w:sz w:val="28"/>
          <w:szCs w:val="28"/>
          <w:lang w:val="es-ES_tradnl"/>
        </w:rPr>
        <w:t xml:space="preserve">comisión </w:t>
      </w:r>
      <w:r w:rsidRPr="00EE2FA1">
        <w:rPr>
          <w:rFonts w:ascii="Times New Roman" w:hAnsi="Times New Roman" w:cs="Times New Roman"/>
          <w:bCs/>
          <w:sz w:val="28"/>
          <w:szCs w:val="28"/>
          <w:lang w:val="es-ES_tradnl"/>
        </w:rPr>
        <w:t>deberá votar por separado.</w:t>
      </w:r>
      <w:bookmarkEnd w:id="3"/>
    </w:p>
    <w:p w:rsidR="005C3254" w:rsidRPr="00EE2FA1" w:rsidRDefault="00EE2FA1" w:rsidP="00C833B9">
      <w:pPr>
        <w:pStyle w:val="Prrafodelista"/>
        <w:tabs>
          <w:tab w:val="left" w:pos="284"/>
          <w:tab w:val="left" w:pos="426"/>
        </w:tabs>
        <w:spacing w:line="0" w:lineRule="atLeast"/>
        <w:ind w:left="0"/>
        <w:jc w:val="both"/>
        <w:rPr>
          <w:rFonts w:ascii="Times New Roman" w:hAnsi="Times New Roman" w:cs="Times New Roman"/>
          <w:bCs/>
          <w:sz w:val="28"/>
          <w:szCs w:val="28"/>
          <w:lang w:val="es-ES_tradnl"/>
        </w:rPr>
      </w:pPr>
    </w:p>
    <w:p w:rsidR="00A6679C"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bCs/>
          <w:sz w:val="28"/>
          <w:szCs w:val="28"/>
        </w:rPr>
      </w:pPr>
      <w:r w:rsidRPr="00EE2FA1">
        <w:rPr>
          <w:rFonts w:ascii="Times New Roman" w:hAnsi="Times New Roman" w:cs="Times New Roman"/>
          <w:bCs/>
          <w:i/>
          <w:iCs/>
          <w:sz w:val="28"/>
          <w:szCs w:val="28"/>
          <w:lang w:val="es-ES_tradnl"/>
        </w:rPr>
        <w:t>Segundo cargo</w:t>
      </w:r>
      <w:r w:rsidRPr="00EE2FA1">
        <w:rPr>
          <w:rFonts w:ascii="Times New Roman" w:hAnsi="Times New Roman" w:cs="Times New Roman"/>
          <w:bCs/>
          <w:sz w:val="28"/>
          <w:szCs w:val="28"/>
          <w:lang w:val="es-ES_tradnl"/>
        </w:rPr>
        <w:t>. A</w:t>
      </w:r>
      <w:r w:rsidRPr="00EE2FA1">
        <w:rPr>
          <w:rFonts w:ascii="Times New Roman" w:hAnsi="Times New Roman" w:cs="Times New Roman"/>
          <w:bCs/>
          <w:sz w:val="28"/>
          <w:szCs w:val="28"/>
          <w:lang w:val="es-ES_tradnl"/>
        </w:rPr>
        <w:t xml:space="preserve"> juicio de la demandante </w:t>
      </w:r>
      <w:r w:rsidRPr="00EE2FA1">
        <w:rPr>
          <w:rFonts w:ascii="Times New Roman" w:hAnsi="Times New Roman" w:cs="Times New Roman"/>
          <w:bCs/>
          <w:sz w:val="28"/>
          <w:szCs w:val="28"/>
          <w:lang w:val="es-ES_tradnl"/>
        </w:rPr>
        <w:t xml:space="preserve">las normas </w:t>
      </w:r>
      <w:r w:rsidRPr="00EE2FA1">
        <w:rPr>
          <w:rFonts w:ascii="Times New Roman" w:hAnsi="Times New Roman" w:cs="Times New Roman"/>
          <w:bCs/>
          <w:sz w:val="28"/>
          <w:szCs w:val="28"/>
          <w:lang w:val="es-ES_tradnl"/>
        </w:rPr>
        <w:t>acusadas</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 xml:space="preserve">violaron </w:t>
      </w:r>
      <w:r w:rsidRPr="00EE2FA1">
        <w:rPr>
          <w:rFonts w:ascii="Times New Roman" w:hAnsi="Times New Roman" w:cs="Times New Roman"/>
          <w:bCs/>
          <w:sz w:val="28"/>
          <w:szCs w:val="28"/>
          <w:lang w:val="es-ES_tradnl"/>
        </w:rPr>
        <w:t>el artículo</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 xml:space="preserve">157.2 </w:t>
      </w:r>
      <w:r w:rsidRPr="00EE2FA1">
        <w:rPr>
          <w:rFonts w:ascii="Times New Roman" w:hAnsi="Times New Roman" w:cs="Times New Roman"/>
          <w:bCs/>
          <w:sz w:val="28"/>
          <w:szCs w:val="28"/>
          <w:lang w:val="es-ES_tradnl"/>
        </w:rPr>
        <w:t>superior y</w:t>
      </w:r>
      <w:r w:rsidRPr="00EE2FA1">
        <w:rPr>
          <w:rFonts w:ascii="Times New Roman" w:hAnsi="Times New Roman" w:cs="Times New Roman"/>
          <w:bCs/>
          <w:sz w:val="28"/>
          <w:szCs w:val="28"/>
          <w:lang w:val="es-ES_tradnl"/>
        </w:rPr>
        <w:t xml:space="preserve"> los artículos</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sz w:val="28"/>
          <w:szCs w:val="28"/>
        </w:rPr>
        <w:t xml:space="preserve">111, 112, 115, 160 y 162 </w:t>
      </w:r>
      <w:r w:rsidRPr="00EE2FA1">
        <w:rPr>
          <w:rFonts w:ascii="Times New Roman" w:hAnsi="Times New Roman" w:cs="Times New Roman"/>
          <w:bCs/>
          <w:sz w:val="28"/>
          <w:szCs w:val="28"/>
          <w:lang w:val="es-ES_tradnl"/>
        </w:rPr>
        <w:t>de la Ley 5</w:t>
      </w:r>
      <w:r w:rsidRPr="00EE2FA1">
        <w:rPr>
          <w:rFonts w:ascii="Times New Roman" w:hAnsi="Times New Roman" w:cs="Times New Roman"/>
          <w:bCs/>
          <w:sz w:val="28"/>
          <w:szCs w:val="28"/>
          <w:lang w:val="es-ES_tradnl"/>
        </w:rPr>
        <w:t xml:space="preserve">ª </w:t>
      </w:r>
      <w:r w:rsidRPr="00EE2FA1">
        <w:rPr>
          <w:rFonts w:ascii="Times New Roman" w:hAnsi="Times New Roman" w:cs="Times New Roman"/>
          <w:bCs/>
          <w:sz w:val="28"/>
          <w:szCs w:val="28"/>
          <w:lang w:val="es-ES_tradnl"/>
        </w:rPr>
        <w:t>de 1992</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S</w:t>
      </w:r>
      <w:r w:rsidRPr="00EE2FA1">
        <w:rPr>
          <w:rFonts w:ascii="Times New Roman" w:hAnsi="Times New Roman" w:cs="Times New Roman"/>
          <w:bCs/>
          <w:sz w:val="28"/>
          <w:szCs w:val="28"/>
          <w:lang w:val="es-ES_tradnl"/>
        </w:rPr>
        <w:t>eñal</w:t>
      </w:r>
      <w:r w:rsidRPr="00EE2FA1">
        <w:rPr>
          <w:rFonts w:ascii="Times New Roman" w:hAnsi="Times New Roman" w:cs="Times New Roman"/>
          <w:bCs/>
          <w:sz w:val="28"/>
          <w:szCs w:val="28"/>
          <w:lang w:val="es-ES_tradnl"/>
        </w:rPr>
        <w:t xml:space="preserve">ó </w:t>
      </w:r>
      <w:r w:rsidRPr="00EE2FA1">
        <w:rPr>
          <w:rFonts w:ascii="Times New Roman" w:hAnsi="Times New Roman" w:cs="Times New Roman"/>
          <w:bCs/>
          <w:sz w:val="28"/>
          <w:szCs w:val="28"/>
          <w:lang w:val="es-ES_tradnl"/>
        </w:rPr>
        <w:t xml:space="preserve">que los artículos demandados fueron aprobados sin que se debatieran y votaran las cuatro proposiciones modificativas </w:t>
      </w:r>
      <w:r w:rsidRPr="00EE2FA1">
        <w:rPr>
          <w:rFonts w:ascii="Times New Roman" w:hAnsi="Times New Roman" w:cs="Times New Roman"/>
          <w:bCs/>
          <w:sz w:val="28"/>
          <w:szCs w:val="28"/>
          <w:lang w:val="es-ES_tradnl"/>
        </w:rPr>
        <w:t>elevadas</w:t>
      </w:r>
      <w:r w:rsidRPr="00EE2FA1">
        <w:rPr>
          <w:rFonts w:ascii="Times New Roman" w:hAnsi="Times New Roman" w:cs="Times New Roman"/>
          <w:bCs/>
          <w:sz w:val="28"/>
          <w:szCs w:val="28"/>
          <w:lang w:val="es-ES_tradnl"/>
        </w:rPr>
        <w:t xml:space="preserve"> por congresistas de partidos minoritarios</w:t>
      </w:r>
      <w:r w:rsidRPr="00EE2FA1">
        <w:rPr>
          <w:rStyle w:val="Refdenotaalpie"/>
          <w:rFonts w:ascii="Times New Roman" w:hAnsi="Times New Roman" w:cs="Times New Roman"/>
          <w:bCs/>
          <w:sz w:val="28"/>
          <w:szCs w:val="28"/>
          <w:lang w:val="es-ES_tradnl"/>
        </w:rPr>
        <w:footnoteReference w:id="7"/>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 xml:space="preserve">frente a esos artículos </w:t>
      </w:r>
      <w:r w:rsidRPr="00EE2FA1">
        <w:rPr>
          <w:rFonts w:ascii="Times New Roman" w:hAnsi="Times New Roman" w:cs="Times New Roman"/>
          <w:bCs/>
          <w:sz w:val="28"/>
          <w:szCs w:val="28"/>
          <w:lang w:val="es-ES_tradnl"/>
        </w:rPr>
        <w:t>y que no fueron retiradas ni dejadas como constancia por sus au</w:t>
      </w:r>
      <w:r w:rsidRPr="00EE2FA1">
        <w:rPr>
          <w:rFonts w:ascii="Times New Roman" w:hAnsi="Times New Roman" w:cs="Times New Roman"/>
          <w:bCs/>
          <w:sz w:val="28"/>
          <w:szCs w:val="28"/>
          <w:lang w:val="es-ES_tradnl"/>
        </w:rPr>
        <w:t xml:space="preserve">tores. </w:t>
      </w:r>
    </w:p>
    <w:p w:rsidR="00A6679C" w:rsidRPr="00EE2FA1" w:rsidRDefault="00EE2FA1" w:rsidP="00C833B9">
      <w:pPr>
        <w:pStyle w:val="Prrafodelista"/>
        <w:tabs>
          <w:tab w:val="left" w:pos="426"/>
        </w:tabs>
        <w:spacing w:line="0" w:lineRule="atLeast"/>
        <w:ind w:left="0"/>
        <w:jc w:val="both"/>
        <w:rPr>
          <w:rFonts w:ascii="Times New Roman" w:hAnsi="Times New Roman" w:cs="Times New Roman"/>
          <w:bCs/>
          <w:sz w:val="28"/>
          <w:szCs w:val="28"/>
        </w:rPr>
      </w:pPr>
    </w:p>
    <w:p w:rsidR="00A6679C"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bCs/>
          <w:sz w:val="28"/>
          <w:szCs w:val="28"/>
          <w:lang w:val="es-ES_tradnl"/>
        </w:rPr>
      </w:pPr>
      <w:r w:rsidRPr="00EE2FA1">
        <w:rPr>
          <w:rFonts w:ascii="Times New Roman" w:hAnsi="Times New Roman" w:cs="Times New Roman"/>
          <w:bCs/>
          <w:i/>
          <w:iCs/>
          <w:sz w:val="28"/>
          <w:szCs w:val="28"/>
        </w:rPr>
        <w:t>Tercer cargo</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La ciudadana </w:t>
      </w:r>
      <w:r w:rsidRPr="00EE2FA1">
        <w:rPr>
          <w:rFonts w:ascii="Times New Roman" w:hAnsi="Times New Roman" w:cs="Times New Roman"/>
          <w:bCs/>
          <w:sz w:val="28"/>
          <w:szCs w:val="28"/>
        </w:rPr>
        <w:t>manifestó</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que los artículos demandados fueron </w:t>
      </w:r>
      <w:r w:rsidRPr="00EE2FA1">
        <w:rPr>
          <w:rFonts w:ascii="Times New Roman" w:hAnsi="Times New Roman" w:cs="Times New Roman"/>
          <w:bCs/>
          <w:sz w:val="28"/>
          <w:szCs w:val="28"/>
        </w:rPr>
        <w:t>aprobados con desconoc</w:t>
      </w:r>
      <w:r w:rsidRPr="00EE2FA1">
        <w:rPr>
          <w:rFonts w:ascii="Times New Roman" w:hAnsi="Times New Roman" w:cs="Times New Roman"/>
          <w:bCs/>
          <w:sz w:val="28"/>
          <w:szCs w:val="28"/>
        </w:rPr>
        <w:t>imiento de l</w:t>
      </w:r>
      <w:r w:rsidRPr="00EE2FA1">
        <w:rPr>
          <w:rFonts w:ascii="Times New Roman" w:hAnsi="Times New Roman" w:cs="Times New Roman"/>
          <w:bCs/>
          <w:sz w:val="28"/>
          <w:szCs w:val="28"/>
        </w:rPr>
        <w:t xml:space="preserve">o previsto en los artículos </w:t>
      </w:r>
      <w:r w:rsidRPr="00EE2FA1">
        <w:rPr>
          <w:rFonts w:ascii="Times New Roman" w:hAnsi="Times New Roman" w:cs="Times New Roman"/>
          <w:sz w:val="28"/>
          <w:szCs w:val="28"/>
        </w:rPr>
        <w:t xml:space="preserve">134, 158 y 173 de la Ley 5ª de 1992. </w:t>
      </w:r>
      <w:r w:rsidRPr="00EE2FA1">
        <w:rPr>
          <w:rFonts w:ascii="Times New Roman" w:hAnsi="Times New Roman" w:cs="Times New Roman"/>
          <w:sz w:val="28"/>
          <w:szCs w:val="28"/>
        </w:rPr>
        <w:t xml:space="preserve">Lo anterior, al ser </w:t>
      </w:r>
      <w:r w:rsidRPr="00EE2FA1">
        <w:rPr>
          <w:rFonts w:ascii="Times New Roman" w:hAnsi="Times New Roman" w:cs="Times New Roman"/>
          <w:bCs/>
          <w:sz w:val="28"/>
          <w:szCs w:val="28"/>
        </w:rPr>
        <w:t xml:space="preserve">votados en bloque sin cumplir los requisitos previstos para ello. En particular, </w:t>
      </w:r>
      <w:r w:rsidRPr="00EE2FA1">
        <w:rPr>
          <w:rFonts w:ascii="Times New Roman" w:hAnsi="Times New Roman" w:cs="Times New Roman"/>
          <w:bCs/>
          <w:sz w:val="28"/>
          <w:szCs w:val="28"/>
        </w:rPr>
        <w:t xml:space="preserve">sostuvo </w:t>
      </w:r>
      <w:r w:rsidRPr="00EE2FA1">
        <w:rPr>
          <w:rFonts w:ascii="Times New Roman" w:hAnsi="Times New Roman" w:cs="Times New Roman"/>
          <w:bCs/>
          <w:sz w:val="28"/>
          <w:szCs w:val="28"/>
        </w:rPr>
        <w:t xml:space="preserve">que se </w:t>
      </w:r>
      <w:r w:rsidRPr="00EE2FA1">
        <w:rPr>
          <w:rFonts w:ascii="Times New Roman" w:hAnsi="Times New Roman" w:cs="Times New Roman"/>
          <w:bCs/>
          <w:sz w:val="28"/>
          <w:szCs w:val="28"/>
        </w:rPr>
        <w:t>incumplió la r</w:t>
      </w:r>
      <w:r w:rsidRPr="00EE2FA1">
        <w:rPr>
          <w:rFonts w:ascii="Times New Roman" w:hAnsi="Times New Roman" w:cs="Times New Roman"/>
          <w:bCs/>
          <w:sz w:val="28"/>
          <w:szCs w:val="28"/>
        </w:rPr>
        <w:t>e</w:t>
      </w:r>
      <w:r w:rsidRPr="00EE2FA1">
        <w:rPr>
          <w:rFonts w:ascii="Times New Roman" w:hAnsi="Times New Roman" w:cs="Times New Roman"/>
          <w:bCs/>
          <w:sz w:val="28"/>
          <w:szCs w:val="28"/>
        </w:rPr>
        <w:t>gla jurisprudencial establecida en la Sentencia C-044 de 2015</w:t>
      </w:r>
      <w:r w:rsidRPr="00EE2FA1">
        <w:rPr>
          <w:rFonts w:ascii="Times New Roman" w:hAnsi="Times New Roman" w:cs="Times New Roman"/>
          <w:bCs/>
          <w:sz w:val="28"/>
          <w:szCs w:val="28"/>
        </w:rPr>
        <w:t>.</w:t>
      </w:r>
    </w:p>
    <w:p w:rsidR="00366A2A" w:rsidRPr="00EE2FA1" w:rsidRDefault="00EE2FA1" w:rsidP="00C833B9">
      <w:pPr>
        <w:tabs>
          <w:tab w:val="left" w:pos="426"/>
        </w:tabs>
        <w:spacing w:line="0" w:lineRule="atLeast"/>
        <w:jc w:val="both"/>
        <w:rPr>
          <w:rFonts w:ascii="Times New Roman" w:hAnsi="Times New Roman" w:cs="Times New Roman"/>
          <w:bCs/>
          <w:sz w:val="28"/>
          <w:szCs w:val="28"/>
          <w:lang w:val="es-ES_tradnl"/>
        </w:rPr>
      </w:pPr>
    </w:p>
    <w:p w:rsidR="00D05999" w:rsidRPr="00EE2FA1" w:rsidRDefault="00EE2FA1" w:rsidP="00C833B9">
      <w:pPr>
        <w:tabs>
          <w:tab w:val="left" w:pos="426"/>
        </w:tabs>
        <w:spacing w:line="0" w:lineRule="atLeast"/>
        <w:jc w:val="both"/>
        <w:rPr>
          <w:rFonts w:ascii="Times New Roman" w:hAnsi="Times New Roman" w:cs="Times New Roman"/>
          <w:b/>
          <w:sz w:val="28"/>
          <w:szCs w:val="28"/>
          <w:lang w:val="es-ES_tradnl"/>
        </w:rPr>
      </w:pPr>
      <w:r w:rsidRPr="00EE2FA1">
        <w:rPr>
          <w:rFonts w:ascii="Times New Roman" w:hAnsi="Times New Roman" w:cs="Times New Roman"/>
          <w:b/>
          <w:sz w:val="28"/>
          <w:szCs w:val="28"/>
          <w:lang w:val="es-ES_tradnl"/>
        </w:rPr>
        <w:t>Vicios de fondo</w:t>
      </w:r>
    </w:p>
    <w:p w:rsidR="00D05999" w:rsidRPr="00EE2FA1" w:rsidRDefault="00EE2FA1" w:rsidP="00C833B9">
      <w:pPr>
        <w:tabs>
          <w:tab w:val="left" w:pos="426"/>
        </w:tabs>
        <w:spacing w:line="0" w:lineRule="atLeast"/>
        <w:jc w:val="both"/>
        <w:rPr>
          <w:rFonts w:ascii="Times New Roman" w:hAnsi="Times New Roman" w:cs="Times New Roman"/>
          <w:bCs/>
          <w:sz w:val="28"/>
          <w:szCs w:val="28"/>
          <w:lang w:val="es-ES_tradnl"/>
        </w:rPr>
      </w:pPr>
    </w:p>
    <w:p w:rsidR="005F26C5"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Cuarto cargo</w:t>
      </w:r>
      <w:r w:rsidRPr="00EE2FA1">
        <w:rPr>
          <w:rFonts w:ascii="Times New Roman" w:hAnsi="Times New Roman" w:cs="Times New Roman"/>
          <w:sz w:val="28"/>
          <w:szCs w:val="28"/>
          <w:lang w:val="es-ES"/>
        </w:rPr>
        <w:t xml:space="preserve">. La demandante </w:t>
      </w:r>
      <w:r w:rsidRPr="00EE2FA1">
        <w:rPr>
          <w:rFonts w:ascii="Times New Roman" w:hAnsi="Times New Roman" w:cs="Times New Roman"/>
          <w:sz w:val="28"/>
          <w:szCs w:val="28"/>
          <w:lang w:val="es-ES"/>
        </w:rPr>
        <w:t xml:space="preserve">sostuvo </w:t>
      </w:r>
      <w:r w:rsidRPr="00EE2FA1">
        <w:rPr>
          <w:rFonts w:ascii="Times New Roman" w:hAnsi="Times New Roman" w:cs="Times New Roman"/>
          <w:sz w:val="28"/>
          <w:szCs w:val="28"/>
          <w:lang w:val="es-ES"/>
        </w:rPr>
        <w:t xml:space="preserve">que </w:t>
      </w:r>
      <w:r w:rsidRPr="00EE2FA1">
        <w:rPr>
          <w:rFonts w:ascii="Times New Roman" w:hAnsi="Times New Roman" w:cs="Times New Roman"/>
          <w:sz w:val="28"/>
          <w:szCs w:val="28"/>
          <w:lang w:val="es-ES"/>
        </w:rPr>
        <w:t>el apartado demandado de</w:t>
      </w:r>
      <w:r w:rsidRPr="00EE2FA1">
        <w:rPr>
          <w:rFonts w:ascii="Times New Roman" w:hAnsi="Times New Roman" w:cs="Times New Roman"/>
          <w:sz w:val="28"/>
          <w:szCs w:val="28"/>
          <w:lang w:val="es-ES"/>
        </w:rPr>
        <w:t>l parágrafo 3° del artículo 240</w:t>
      </w:r>
      <w:r w:rsidRPr="00EE2FA1">
        <w:rPr>
          <w:rFonts w:ascii="Times New Roman" w:hAnsi="Times New Roman" w:cs="Times New Roman"/>
          <w:sz w:val="28"/>
          <w:szCs w:val="28"/>
          <w:lang w:val="es-ES"/>
        </w:rPr>
        <w:t xml:space="preserve"> del Estatuto Tributario</w:t>
      </w:r>
      <w:r w:rsidRPr="00EE2FA1">
        <w:rPr>
          <w:rFonts w:ascii="Times New Roman" w:hAnsi="Times New Roman" w:cs="Times New Roman"/>
          <w:sz w:val="28"/>
          <w:szCs w:val="28"/>
          <w:lang w:val="es-ES"/>
        </w:rPr>
        <w:t>, modificado por el artículo 10.</w:t>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 xml:space="preserve">de la Ley 2277 de 2022, </w:t>
      </w:r>
      <w:r w:rsidRPr="00EE2FA1">
        <w:rPr>
          <w:rFonts w:ascii="Times New Roman" w:hAnsi="Times New Roman" w:cs="Times New Roman"/>
          <w:sz w:val="28"/>
          <w:szCs w:val="28"/>
          <w:lang w:val="es-ES"/>
        </w:rPr>
        <w:t xml:space="preserve">contradice la prohibición de retroactividad y retrospectividad de la ley tributaria, prevista en los artículos </w:t>
      </w:r>
      <w:r w:rsidRPr="00EE2FA1">
        <w:rPr>
          <w:rFonts w:ascii="Times New Roman" w:hAnsi="Times New Roman" w:cs="Times New Roman"/>
          <w:sz w:val="28"/>
          <w:szCs w:val="28"/>
          <w:lang w:val="es-ES"/>
        </w:rPr>
        <w:t>338 y 363</w:t>
      </w:r>
      <w:r w:rsidRPr="00EE2FA1">
        <w:rPr>
          <w:rFonts w:ascii="Times New Roman" w:hAnsi="Times New Roman" w:cs="Times New Roman"/>
          <w:sz w:val="28"/>
          <w:szCs w:val="28"/>
          <w:lang w:val="es-ES"/>
        </w:rPr>
        <w:t xml:space="preserve"> de la Constitución. A </w:t>
      </w:r>
      <w:r w:rsidRPr="00EE2FA1">
        <w:rPr>
          <w:rFonts w:ascii="Times New Roman" w:hAnsi="Times New Roman" w:cs="Times New Roman"/>
          <w:sz w:val="28"/>
          <w:szCs w:val="28"/>
          <w:lang w:val="es-ES"/>
        </w:rPr>
        <w:t xml:space="preserve">su </w:t>
      </w:r>
      <w:r w:rsidRPr="00EE2FA1">
        <w:rPr>
          <w:rFonts w:ascii="Times New Roman" w:hAnsi="Times New Roman" w:cs="Times New Roman"/>
          <w:sz w:val="28"/>
          <w:szCs w:val="28"/>
          <w:lang w:val="es-ES"/>
        </w:rPr>
        <w:t xml:space="preserve">juicio, esa disposición </w:t>
      </w:r>
      <w:r w:rsidRPr="00EE2FA1">
        <w:rPr>
          <w:rFonts w:ascii="Times New Roman" w:hAnsi="Times New Roman" w:cs="Times New Roman"/>
          <w:sz w:val="28"/>
          <w:szCs w:val="28"/>
          <w:lang w:val="es-ES"/>
        </w:rPr>
        <w:t>impone tributos aplicables en el mismo año en que entra a regir la ley y se aplica al año gravable transcurrido</w:t>
      </w:r>
      <w:r w:rsidRPr="00EE2FA1">
        <w:rPr>
          <w:rFonts w:ascii="Times New Roman" w:hAnsi="Times New Roman" w:cs="Times New Roman"/>
          <w:sz w:val="28"/>
          <w:szCs w:val="28"/>
          <w:lang w:val="es-ES"/>
        </w:rPr>
        <w:t xml:space="preserve"> en adelante</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y </w:t>
      </w:r>
      <w:r w:rsidRPr="00EE2FA1">
        <w:rPr>
          <w:rFonts w:ascii="Times New Roman" w:hAnsi="Times New Roman" w:cs="Times New Roman"/>
          <w:sz w:val="28"/>
          <w:szCs w:val="28"/>
          <w:lang w:val="es-ES"/>
        </w:rPr>
        <w:t xml:space="preserve">establece </w:t>
      </w:r>
      <w:r w:rsidRPr="00EE2FA1">
        <w:rPr>
          <w:rFonts w:ascii="Times New Roman" w:hAnsi="Times New Roman" w:cs="Times New Roman"/>
          <w:sz w:val="28"/>
          <w:szCs w:val="28"/>
          <w:lang w:val="es-ES"/>
        </w:rPr>
        <w:t>que los sujetos pasivos del sobrecargo solo pueden conocer uno de los elementos esenciales d</w:t>
      </w:r>
      <w:r w:rsidRPr="00EE2FA1">
        <w:rPr>
          <w:rFonts w:ascii="Times New Roman" w:hAnsi="Times New Roman" w:cs="Times New Roman"/>
          <w:sz w:val="28"/>
          <w:szCs w:val="28"/>
          <w:lang w:val="es-ES"/>
        </w:rPr>
        <w:t>e la tarifa luego de finalizar el período gravable respectivo. Lo anterior, pues los puntos porcentuales de la sobretasa se definen cada año, pero se aplican a la renta líquida gravable del año inmediatamente anterior.</w:t>
      </w:r>
    </w:p>
    <w:p w:rsidR="00442DEF"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szCs w:val="28"/>
          <w:lang w:val="es-ES"/>
        </w:rPr>
      </w:pPr>
    </w:p>
    <w:p w:rsidR="00D05999" w:rsidRPr="00EE2FA1" w:rsidRDefault="00EE2FA1" w:rsidP="00C833B9">
      <w:pPr>
        <w:pStyle w:val="Prrafodelista"/>
        <w:numPr>
          <w:ilvl w:val="0"/>
          <w:numId w:val="1"/>
        </w:numPr>
        <w:tabs>
          <w:tab w:val="left" w:pos="284"/>
          <w:tab w:val="left" w:pos="426"/>
        </w:tabs>
        <w:spacing w:line="0" w:lineRule="atLeast"/>
        <w:ind w:left="0" w:firstLine="0"/>
        <w:jc w:val="both"/>
        <w:rPr>
          <w:rFonts w:ascii="Times New Roman" w:hAnsi="Times New Roman" w:cs="Times New Roman"/>
          <w:bCs/>
          <w:sz w:val="28"/>
          <w:szCs w:val="28"/>
          <w:lang w:val="es-ES_tradnl"/>
        </w:rPr>
      </w:pPr>
      <w:r w:rsidRPr="00EE2FA1">
        <w:rPr>
          <w:rFonts w:ascii="Times New Roman" w:hAnsi="Times New Roman" w:cs="Times New Roman"/>
          <w:bCs/>
          <w:i/>
          <w:iCs/>
          <w:sz w:val="28"/>
          <w:szCs w:val="28"/>
          <w:lang w:val="es-ES_tradnl"/>
        </w:rPr>
        <w:t>Quinto cargo</w:t>
      </w:r>
      <w:r w:rsidRPr="00EE2FA1">
        <w:rPr>
          <w:rFonts w:ascii="Times New Roman" w:hAnsi="Times New Roman" w:cs="Times New Roman"/>
          <w:bCs/>
          <w:sz w:val="28"/>
          <w:szCs w:val="28"/>
          <w:lang w:val="es-ES_tradnl"/>
        </w:rPr>
        <w:t>. La parte actora señal</w:t>
      </w:r>
      <w:r w:rsidRPr="00EE2FA1">
        <w:rPr>
          <w:rFonts w:ascii="Times New Roman" w:hAnsi="Times New Roman" w:cs="Times New Roman"/>
          <w:bCs/>
          <w:sz w:val="28"/>
          <w:szCs w:val="28"/>
          <w:lang w:val="es-ES_tradnl"/>
        </w:rPr>
        <w:t>ó</w:t>
      </w:r>
      <w:r w:rsidRPr="00EE2FA1">
        <w:rPr>
          <w:rFonts w:ascii="Times New Roman" w:hAnsi="Times New Roman" w:cs="Times New Roman"/>
          <w:bCs/>
          <w:sz w:val="28"/>
          <w:szCs w:val="28"/>
          <w:lang w:val="es-ES_tradnl"/>
        </w:rPr>
        <w:t xml:space="preserve"> que</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 xml:space="preserve">dicha </w:t>
      </w:r>
      <w:r w:rsidRPr="00EE2FA1">
        <w:rPr>
          <w:rFonts w:ascii="Times New Roman" w:hAnsi="Times New Roman" w:cs="Times New Roman"/>
          <w:bCs/>
          <w:sz w:val="28"/>
          <w:szCs w:val="28"/>
          <w:lang w:val="es-ES_tradnl"/>
        </w:rPr>
        <w:t xml:space="preserve">disposición también </w:t>
      </w:r>
      <w:r w:rsidRPr="00EE2FA1">
        <w:rPr>
          <w:rFonts w:ascii="Times New Roman" w:hAnsi="Times New Roman" w:cs="Times New Roman"/>
          <w:bCs/>
          <w:sz w:val="28"/>
          <w:szCs w:val="28"/>
          <w:lang w:val="es-ES_tradnl"/>
        </w:rPr>
        <w:t>desconoce los principios de justicia,</w:t>
      </w:r>
      <w:r w:rsidRPr="00EE2FA1">
        <w:rPr>
          <w:rFonts w:ascii="Times New Roman" w:hAnsi="Times New Roman" w:cs="Times New Roman"/>
          <w:bCs/>
          <w:sz w:val="28"/>
          <w:szCs w:val="28"/>
          <w:lang w:val="es-ES_tradnl"/>
        </w:rPr>
        <w:t xml:space="preserve"> equidad e igualdad tributarias</w:t>
      </w:r>
      <w:r w:rsidRPr="00EE2FA1">
        <w:rPr>
          <w:rFonts w:ascii="Times New Roman" w:hAnsi="Times New Roman" w:cs="Times New Roman"/>
          <w:bCs/>
          <w:sz w:val="28"/>
          <w:szCs w:val="28"/>
          <w:lang w:val="es-ES_tradnl"/>
        </w:rPr>
        <w:t xml:space="preserve">, </w:t>
      </w:r>
      <w:r w:rsidRPr="00EE2FA1">
        <w:rPr>
          <w:rFonts w:ascii="Times New Roman" w:hAnsi="Times New Roman" w:cs="Times New Roman"/>
          <w:bCs/>
          <w:sz w:val="28"/>
          <w:szCs w:val="28"/>
          <w:lang w:val="es-ES_tradnl"/>
        </w:rPr>
        <w:t>al no tener en cuenta la capacidad contributiva de las compañías de la industria del petróleo y tratarlas de manera discriminatoria. Lo anterior</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al contem</w:t>
      </w:r>
      <w:r w:rsidRPr="00EE2FA1">
        <w:rPr>
          <w:rFonts w:ascii="Times New Roman" w:hAnsi="Times New Roman" w:cs="Times New Roman"/>
          <w:bCs/>
          <w:sz w:val="28"/>
          <w:szCs w:val="28"/>
          <w:lang w:val="es-ES_tradnl"/>
        </w:rPr>
        <w:t xml:space="preserve">plar que los puntos porcentuales adicionales no obedecen a la renta líquida de los contribuyentes, sino a un factor externo, como </w:t>
      </w:r>
      <w:r w:rsidRPr="00EE2FA1">
        <w:rPr>
          <w:rFonts w:ascii="Times New Roman" w:hAnsi="Times New Roman" w:cs="Times New Roman"/>
          <w:bCs/>
          <w:sz w:val="28"/>
          <w:szCs w:val="28"/>
          <w:lang w:val="es-ES_tradnl"/>
        </w:rPr>
        <w:t>el resultante de</w:t>
      </w:r>
      <w:r w:rsidRPr="00EE2FA1">
        <w:rPr>
          <w:rFonts w:ascii="Times New Roman" w:hAnsi="Times New Roman" w:cs="Times New Roman"/>
          <w:bCs/>
          <w:sz w:val="28"/>
          <w:szCs w:val="28"/>
          <w:lang w:val="es-ES_tradnl"/>
        </w:rPr>
        <w:t xml:space="preserve"> los precios del crudo. Por lo tanto, la tarifa no se basa en la capacidad contributiva de los sujetos pasivos, sino en su pertenencia a un grupo. Adicionalmente, se genera una sobreimposición</w:t>
      </w:r>
      <w:r w:rsidRPr="00EE2FA1">
        <w:rPr>
          <w:rFonts w:ascii="Times New Roman" w:hAnsi="Times New Roman" w:cs="Times New Roman"/>
          <w:bCs/>
          <w:sz w:val="28"/>
          <w:szCs w:val="28"/>
          <w:lang w:val="es-ES_tradnl"/>
        </w:rPr>
        <w:t xml:space="preserve"> porque</w:t>
      </w:r>
      <w:r w:rsidRPr="00EE2FA1">
        <w:rPr>
          <w:rFonts w:ascii="Times New Roman" w:hAnsi="Times New Roman" w:cs="Times New Roman"/>
          <w:bCs/>
          <w:sz w:val="28"/>
          <w:szCs w:val="28"/>
          <w:lang w:val="es-ES_tradnl"/>
        </w:rPr>
        <w:t xml:space="preserve"> la nueva base gravable involucra la totalidad de las uti</w:t>
      </w:r>
      <w:r w:rsidRPr="00EE2FA1">
        <w:rPr>
          <w:rFonts w:ascii="Times New Roman" w:hAnsi="Times New Roman" w:cs="Times New Roman"/>
          <w:bCs/>
          <w:sz w:val="28"/>
          <w:szCs w:val="28"/>
          <w:lang w:val="es-ES_tradnl"/>
        </w:rPr>
        <w:t>lidades, y no solo las originadas en la porción que supera la normalidad o el estándar de precios, por lo que la base acumula las ganancias ya gravadas por el impuesto ordinario. Por lo anterior, la sobretasa censurada es más gravosa que las establecidas p</w:t>
      </w:r>
      <w:r w:rsidRPr="00EE2FA1">
        <w:rPr>
          <w:rFonts w:ascii="Times New Roman" w:hAnsi="Times New Roman" w:cs="Times New Roman"/>
          <w:bCs/>
          <w:sz w:val="28"/>
          <w:szCs w:val="28"/>
          <w:lang w:val="es-ES_tradnl"/>
        </w:rPr>
        <w:t>or la misma ley para otras compañías, pero esto no se encuentra justificado al no cumplir</w:t>
      </w:r>
      <w:r w:rsidRPr="00EE2FA1">
        <w:rPr>
          <w:rFonts w:ascii="Times New Roman" w:hAnsi="Times New Roman" w:cs="Times New Roman"/>
          <w:bCs/>
          <w:sz w:val="28"/>
          <w:szCs w:val="28"/>
          <w:lang w:val="es-ES_tradnl"/>
        </w:rPr>
        <w:t>se</w:t>
      </w:r>
      <w:r w:rsidRPr="00EE2FA1">
        <w:rPr>
          <w:rFonts w:ascii="Times New Roman" w:hAnsi="Times New Roman" w:cs="Times New Roman"/>
          <w:bCs/>
          <w:sz w:val="28"/>
          <w:szCs w:val="28"/>
          <w:lang w:val="es-ES_tradnl"/>
        </w:rPr>
        <w:t xml:space="preserve"> el </w:t>
      </w:r>
      <w:r w:rsidRPr="00EE2FA1">
        <w:rPr>
          <w:rFonts w:ascii="Times New Roman" w:hAnsi="Times New Roman" w:cs="Times New Roman"/>
          <w:bCs/>
          <w:sz w:val="28"/>
          <w:szCs w:val="28"/>
          <w:lang w:val="es-ES_tradnl"/>
        </w:rPr>
        <w:t>juicio</w:t>
      </w:r>
      <w:r w:rsidRPr="00EE2FA1">
        <w:rPr>
          <w:rFonts w:ascii="Times New Roman" w:hAnsi="Times New Roman" w:cs="Times New Roman"/>
          <w:bCs/>
          <w:sz w:val="28"/>
          <w:szCs w:val="28"/>
          <w:lang w:val="es-ES_tradnl"/>
        </w:rPr>
        <w:t xml:space="preserve"> de razonabilidad.</w:t>
      </w:r>
    </w:p>
    <w:p w:rsidR="00DD4740"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7504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7504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7504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7504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7504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80BF2"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V</w:t>
      </w:r>
      <w:r w:rsidRPr="00EE2FA1">
        <w:rPr>
          <w:rFonts w:ascii="Times New Roman" w:eastAsia="Calibri" w:hAnsi="Times New Roman" w:cs="Times New Roman"/>
          <w:b/>
          <w:sz w:val="28"/>
          <w:szCs w:val="28"/>
          <w:lang w:eastAsia="es-ES"/>
        </w:rPr>
        <w:t xml:space="preserve">. </w:t>
      </w:r>
      <w:r w:rsidRPr="00EE2FA1">
        <w:rPr>
          <w:rFonts w:ascii="Times New Roman" w:eastAsia="Calibri" w:hAnsi="Times New Roman" w:cs="Times New Roman"/>
          <w:b/>
          <w:sz w:val="28"/>
          <w:szCs w:val="28"/>
          <w:lang w:eastAsia="es-ES"/>
        </w:rPr>
        <w:t>Pruebas remitidas a la Corte Constitucional</w:t>
      </w:r>
    </w:p>
    <w:p w:rsidR="00780BF2"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5C4030"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cumplimiento de lo ordenado por el magistrado sustanciador mediante autos </w:t>
      </w:r>
      <w:r w:rsidRPr="00EE2FA1">
        <w:rPr>
          <w:rFonts w:ascii="Times New Roman" w:hAnsi="Times New Roman" w:cs="Times New Roman"/>
          <w:sz w:val="28"/>
          <w:szCs w:val="28"/>
          <w:lang w:val="es-ES_tradnl"/>
        </w:rPr>
        <w:t xml:space="preserve">del </w:t>
      </w:r>
      <w:r w:rsidRPr="00EE2FA1">
        <w:rPr>
          <w:rFonts w:ascii="Times New Roman" w:hAnsi="Times New Roman" w:cs="Times New Roman"/>
          <w:sz w:val="28"/>
          <w:szCs w:val="28"/>
          <w:lang w:val="es-ES_tradnl"/>
        </w:rPr>
        <w:t>13 de junio</w:t>
      </w:r>
      <w:r w:rsidRPr="00EE2FA1">
        <w:rPr>
          <w:rStyle w:val="Refdenotaalpie"/>
          <w:rFonts w:ascii="Times New Roman" w:hAnsi="Times New Roman" w:cs="Times New Roman"/>
          <w:sz w:val="28"/>
          <w:szCs w:val="28"/>
          <w:lang w:val="es-ES_tradnl"/>
        </w:rPr>
        <w:footnoteReference w:id="8"/>
      </w:r>
      <w:r w:rsidRPr="00EE2FA1">
        <w:rPr>
          <w:rFonts w:ascii="Times New Roman" w:hAnsi="Times New Roman" w:cs="Times New Roman"/>
          <w:sz w:val="28"/>
          <w:szCs w:val="28"/>
          <w:lang w:val="es-ES_tradnl"/>
        </w:rPr>
        <w:t>, 14 de agosto</w:t>
      </w:r>
      <w:r w:rsidRPr="00EE2FA1">
        <w:rPr>
          <w:rStyle w:val="Refdenotaalpie"/>
          <w:rFonts w:ascii="Times New Roman" w:hAnsi="Times New Roman" w:cs="Times New Roman"/>
          <w:sz w:val="28"/>
          <w:szCs w:val="28"/>
          <w:lang w:val="es-ES_tradnl"/>
        </w:rPr>
        <w:footnoteReference w:id="9"/>
      </w:r>
      <w:r w:rsidRPr="00EE2FA1">
        <w:rPr>
          <w:rFonts w:ascii="Times New Roman" w:hAnsi="Times New Roman" w:cs="Times New Roman"/>
          <w:sz w:val="28"/>
          <w:szCs w:val="28"/>
          <w:lang w:val="es-ES_tradnl"/>
        </w:rPr>
        <w:t xml:space="preserve"> y 18 de septiembre de 2023</w:t>
      </w:r>
      <w:r w:rsidRPr="00EE2FA1">
        <w:rPr>
          <w:rStyle w:val="Refdenotaalpie"/>
          <w:rFonts w:ascii="Times New Roman" w:hAnsi="Times New Roman" w:cs="Times New Roman"/>
          <w:sz w:val="28"/>
          <w:szCs w:val="28"/>
          <w:lang w:val="es-ES_tradnl"/>
        </w:rPr>
        <w:footnoteReference w:id="10"/>
      </w:r>
      <w:r w:rsidRPr="00EE2FA1">
        <w:rPr>
          <w:rFonts w:ascii="Times New Roman" w:hAnsi="Times New Roman" w:cs="Times New Roman"/>
          <w:sz w:val="28"/>
          <w:szCs w:val="28"/>
          <w:lang w:val="es-ES_tradnl"/>
        </w:rPr>
        <w:t xml:space="preserve">, algunas autoridades </w:t>
      </w:r>
      <w:r w:rsidRPr="00EE2FA1">
        <w:rPr>
          <w:rFonts w:ascii="Times New Roman" w:hAnsi="Times New Roman" w:cs="Times New Roman"/>
          <w:sz w:val="28"/>
          <w:szCs w:val="28"/>
          <w:lang w:val="es-ES_tradnl"/>
        </w:rPr>
        <w:t xml:space="preserve">respondieron y </w:t>
      </w:r>
      <w:r w:rsidRPr="00EE2FA1">
        <w:rPr>
          <w:rFonts w:ascii="Times New Roman" w:hAnsi="Times New Roman" w:cs="Times New Roman"/>
          <w:sz w:val="28"/>
          <w:szCs w:val="28"/>
          <w:lang w:val="es-ES_tradnl"/>
        </w:rPr>
        <w:t>remitieron los siguientes documentos relacionad</w:t>
      </w:r>
      <w:r w:rsidRPr="00EE2FA1">
        <w:rPr>
          <w:rFonts w:ascii="Times New Roman" w:hAnsi="Times New Roman" w:cs="Times New Roman"/>
          <w:sz w:val="28"/>
          <w:szCs w:val="28"/>
          <w:lang w:val="es-ES_tradnl"/>
        </w:rPr>
        <w:t>o</w:t>
      </w:r>
      <w:r w:rsidRPr="00EE2FA1">
        <w:rPr>
          <w:rFonts w:ascii="Times New Roman" w:hAnsi="Times New Roman" w:cs="Times New Roman"/>
          <w:sz w:val="28"/>
          <w:szCs w:val="28"/>
          <w:lang w:val="es-ES_tradnl"/>
        </w:rPr>
        <w:t xml:space="preserve">s con la </w:t>
      </w:r>
      <w:r w:rsidRPr="00EE2FA1">
        <w:rPr>
          <w:rFonts w:ascii="Times New Roman" w:hAnsi="Times New Roman" w:cs="Times New Roman"/>
          <w:sz w:val="28"/>
          <w:szCs w:val="28"/>
          <w:lang w:val="es-ES_tradnl"/>
        </w:rPr>
        <w:t xml:space="preserve">materia </w:t>
      </w:r>
      <w:r w:rsidRPr="00EE2FA1">
        <w:rPr>
          <w:rFonts w:ascii="Times New Roman" w:hAnsi="Times New Roman" w:cs="Times New Roman"/>
          <w:sz w:val="28"/>
          <w:szCs w:val="28"/>
          <w:lang w:val="es-ES_tradnl"/>
        </w:rPr>
        <w:t>en cuestión:</w:t>
      </w:r>
    </w:p>
    <w:p w:rsidR="00DB5A0F" w:rsidRPr="00EE2FA1" w:rsidRDefault="00EE2FA1" w:rsidP="00DB5A0F">
      <w:pPr>
        <w:pStyle w:val="Prrafodelista"/>
        <w:tabs>
          <w:tab w:val="left" w:pos="426"/>
        </w:tabs>
        <w:spacing w:line="0" w:lineRule="atLeast"/>
        <w:ind w:left="0"/>
        <w:jc w:val="both"/>
        <w:rPr>
          <w:rFonts w:ascii="Times New Roman" w:eastAsia="Calibri" w:hAnsi="Times New Roman" w:cs="Times New Roman"/>
          <w:sz w:val="28"/>
          <w:szCs w:val="28"/>
          <w:lang w:eastAsia="es-ES"/>
        </w:rPr>
      </w:pPr>
    </w:p>
    <w:tbl>
      <w:tblPr>
        <w:tblStyle w:val="Tablaconcuadrcula"/>
        <w:tblW w:w="0" w:type="auto"/>
        <w:tblLook w:val="04A0" w:firstRow="1" w:lastRow="0" w:firstColumn="1" w:lastColumn="0" w:noHBand="0" w:noVBand="1"/>
      </w:tblPr>
      <w:tblGrid>
        <w:gridCol w:w="1889"/>
        <w:gridCol w:w="7338"/>
      </w:tblGrid>
      <w:tr w:rsidR="008F41DE" w:rsidRPr="00EE2FA1" w:rsidTr="00273AAF">
        <w:tc>
          <w:tcPr>
            <w:tcW w:w="1696" w:type="dxa"/>
          </w:tcPr>
          <w:p w:rsidR="00AE692A" w:rsidRPr="00EE2FA1" w:rsidRDefault="00EE2FA1" w:rsidP="00753564">
            <w:pPr>
              <w:pStyle w:val="Prrafodelista"/>
              <w:tabs>
                <w:tab w:val="left" w:pos="284"/>
                <w:tab w:val="left" w:pos="426"/>
              </w:tabs>
              <w:spacing w:line="0" w:lineRule="atLeast"/>
              <w:ind w:left="0"/>
              <w:jc w:val="center"/>
              <w:rPr>
                <w:rFonts w:ascii="Times New Roman" w:eastAsia="Calibri" w:hAnsi="Times New Roman" w:cs="Times New Roman"/>
                <w:b/>
                <w:bCs/>
                <w:sz w:val="28"/>
                <w:lang w:eastAsia="es-ES"/>
              </w:rPr>
            </w:pPr>
            <w:r w:rsidRPr="00EE2FA1">
              <w:rPr>
                <w:rFonts w:ascii="Times New Roman" w:eastAsia="Calibri" w:hAnsi="Times New Roman" w:cs="Times New Roman"/>
                <w:b/>
                <w:bCs/>
                <w:sz w:val="28"/>
                <w:lang w:eastAsia="es-ES"/>
              </w:rPr>
              <w:t>Entidad/ Autoridad</w:t>
            </w:r>
          </w:p>
        </w:tc>
        <w:tc>
          <w:tcPr>
            <w:tcW w:w="7531" w:type="dxa"/>
          </w:tcPr>
          <w:p w:rsidR="00AE692A" w:rsidRPr="00EE2FA1" w:rsidRDefault="00EE2FA1" w:rsidP="00753564">
            <w:pPr>
              <w:pStyle w:val="Prrafodelista"/>
              <w:tabs>
                <w:tab w:val="left" w:pos="284"/>
                <w:tab w:val="left" w:pos="426"/>
              </w:tabs>
              <w:spacing w:line="0" w:lineRule="atLeast"/>
              <w:ind w:left="0"/>
              <w:jc w:val="center"/>
              <w:rPr>
                <w:rFonts w:ascii="Times New Roman" w:eastAsia="Calibri" w:hAnsi="Times New Roman" w:cs="Times New Roman"/>
                <w:b/>
                <w:bCs/>
                <w:sz w:val="28"/>
                <w:lang w:eastAsia="es-ES"/>
              </w:rPr>
            </w:pPr>
            <w:r w:rsidRPr="00EE2FA1">
              <w:rPr>
                <w:rFonts w:ascii="Times New Roman" w:eastAsia="Calibri" w:hAnsi="Times New Roman" w:cs="Times New Roman"/>
                <w:b/>
                <w:bCs/>
                <w:sz w:val="28"/>
                <w:lang w:eastAsia="es-ES"/>
              </w:rPr>
              <w:t>Respuesta</w:t>
            </w: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Secretaría General de la Comisión Tercera Constituciona</w:t>
            </w:r>
            <w:r w:rsidRPr="00EE2FA1">
              <w:rPr>
                <w:rFonts w:ascii="Times New Roman" w:eastAsia="Calibri" w:hAnsi="Times New Roman" w:cs="Times New Roman"/>
                <w:sz w:val="28"/>
                <w:lang w:eastAsia="es-ES"/>
              </w:rPr>
              <w:t>l Permanente de la Cámara de Representantes</w:t>
            </w:r>
            <w:r w:rsidRPr="00EE2FA1">
              <w:rPr>
                <w:rStyle w:val="Refdenotaalpie"/>
                <w:rFonts w:ascii="Times New Roman" w:eastAsia="Calibri" w:hAnsi="Times New Roman" w:cs="Times New Roman"/>
                <w:sz w:val="28"/>
                <w:lang w:eastAsia="es-ES"/>
              </w:rPr>
              <w:footnoteReference w:id="11"/>
            </w:r>
          </w:p>
        </w:tc>
        <w:tc>
          <w:tcPr>
            <w:tcW w:w="7531"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A</w:t>
            </w:r>
            <w:r w:rsidRPr="00EE2FA1">
              <w:rPr>
                <w:rFonts w:ascii="Times New Roman" w:eastAsia="Calibri" w:hAnsi="Times New Roman" w:cs="Times New Roman"/>
                <w:sz w:val="28"/>
                <w:lang w:eastAsia="es-ES"/>
              </w:rPr>
              <w:t>portó los antecedentes legislativos de la</w:t>
            </w:r>
            <w:r w:rsidRPr="00EE2FA1">
              <w:rPr>
                <w:rFonts w:ascii="Times New Roman" w:eastAsia="Calibri" w:hAnsi="Times New Roman" w:cs="Times New Roman"/>
                <w:sz w:val="28"/>
                <w:lang w:eastAsia="es-ES"/>
              </w:rPr>
              <w:t>s</w:t>
            </w:r>
            <w:r w:rsidRPr="00EE2FA1">
              <w:rPr>
                <w:rFonts w:ascii="Times New Roman" w:eastAsia="Calibri" w:hAnsi="Times New Roman" w:cs="Times New Roman"/>
                <w:sz w:val="28"/>
                <w:lang w:eastAsia="es-ES"/>
              </w:rPr>
              <w:t xml:space="preserve"> norma</w:t>
            </w:r>
            <w:r w:rsidRPr="00EE2FA1">
              <w:rPr>
                <w:rFonts w:ascii="Times New Roman" w:eastAsia="Calibri" w:hAnsi="Times New Roman" w:cs="Times New Roman"/>
                <w:sz w:val="28"/>
                <w:lang w:eastAsia="es-ES"/>
              </w:rPr>
              <w:t>s</w:t>
            </w:r>
            <w:r w:rsidRPr="00EE2FA1">
              <w:rPr>
                <w:rFonts w:ascii="Times New Roman" w:eastAsia="Calibri" w:hAnsi="Times New Roman" w:cs="Times New Roman"/>
                <w:sz w:val="28"/>
                <w:lang w:eastAsia="es-ES"/>
              </w:rPr>
              <w:t xml:space="preserve"> demandada</w:t>
            </w:r>
            <w:r w:rsidRPr="00EE2FA1">
              <w:rPr>
                <w:rFonts w:ascii="Times New Roman" w:eastAsia="Calibri" w:hAnsi="Times New Roman" w:cs="Times New Roman"/>
                <w:sz w:val="28"/>
                <w:lang w:eastAsia="es-ES"/>
              </w:rPr>
              <w:t>s</w:t>
            </w:r>
            <w:r w:rsidRPr="00EE2FA1">
              <w:rPr>
                <w:rFonts w:ascii="Times New Roman" w:eastAsia="Calibri" w:hAnsi="Times New Roman" w:cs="Times New Roman"/>
                <w:sz w:val="28"/>
                <w:lang w:eastAsia="es-ES"/>
              </w:rPr>
              <w:t xml:space="preserve">, al igual que las </w:t>
            </w:r>
            <w:r w:rsidRPr="00EE2FA1">
              <w:rPr>
                <w:rFonts w:ascii="Times New Roman" w:eastAsia="Calibri" w:hAnsi="Times New Roman" w:cs="Times New Roman"/>
                <w:sz w:val="28"/>
                <w:lang w:eastAsia="es-ES"/>
              </w:rPr>
              <w:t xml:space="preserve">gacetas </w:t>
            </w:r>
            <w:r w:rsidRPr="00EE2FA1">
              <w:rPr>
                <w:rFonts w:ascii="Times New Roman" w:eastAsia="Calibri" w:hAnsi="Times New Roman" w:cs="Times New Roman"/>
                <w:sz w:val="28"/>
                <w:lang w:eastAsia="es-ES"/>
              </w:rPr>
              <w:t>en las que constan los debates en plenaria del Senado que condujeron a la expedición de la Ley 2277 de 2022.</w:t>
            </w:r>
          </w:p>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hAnsi="Times New Roman" w:cs="Times New Roman"/>
                <w:sz w:val="28"/>
              </w:rPr>
              <w:t xml:space="preserve">Agencia </w:t>
            </w:r>
            <w:r w:rsidRPr="00EE2FA1">
              <w:rPr>
                <w:rFonts w:ascii="Times New Roman" w:hAnsi="Times New Roman" w:cs="Times New Roman"/>
                <w:sz w:val="28"/>
              </w:rPr>
              <w:t>Nacional de Hidrocarburos</w:t>
            </w:r>
            <w:r w:rsidRPr="00EE2FA1">
              <w:rPr>
                <w:rFonts w:ascii="Times New Roman" w:hAnsi="Times New Roman" w:cs="Times New Roman"/>
                <w:sz w:val="28"/>
              </w:rPr>
              <w:t xml:space="preserve"> (ANH)</w:t>
            </w:r>
            <w:r w:rsidRPr="00EE2FA1">
              <w:rPr>
                <w:rStyle w:val="Refdenotaalpie"/>
                <w:rFonts w:ascii="Times New Roman" w:hAnsi="Times New Roman" w:cs="Times New Roman"/>
                <w:sz w:val="28"/>
              </w:rPr>
              <w:footnoteReference w:id="12"/>
            </w:r>
          </w:p>
        </w:tc>
        <w:tc>
          <w:tcPr>
            <w:tcW w:w="7531" w:type="dxa"/>
          </w:tcPr>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r w:rsidRPr="00EE2FA1">
              <w:rPr>
                <w:rFonts w:ascii="Times New Roman" w:hAnsi="Times New Roman" w:cs="Times New Roman"/>
                <w:sz w:val="28"/>
                <w:lang w:val="es-ES"/>
              </w:rPr>
              <w:t>Refirió que conforme lo establecido en el numeral 2</w:t>
            </w:r>
            <w:r w:rsidRPr="00EE2FA1">
              <w:rPr>
                <w:rFonts w:ascii="Times New Roman" w:hAnsi="Times New Roman" w:cs="Times New Roman"/>
                <w:sz w:val="28"/>
                <w:lang w:val="es-ES"/>
              </w:rPr>
              <w:t>.</w:t>
            </w:r>
            <w:r w:rsidRPr="00EE2FA1">
              <w:rPr>
                <w:rFonts w:ascii="Times New Roman" w:hAnsi="Times New Roman" w:cs="Times New Roman"/>
                <w:sz w:val="28"/>
                <w:lang w:val="es-ES"/>
              </w:rPr>
              <w:t>° del parágrafo 3</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del artículo 10</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de la norma acusada, la ANH emitirá de manera anual, </w:t>
            </w:r>
            <w:r w:rsidRPr="00EE2FA1">
              <w:rPr>
                <w:rFonts w:ascii="Times New Roman" w:hAnsi="Times New Roman" w:cs="Times New Roman"/>
                <w:sz w:val="28"/>
                <w:lang w:val="es-ES"/>
              </w:rPr>
              <w:t>el</w:t>
            </w:r>
            <w:r w:rsidRPr="00EE2FA1">
              <w:rPr>
                <w:rFonts w:ascii="Times New Roman" w:hAnsi="Times New Roman" w:cs="Times New Roman"/>
                <w:sz w:val="28"/>
                <w:lang w:val="es-ES"/>
              </w:rPr>
              <w:t xml:space="preserve"> acto administrativo mediante el cual se publicará el precio promedio internac</w:t>
            </w:r>
            <w:r w:rsidRPr="00EE2FA1">
              <w:rPr>
                <w:rFonts w:ascii="Times New Roman" w:hAnsi="Times New Roman" w:cs="Times New Roman"/>
                <w:sz w:val="28"/>
                <w:lang w:val="es-ES"/>
              </w:rPr>
              <w:t xml:space="preserve">ional del petróleo crudo de referencia Brent de la vigencia anterior, al igual que la tabla de percentiles de precios promedio mensuales. Aquellos actos </w:t>
            </w:r>
            <w:r w:rsidRPr="00EE2FA1">
              <w:rPr>
                <w:rFonts w:ascii="Times New Roman" w:hAnsi="Times New Roman" w:cs="Times New Roman"/>
                <w:sz w:val="28"/>
                <w:lang w:val="es-ES"/>
              </w:rPr>
              <w:t>administrativos</w:t>
            </w:r>
            <w:r w:rsidRPr="00EE2FA1">
              <w:rPr>
                <w:rFonts w:ascii="Times New Roman" w:hAnsi="Times New Roman" w:cs="Times New Roman"/>
                <w:sz w:val="28"/>
                <w:lang w:val="es-ES"/>
              </w:rPr>
              <w:t xml:space="preserve"> se expedirán bajo la siguiente metodología: </w:t>
            </w:r>
          </w:p>
          <w:p w:rsidR="00AE692A" w:rsidRPr="00EE2FA1" w:rsidRDefault="00EE2FA1" w:rsidP="00430C1F">
            <w:pPr>
              <w:pStyle w:val="Prrafodelista"/>
              <w:tabs>
                <w:tab w:val="left" w:pos="426"/>
                <w:tab w:val="left" w:pos="567"/>
                <w:tab w:val="left" w:pos="8081"/>
              </w:tabs>
              <w:spacing w:line="0" w:lineRule="atLeast"/>
              <w:ind w:left="0"/>
              <w:jc w:val="both"/>
              <w:rPr>
                <w:rFonts w:ascii="Times New Roman" w:hAnsi="Times New Roman" w:cs="Times New Roman"/>
                <w:sz w:val="28"/>
              </w:rPr>
            </w:pPr>
            <w:r w:rsidRPr="00EE2FA1">
              <w:rPr>
                <w:rFonts w:ascii="Times New Roman" w:hAnsi="Times New Roman" w:cs="Times New Roman"/>
                <w:sz w:val="28"/>
              </w:rPr>
              <w:t xml:space="preserve">i) descargar los precios de la referencia </w:t>
            </w:r>
            <w:r w:rsidRPr="00EE2FA1">
              <w:rPr>
                <w:rFonts w:ascii="Times New Roman" w:hAnsi="Times New Roman" w:cs="Times New Roman"/>
                <w:sz w:val="28"/>
              </w:rPr>
              <w:t>Brent de la base de los datos del precio “Europe Brent Spot Price FOB (Dollars per Barrel)”, publicada por la Administración de Información Energética de Estados Unidos (EIA), datos que son de consulta pública; ii) descargar el índice “CONSUMER PRINCE INDE</w:t>
            </w:r>
            <w:r w:rsidRPr="00EE2FA1">
              <w:rPr>
                <w:rFonts w:ascii="Times New Roman" w:hAnsi="Times New Roman" w:cs="Times New Roman"/>
                <w:sz w:val="28"/>
              </w:rPr>
              <w:t>X FOR ALL URBAN CONSUMERS (CPI-U)”; iii) deflactar los precio</w:t>
            </w:r>
            <w:r w:rsidRPr="00EE2FA1">
              <w:rPr>
                <w:rFonts w:ascii="Times New Roman" w:hAnsi="Times New Roman" w:cs="Times New Roman"/>
                <w:sz w:val="28"/>
              </w:rPr>
              <w:t>s</w:t>
            </w:r>
            <w:r w:rsidRPr="00EE2FA1">
              <w:rPr>
                <w:rFonts w:ascii="Times New Roman" w:hAnsi="Times New Roman" w:cs="Times New Roman"/>
                <w:sz w:val="28"/>
              </w:rPr>
              <w:t xml:space="preserve"> promedio mensuales de los últimos 120 meses, sin incluir el precio de los meses transcurridos en el año de la declaración para cada mes, de acuerdo con el Índice de Precios al Consumidor para t</w:t>
            </w:r>
            <w:r w:rsidRPr="00EE2FA1">
              <w:rPr>
                <w:rFonts w:ascii="Times New Roman" w:hAnsi="Times New Roman" w:cs="Times New Roman"/>
                <w:sz w:val="28"/>
              </w:rPr>
              <w:t>odos los consumidores urbanos de los Estados Unidos, el cual es publicado por la Oficina de Estadística Laboral de ese país; iv) de la serie de datos obtenida, aplicar la formulación para el cálculo de percentiles 30, 45 y 60; v) calcular los precios prome</w:t>
            </w:r>
            <w:r w:rsidRPr="00EE2FA1">
              <w:rPr>
                <w:rFonts w:ascii="Times New Roman" w:hAnsi="Times New Roman" w:cs="Times New Roman"/>
                <w:sz w:val="28"/>
              </w:rPr>
              <w:t>dio del año gravable inmediatamente anterior para la referencia Brent</w:t>
            </w:r>
            <w:r w:rsidRPr="00EE2FA1">
              <w:rPr>
                <w:rFonts w:ascii="Times New Roman" w:hAnsi="Times New Roman" w:cs="Times New Roman"/>
                <w:sz w:val="28"/>
              </w:rPr>
              <w:t>,</w:t>
            </w:r>
            <w:r w:rsidRPr="00EE2FA1">
              <w:rPr>
                <w:rFonts w:ascii="Times New Roman" w:hAnsi="Times New Roman" w:cs="Times New Roman"/>
                <w:sz w:val="28"/>
              </w:rPr>
              <w:t xml:space="preserve"> y vi) publicar los resultados de los puntos 4 y 5 mediante acto administrativo.</w:t>
            </w: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rPr>
            </w:pPr>
            <w:r w:rsidRPr="00EE2FA1">
              <w:rPr>
                <w:rFonts w:ascii="Times New Roman" w:hAnsi="Times New Roman" w:cs="Times New Roman"/>
                <w:sz w:val="28"/>
              </w:rPr>
              <w:t>Ministerio de Hacienda y Crédito Público</w:t>
            </w:r>
            <w:r w:rsidRPr="00EE2FA1">
              <w:rPr>
                <w:rStyle w:val="Refdenotaalpie"/>
                <w:rFonts w:ascii="Times New Roman" w:hAnsi="Times New Roman" w:cs="Times New Roman"/>
                <w:sz w:val="28"/>
              </w:rPr>
              <w:footnoteReference w:id="13"/>
            </w:r>
          </w:p>
        </w:tc>
        <w:tc>
          <w:tcPr>
            <w:tcW w:w="7531" w:type="dxa"/>
          </w:tcPr>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r w:rsidRPr="00EE2FA1">
              <w:rPr>
                <w:rFonts w:ascii="Times New Roman" w:hAnsi="Times New Roman" w:cs="Times New Roman"/>
                <w:sz w:val="28"/>
                <w:lang w:val="es-ES_tradnl"/>
              </w:rPr>
              <w:t>En primer lugar, se pronunció sobre cada punto planteado en el</w:t>
            </w:r>
            <w:r w:rsidRPr="00EE2FA1">
              <w:rPr>
                <w:rFonts w:ascii="Times New Roman" w:hAnsi="Times New Roman" w:cs="Times New Roman"/>
                <w:sz w:val="28"/>
                <w:lang w:val="es-ES_tradnl"/>
              </w:rPr>
              <w:t xml:space="preserve"> </w:t>
            </w:r>
            <w:r w:rsidRPr="00EE2FA1">
              <w:rPr>
                <w:rFonts w:ascii="Times New Roman" w:hAnsi="Times New Roman" w:cs="Times New Roman"/>
                <w:sz w:val="28"/>
                <w:lang w:val="es-ES_tradnl"/>
              </w:rPr>
              <w:t xml:space="preserve">Auto </w:t>
            </w:r>
            <w:r w:rsidRPr="00EE2FA1">
              <w:rPr>
                <w:rFonts w:ascii="Times New Roman" w:hAnsi="Times New Roman" w:cs="Times New Roman"/>
                <w:sz w:val="28"/>
                <w:lang w:val="es-ES_tradnl"/>
              </w:rPr>
              <w:t>del 13 de junio de 2023. La numeración de cada punto corresponde a cada inquietud planteada y se refleja de la siguiente manera:</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p>
          <w:p w:rsidR="00AE692A" w:rsidRPr="00EE2FA1" w:rsidRDefault="00EE2FA1" w:rsidP="00C833B9">
            <w:pPr>
              <w:pStyle w:val="Prrafodelista"/>
              <w:numPr>
                <w:ilvl w:val="0"/>
                <w:numId w:val="3"/>
              </w:numPr>
              <w:tabs>
                <w:tab w:val="left" w:pos="426"/>
                <w:tab w:val="left" w:pos="567"/>
                <w:tab w:val="left" w:pos="8081"/>
              </w:tabs>
              <w:spacing w:line="0" w:lineRule="atLeast"/>
              <w:ind w:left="0"/>
              <w:jc w:val="both"/>
              <w:rPr>
                <w:rFonts w:ascii="Times New Roman" w:hAnsi="Times New Roman" w:cs="Times New Roman"/>
                <w:sz w:val="28"/>
                <w:lang w:val="es-ES_tradnl"/>
              </w:rPr>
            </w:pPr>
            <w:r w:rsidRPr="00EE2FA1">
              <w:rPr>
                <w:rFonts w:ascii="Times New Roman" w:hAnsi="Times New Roman" w:cs="Times New Roman"/>
                <w:sz w:val="28"/>
                <w:lang w:val="es-ES_tradnl"/>
              </w:rPr>
              <w:t>1. Los puntos adicionales sobre la renta pretenden incrementar</w:t>
            </w:r>
            <w:r w:rsidRPr="00EE2FA1">
              <w:rPr>
                <w:rFonts w:ascii="Times New Roman" w:hAnsi="Times New Roman" w:cs="Times New Roman"/>
                <w:sz w:val="28"/>
                <w:lang w:val="es-ES_tradnl"/>
              </w:rPr>
              <w:t xml:space="preserve"> </w:t>
            </w:r>
            <w:r w:rsidRPr="00EE2FA1">
              <w:rPr>
                <w:rFonts w:ascii="Times New Roman" w:hAnsi="Times New Roman" w:cs="Times New Roman"/>
                <w:sz w:val="28"/>
                <w:lang w:val="es-ES_tradnl"/>
              </w:rPr>
              <w:t xml:space="preserve">la participación del Gobierno en las utilidades </w:t>
            </w:r>
            <w:r w:rsidRPr="00EE2FA1">
              <w:rPr>
                <w:rFonts w:ascii="Times New Roman" w:hAnsi="Times New Roman" w:cs="Times New Roman"/>
                <w:sz w:val="28"/>
                <w:lang w:val="es-ES_tradnl"/>
              </w:rPr>
              <w:t>extraordinarias que reciben las compañías que extraen petr</w:t>
            </w:r>
            <w:r w:rsidRPr="00EE2FA1">
              <w:rPr>
                <w:rFonts w:ascii="Times New Roman" w:hAnsi="Times New Roman" w:cs="Times New Roman"/>
                <w:sz w:val="28"/>
                <w:lang w:val="es-ES_tradnl"/>
              </w:rPr>
              <w:t>ó</w:t>
            </w:r>
            <w:r w:rsidRPr="00EE2FA1">
              <w:rPr>
                <w:rFonts w:ascii="Times New Roman" w:hAnsi="Times New Roman" w:cs="Times New Roman"/>
                <w:sz w:val="28"/>
                <w:lang w:val="es-ES_tradnl"/>
              </w:rPr>
              <w:t>leo crudo y carbón. La sobretasa oscila entre un 0% y 15% (crudo) y la respectiva tarifa depende del precio internacional de estos productos para cada vigencia fiscal.</w:t>
            </w:r>
          </w:p>
          <w:p w:rsidR="00AE692A" w:rsidRPr="00EE2FA1" w:rsidRDefault="00EE2FA1" w:rsidP="00C833B9">
            <w:pPr>
              <w:tabs>
                <w:tab w:val="left" w:pos="426"/>
                <w:tab w:val="left" w:pos="567"/>
                <w:tab w:val="left" w:pos="8081"/>
              </w:tabs>
              <w:spacing w:line="0" w:lineRule="atLeast"/>
              <w:jc w:val="both"/>
              <w:rPr>
                <w:rFonts w:ascii="Times New Roman" w:hAnsi="Times New Roman" w:cs="Times New Roman"/>
                <w:sz w:val="28"/>
                <w:lang w:val="es-ES_tradnl"/>
              </w:rPr>
            </w:pPr>
          </w:p>
          <w:p w:rsidR="00AE692A" w:rsidRPr="00EE2FA1" w:rsidRDefault="00EE2FA1" w:rsidP="00C833B9">
            <w:pPr>
              <w:tabs>
                <w:tab w:val="left" w:pos="426"/>
                <w:tab w:val="left" w:pos="567"/>
                <w:tab w:val="left" w:pos="8081"/>
              </w:tabs>
              <w:spacing w:line="0" w:lineRule="atLeast"/>
              <w:jc w:val="both"/>
              <w:rPr>
                <w:rFonts w:ascii="Times New Roman" w:hAnsi="Times New Roman" w:cs="Times New Roman"/>
                <w:sz w:val="28"/>
                <w:lang w:val="es-ES_tradnl"/>
              </w:rPr>
            </w:pPr>
            <w:r w:rsidRPr="00EE2FA1">
              <w:rPr>
                <w:rFonts w:ascii="Times New Roman" w:hAnsi="Times New Roman" w:cs="Times New Roman"/>
                <w:sz w:val="28"/>
                <w:lang w:val="es-ES_tradnl"/>
              </w:rPr>
              <w:t xml:space="preserve">Ello demuestra la forma en que la sobretasa permite una mayor participación del </w:t>
            </w:r>
            <w:r w:rsidRPr="00EE2FA1">
              <w:rPr>
                <w:rFonts w:ascii="Times New Roman" w:hAnsi="Times New Roman" w:cs="Times New Roman"/>
                <w:sz w:val="28"/>
                <w:lang w:val="es-ES_tradnl"/>
              </w:rPr>
              <w:t>g</w:t>
            </w:r>
            <w:r w:rsidRPr="00EE2FA1">
              <w:rPr>
                <w:rFonts w:ascii="Times New Roman" w:hAnsi="Times New Roman" w:cs="Times New Roman"/>
                <w:sz w:val="28"/>
                <w:lang w:val="es-ES_tradnl"/>
              </w:rPr>
              <w:t xml:space="preserve">obierno en las utilidades extraordinarias Adicional, el análisis de la Tarifa Efectiva de Tributación permite ver que el impuesto guarda proporcionalidad </w:t>
            </w:r>
            <w:r w:rsidRPr="00EE2FA1">
              <w:rPr>
                <w:rFonts w:ascii="Times New Roman" w:hAnsi="Times New Roman" w:cs="Times New Roman"/>
                <w:sz w:val="28"/>
                <w:lang w:val="es-ES_tradnl"/>
              </w:rPr>
              <w:t>y</w:t>
            </w:r>
            <w:r w:rsidRPr="00EE2FA1">
              <w:rPr>
                <w:rFonts w:ascii="Times New Roman" w:hAnsi="Times New Roman" w:cs="Times New Roman"/>
                <w:sz w:val="28"/>
                <w:lang w:val="es-ES_tradnl"/>
              </w:rPr>
              <w:t xml:space="preserve"> no pone en riesgo l</w:t>
            </w:r>
            <w:r w:rsidRPr="00EE2FA1">
              <w:rPr>
                <w:rFonts w:ascii="Times New Roman" w:hAnsi="Times New Roman" w:cs="Times New Roman"/>
                <w:sz w:val="28"/>
                <w:lang w:val="es-ES_tradnl"/>
              </w:rPr>
              <w:t>as actividades gravadas.</w:t>
            </w:r>
          </w:p>
          <w:p w:rsidR="00AE692A" w:rsidRPr="00EE2FA1" w:rsidRDefault="00EE2FA1" w:rsidP="00C833B9">
            <w:pPr>
              <w:tabs>
                <w:tab w:val="left" w:pos="426"/>
                <w:tab w:val="left" w:pos="567"/>
                <w:tab w:val="left" w:pos="8081"/>
              </w:tabs>
              <w:spacing w:line="0" w:lineRule="atLeast"/>
              <w:jc w:val="both"/>
              <w:rPr>
                <w:rFonts w:ascii="Times New Roman" w:hAnsi="Times New Roman" w:cs="Times New Roman"/>
                <w:sz w:val="28"/>
                <w:lang w:val="es-ES_tradnl"/>
              </w:rPr>
            </w:pPr>
          </w:p>
          <w:p w:rsidR="00AE692A" w:rsidRPr="00EE2FA1" w:rsidRDefault="00EE2FA1" w:rsidP="00C833B9">
            <w:pPr>
              <w:tabs>
                <w:tab w:val="left" w:pos="426"/>
                <w:tab w:val="left" w:pos="567"/>
                <w:tab w:val="left" w:pos="8081"/>
              </w:tabs>
              <w:spacing w:line="0" w:lineRule="atLeast"/>
              <w:jc w:val="both"/>
              <w:rPr>
                <w:rFonts w:ascii="Times New Roman" w:hAnsi="Times New Roman" w:cs="Times New Roman"/>
                <w:sz w:val="28"/>
                <w:lang w:val="es-ES_tradnl"/>
              </w:rPr>
            </w:pPr>
            <w:r w:rsidRPr="00EE2FA1">
              <w:rPr>
                <w:rFonts w:ascii="Times New Roman" w:hAnsi="Times New Roman" w:cs="Times New Roman"/>
                <w:sz w:val="28"/>
                <w:lang w:val="es-ES_tradnl"/>
              </w:rPr>
              <w:t>2. La naturaleza de la medida tiene por fin aumentar la tarifa del impuesto sobre la renta para contribuyentes que ejerzan extracción de crudo y carbón, en la medida que existan choques exógenos positivos sobre las utilidades de e</w:t>
            </w:r>
            <w:r w:rsidRPr="00EE2FA1">
              <w:rPr>
                <w:rFonts w:ascii="Times New Roman" w:hAnsi="Times New Roman" w:cs="Times New Roman"/>
                <w:sz w:val="28"/>
                <w:lang w:val="es-ES_tradnl"/>
              </w:rPr>
              <w:t>ste sector que se encuentra</w:t>
            </w:r>
            <w:r w:rsidRPr="00EE2FA1">
              <w:rPr>
                <w:rFonts w:ascii="Times New Roman" w:hAnsi="Times New Roman" w:cs="Times New Roman"/>
                <w:sz w:val="28"/>
                <w:lang w:val="es-ES_tradnl"/>
              </w:rPr>
              <w:t>n</w:t>
            </w:r>
            <w:r w:rsidRPr="00EE2FA1">
              <w:rPr>
                <w:rFonts w:ascii="Times New Roman" w:hAnsi="Times New Roman" w:cs="Times New Roman"/>
                <w:sz w:val="28"/>
                <w:lang w:val="es-ES_tradnl"/>
              </w:rPr>
              <w:t xml:space="preserve"> </w:t>
            </w:r>
            <w:r w:rsidRPr="00EE2FA1">
              <w:rPr>
                <w:rFonts w:ascii="Times New Roman" w:hAnsi="Times New Roman" w:cs="Times New Roman"/>
                <w:sz w:val="28"/>
                <w:lang w:val="es-ES_tradnl"/>
              </w:rPr>
              <w:t xml:space="preserve">asociadas </w:t>
            </w:r>
            <w:r w:rsidRPr="00EE2FA1">
              <w:rPr>
                <w:rFonts w:ascii="Times New Roman" w:hAnsi="Times New Roman" w:cs="Times New Roman"/>
                <w:sz w:val="28"/>
                <w:lang w:val="es-ES_tradnl"/>
              </w:rPr>
              <w:t xml:space="preserve">a los precios internacionales de </w:t>
            </w:r>
            <w:r w:rsidRPr="00EE2FA1">
              <w:rPr>
                <w:rFonts w:ascii="Times New Roman" w:hAnsi="Times New Roman" w:cs="Times New Roman"/>
                <w:sz w:val="28"/>
                <w:lang w:val="es-ES_tradnl"/>
              </w:rPr>
              <w:t xml:space="preserve">estos </w:t>
            </w:r>
            <w:r w:rsidRPr="00EE2FA1">
              <w:rPr>
                <w:rFonts w:ascii="Times New Roman" w:hAnsi="Times New Roman" w:cs="Times New Roman"/>
                <w:sz w:val="28"/>
                <w:lang w:val="es-ES_tradnl"/>
              </w:rPr>
              <w:t xml:space="preserve">dos </w:t>
            </w:r>
            <w:r w:rsidRPr="00EE2FA1">
              <w:rPr>
                <w:rFonts w:ascii="Times New Roman" w:hAnsi="Times New Roman" w:cs="Times New Roman"/>
                <w:sz w:val="28"/>
                <w:lang w:val="es-ES_tradnl"/>
              </w:rPr>
              <w:t>bienes</w:t>
            </w:r>
            <w:r w:rsidRPr="00EE2FA1">
              <w:rPr>
                <w:rFonts w:ascii="Times New Roman" w:hAnsi="Times New Roman" w:cs="Times New Roman"/>
                <w:sz w:val="28"/>
                <w:lang w:val="es-ES_tradnl"/>
              </w:rPr>
              <w:t>. Además, tal impuesto permite la compensación de las externalidades negativas que generan tales actividades económicas sobre el medio ambiente y</w:t>
            </w:r>
            <w:r w:rsidRPr="00EE2FA1">
              <w:rPr>
                <w:rFonts w:ascii="Times New Roman" w:hAnsi="Times New Roman" w:cs="Times New Roman"/>
                <w:sz w:val="28"/>
                <w:lang w:val="es-ES_tradnl"/>
              </w:rPr>
              <w:t>,</w:t>
            </w:r>
            <w:r w:rsidRPr="00EE2FA1">
              <w:rPr>
                <w:rFonts w:ascii="Times New Roman" w:hAnsi="Times New Roman" w:cs="Times New Roman"/>
                <w:sz w:val="28"/>
                <w:lang w:val="es-ES_tradnl"/>
              </w:rPr>
              <w:t xml:space="preserve"> así</w:t>
            </w:r>
            <w:r w:rsidRPr="00EE2FA1">
              <w:rPr>
                <w:rFonts w:ascii="Times New Roman" w:hAnsi="Times New Roman" w:cs="Times New Roman"/>
                <w:sz w:val="28"/>
                <w:lang w:val="es-ES_tradnl"/>
              </w:rPr>
              <w:t>,</w:t>
            </w:r>
            <w:r w:rsidRPr="00EE2FA1">
              <w:rPr>
                <w:rFonts w:ascii="Times New Roman" w:hAnsi="Times New Roman" w:cs="Times New Roman"/>
                <w:sz w:val="28"/>
                <w:lang w:val="es-ES_tradnl"/>
              </w:rPr>
              <w:t xml:space="preserve"> incrementar la d</w:t>
            </w:r>
            <w:r w:rsidRPr="00EE2FA1">
              <w:rPr>
                <w:rFonts w:ascii="Times New Roman" w:hAnsi="Times New Roman" w:cs="Times New Roman"/>
                <w:sz w:val="28"/>
                <w:lang w:val="es-ES_tradnl"/>
              </w:rPr>
              <w:t xml:space="preserve">isponibilidad de recursos del </w:t>
            </w:r>
            <w:r w:rsidRPr="00EE2FA1">
              <w:rPr>
                <w:rFonts w:ascii="Times New Roman" w:hAnsi="Times New Roman" w:cs="Times New Roman"/>
                <w:sz w:val="28"/>
                <w:lang w:val="es-ES_tradnl"/>
              </w:rPr>
              <w:t>gobierno</w:t>
            </w:r>
            <w:r w:rsidRPr="00EE2FA1">
              <w:rPr>
                <w:rFonts w:ascii="Times New Roman" w:hAnsi="Times New Roman" w:cs="Times New Roman"/>
                <w:sz w:val="28"/>
                <w:lang w:val="es-ES_tradnl"/>
              </w:rPr>
              <w:t>.</w:t>
            </w:r>
          </w:p>
          <w:p w:rsidR="00837368" w:rsidRPr="00EE2FA1" w:rsidRDefault="00EE2FA1" w:rsidP="00C833B9">
            <w:pPr>
              <w:tabs>
                <w:tab w:val="left" w:pos="426"/>
              </w:tabs>
              <w:spacing w:line="0" w:lineRule="atLeast"/>
              <w:jc w:val="both"/>
              <w:rPr>
                <w:rFonts w:ascii="Times New Roman" w:hAnsi="Times New Roman" w:cs="Times New Roman"/>
                <w:sz w:val="28"/>
                <w:lang w:val="es-ES"/>
              </w:rPr>
            </w:pPr>
          </w:p>
          <w:p w:rsidR="00AE692A" w:rsidRPr="00EE2FA1" w:rsidRDefault="00EE2FA1" w:rsidP="00C833B9">
            <w:pPr>
              <w:tabs>
                <w:tab w:val="left" w:pos="426"/>
                <w:tab w:val="left" w:pos="567"/>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_tradnl"/>
              </w:rPr>
              <w:t>3</w:t>
            </w:r>
            <w:r w:rsidRPr="00EE2FA1">
              <w:rPr>
                <w:rFonts w:ascii="Times New Roman" w:hAnsi="Times New Roman" w:cs="Times New Roman"/>
                <w:sz w:val="28"/>
                <w:lang w:val="es-ES_tradnl"/>
              </w:rPr>
              <w:t xml:space="preserve">. La capacidad contributiva del </w:t>
            </w:r>
            <w:r w:rsidRPr="00EE2FA1">
              <w:rPr>
                <w:rFonts w:ascii="Times New Roman" w:hAnsi="Times New Roman" w:cs="Times New Roman"/>
                <w:sz w:val="28"/>
                <w:lang w:val="es-ES_tradnl"/>
              </w:rPr>
              <w:t>contribuyente</w:t>
            </w:r>
            <w:r w:rsidRPr="00EE2FA1">
              <w:rPr>
                <w:rFonts w:ascii="Times New Roman" w:hAnsi="Times New Roman" w:cs="Times New Roman"/>
                <w:sz w:val="28"/>
                <w:lang w:val="es-ES_tradnl"/>
              </w:rPr>
              <w:t xml:space="preserve"> fue analizada con base en la estimación de la Tarifa Efectiva de Tributación, así como la utilidad después de impuestos que tendría cada uno de los sectores que están s</w:t>
            </w:r>
            <w:r w:rsidRPr="00EE2FA1">
              <w:rPr>
                <w:rFonts w:ascii="Times New Roman" w:hAnsi="Times New Roman" w:cs="Times New Roman"/>
                <w:sz w:val="28"/>
                <w:lang w:val="es-ES_tradnl"/>
              </w:rPr>
              <w:t xml:space="preserve">ujetos a la sobretasa. </w:t>
            </w:r>
            <w:r w:rsidRPr="00EE2FA1">
              <w:rPr>
                <w:rFonts w:ascii="Times New Roman" w:hAnsi="Times New Roman" w:cs="Times New Roman"/>
                <w:sz w:val="28"/>
                <w:lang w:val="es-ES"/>
              </w:rPr>
              <w:t>Esta metodología contempla un análisis prospectivo de acuerdo con el comportamiento económico esperado del sector. También se realizó un análisis retrospectivo en el que se evaluó el impacto que hubiese podido tener la reforma tribut</w:t>
            </w:r>
            <w:r w:rsidRPr="00EE2FA1">
              <w:rPr>
                <w:rFonts w:ascii="Times New Roman" w:hAnsi="Times New Roman" w:cs="Times New Roman"/>
                <w:sz w:val="28"/>
                <w:lang w:val="es-ES"/>
              </w:rPr>
              <w:t>aria de haber estado vigente en los períodos previos.</w:t>
            </w: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r w:rsidRPr="00EE2FA1">
              <w:rPr>
                <w:rFonts w:ascii="Times New Roman" w:hAnsi="Times New Roman" w:cs="Times New Roman"/>
                <w:sz w:val="28"/>
              </w:rPr>
              <w:t>4.</w:t>
            </w:r>
            <w:r w:rsidRPr="00EE2FA1">
              <w:rPr>
                <w:rFonts w:ascii="Times New Roman" w:hAnsi="Times New Roman" w:cs="Times New Roman"/>
                <w:sz w:val="28"/>
              </w:rPr>
              <w:t xml:space="preserve"> </w:t>
            </w:r>
            <w:r w:rsidRPr="00EE2FA1">
              <w:rPr>
                <w:rFonts w:ascii="Times New Roman" w:hAnsi="Times New Roman" w:cs="Times New Roman"/>
                <w:sz w:val="28"/>
              </w:rPr>
              <w:t>P</w:t>
            </w:r>
            <w:r w:rsidRPr="00EE2FA1">
              <w:rPr>
                <w:rFonts w:ascii="Times New Roman" w:hAnsi="Times New Roman" w:cs="Times New Roman"/>
                <w:sz w:val="28"/>
              </w:rPr>
              <w:t>resentó la siguiente gráfica:</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r w:rsidRPr="00EE2FA1">
              <w:rPr>
                <w:rFonts w:ascii="Times New Roman" w:hAnsi="Times New Roman" w:cs="Times New Roman"/>
                <w:noProof/>
                <w:sz w:val="28"/>
              </w:rPr>
              <w:drawing>
                <wp:inline distT="0" distB="0" distL="0" distR="0" wp14:anchorId="1F888086" wp14:editId="52B75172">
                  <wp:extent cx="3400425" cy="1943100"/>
                  <wp:effectExtent l="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4459" cy="1945405"/>
                          </a:xfrm>
                          <a:prstGeom prst="rect">
                            <a:avLst/>
                          </a:prstGeom>
                          <a:noFill/>
                          <a:ln>
                            <a:noFill/>
                          </a:ln>
                        </pic:spPr>
                      </pic:pic>
                    </a:graphicData>
                  </a:graphic>
                </wp:inline>
              </w:drawing>
            </w:r>
          </w:p>
          <w:p w:rsidR="00430C1F"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
              </w:rPr>
              <w:t>A la fecha no se cuenta con información sobre el recaudo por este concepto que se haya obtenido en el transcurso del 2023.  Lo anterior</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al considerar que la medida expuesta solo se verá reflejada cuando los contribuyentes presenten su declaración y paguen las obligaciones por concepto de este impuesto, lo que sucederá en el transcurso del 2024. Para ese año gravable se esperan obtener ing</w:t>
            </w:r>
            <w:r w:rsidRPr="00EE2FA1">
              <w:rPr>
                <w:rFonts w:ascii="Times New Roman" w:hAnsi="Times New Roman" w:cs="Times New Roman"/>
                <w:sz w:val="28"/>
                <w:lang w:val="es-ES"/>
              </w:rPr>
              <w:t xml:space="preserve">resos fiscales por concepto de la sobretasa de petróleo y carbón por el monto de $1.968 miles de millones. Finalmente, en relación con las proyecciones del impacto ambiental de la medida a corto, mediano y largo plazo, el </w:t>
            </w:r>
            <w:r w:rsidRPr="00EE2FA1">
              <w:rPr>
                <w:rFonts w:ascii="Times New Roman" w:hAnsi="Times New Roman" w:cs="Times New Roman"/>
                <w:sz w:val="28"/>
                <w:lang w:val="es-ES"/>
              </w:rPr>
              <w:t xml:space="preserve">ministerio </w:t>
            </w:r>
            <w:r w:rsidRPr="00EE2FA1">
              <w:rPr>
                <w:rFonts w:ascii="Times New Roman" w:hAnsi="Times New Roman" w:cs="Times New Roman"/>
                <w:sz w:val="28"/>
                <w:lang w:val="es-ES"/>
              </w:rPr>
              <w:t>carece de competencia p</w:t>
            </w:r>
            <w:r w:rsidRPr="00EE2FA1">
              <w:rPr>
                <w:rFonts w:ascii="Times New Roman" w:hAnsi="Times New Roman" w:cs="Times New Roman"/>
                <w:sz w:val="28"/>
                <w:lang w:val="es-ES"/>
              </w:rPr>
              <w:t>ara pronunciarse</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según lo establecido en el Decreto 4712 de 2008</w:t>
            </w:r>
            <w:r w:rsidRPr="00EE2FA1">
              <w:rPr>
                <w:rFonts w:ascii="Times New Roman" w:hAnsi="Times New Roman" w:cs="Times New Roman"/>
                <w:sz w:val="28"/>
                <w:lang w:val="es-ES"/>
              </w:rPr>
              <w:t>.</w:t>
            </w:r>
          </w:p>
          <w:p w:rsidR="00430C1F" w:rsidRPr="00EE2FA1" w:rsidRDefault="00EE2FA1" w:rsidP="00C833B9">
            <w:pPr>
              <w:tabs>
                <w:tab w:val="left" w:pos="426"/>
                <w:tab w:val="left" w:pos="8081"/>
              </w:tabs>
              <w:spacing w:line="0" w:lineRule="atLeast"/>
              <w:jc w:val="both"/>
              <w:rPr>
                <w:rFonts w:ascii="Times New Roman" w:hAnsi="Times New Roman" w:cs="Times New Roman"/>
                <w:sz w:val="28"/>
                <w:lang w:val="es-ES"/>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
              </w:rPr>
              <w:t>Las alternativas que consistan en aumentar la tarifa solo para una proporción de las utilidades consideradas extraordinarias incrementaría la complejidad del diseño impositivo, pues: i) im</w:t>
            </w:r>
            <w:r w:rsidRPr="00EE2FA1">
              <w:rPr>
                <w:rFonts w:ascii="Times New Roman" w:hAnsi="Times New Roman" w:cs="Times New Roman"/>
                <w:sz w:val="28"/>
                <w:lang w:val="es-ES"/>
              </w:rPr>
              <w:t>plica incorporar un supuesto para definir la proporción de las utilidades que es extraordinaria, ii) requiere mayor información sobre las compañías, pues se debe evitar aumentar el impuesto a las empresas que incrementan su utilidad por ganancias en eficie</w:t>
            </w:r>
            <w:r w:rsidRPr="00EE2FA1">
              <w:rPr>
                <w:rFonts w:ascii="Times New Roman" w:hAnsi="Times New Roman" w:cs="Times New Roman"/>
                <w:sz w:val="28"/>
                <w:lang w:val="es-ES"/>
              </w:rPr>
              <w:t xml:space="preserve">ncia y no por factores exógenos como el precio internacional, iii) dificulta el proceso de liquidación del impuesto sobre la renta de las compañías, lo cual </w:t>
            </w:r>
            <w:r w:rsidRPr="00EE2FA1">
              <w:rPr>
                <w:rFonts w:ascii="Times New Roman" w:hAnsi="Times New Roman" w:cs="Times New Roman"/>
                <w:sz w:val="28"/>
                <w:lang w:val="es-ES"/>
              </w:rPr>
              <w:t xml:space="preserve">afecta </w:t>
            </w:r>
            <w:r w:rsidRPr="00EE2FA1">
              <w:rPr>
                <w:rFonts w:ascii="Times New Roman" w:hAnsi="Times New Roman" w:cs="Times New Roman"/>
                <w:sz w:val="28"/>
                <w:lang w:val="es-ES"/>
              </w:rPr>
              <w:t xml:space="preserve">las actividades de fiscalización por parte de la DIAN. Por lo anterior, el diseño planteado </w:t>
            </w:r>
            <w:r w:rsidRPr="00EE2FA1">
              <w:rPr>
                <w:rFonts w:ascii="Times New Roman" w:hAnsi="Times New Roman" w:cs="Times New Roman"/>
                <w:sz w:val="28"/>
                <w:lang w:val="es-ES"/>
              </w:rPr>
              <w:t>permite el correcto cumplimiento de los objetivos planteados</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sin generar un impacto desproporcionado.</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r w:rsidRPr="00EE2FA1">
              <w:rPr>
                <w:rFonts w:ascii="Times New Roman" w:hAnsi="Times New Roman" w:cs="Times New Roman"/>
                <w:sz w:val="28"/>
              </w:rPr>
              <w:t>5</w:t>
            </w:r>
            <w:r w:rsidRPr="00EE2FA1">
              <w:rPr>
                <w:rFonts w:ascii="Times New Roman" w:hAnsi="Times New Roman" w:cs="Times New Roman"/>
                <w:sz w:val="28"/>
              </w:rPr>
              <w:t xml:space="preserve">. </w:t>
            </w:r>
            <w:r w:rsidRPr="00EE2FA1">
              <w:rPr>
                <w:rFonts w:ascii="Times New Roman" w:hAnsi="Times New Roman" w:cs="Times New Roman"/>
                <w:sz w:val="28"/>
              </w:rPr>
              <w:t>L</w:t>
            </w:r>
            <w:r w:rsidRPr="00EE2FA1">
              <w:rPr>
                <w:rFonts w:ascii="Times New Roman" w:hAnsi="Times New Roman" w:cs="Times New Roman"/>
                <w:sz w:val="28"/>
              </w:rPr>
              <w:t>a metodología usada para determinar los puntos adicionales sobre el impuesto de renta para el año 2023 para la extracción de petróleo crudo comprend</w:t>
            </w:r>
            <w:r w:rsidRPr="00EE2FA1">
              <w:rPr>
                <w:rFonts w:ascii="Times New Roman" w:hAnsi="Times New Roman" w:cs="Times New Roman"/>
                <w:sz w:val="28"/>
              </w:rPr>
              <w:t xml:space="preserve">e que antes del último día hábil de enero la ANH </w:t>
            </w:r>
            <w:r w:rsidRPr="00EE2FA1">
              <w:rPr>
                <w:rFonts w:ascii="Times New Roman" w:hAnsi="Times New Roman" w:cs="Times New Roman"/>
                <w:sz w:val="28"/>
              </w:rPr>
              <w:t xml:space="preserve">expida un </w:t>
            </w:r>
            <w:r w:rsidRPr="00EE2FA1">
              <w:rPr>
                <w:rFonts w:ascii="Times New Roman" w:hAnsi="Times New Roman" w:cs="Times New Roman"/>
                <w:sz w:val="28"/>
              </w:rPr>
              <w:t>acto administrativo que contenga: (i) los precios promedio del año gravable 2023 y (ii) la información correspondiente a los percentiles de los precios históricos que permitirá determinar cuál es e</w:t>
            </w:r>
            <w:r w:rsidRPr="00EE2FA1">
              <w:rPr>
                <w:rFonts w:ascii="Times New Roman" w:hAnsi="Times New Roman" w:cs="Times New Roman"/>
                <w:sz w:val="28"/>
              </w:rPr>
              <w:t>l valor de la sobretasa.</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
              </w:rPr>
              <w:t>El valor obtenido en el paso 1 se compara con el de los percentiles 30, 45 y 60. Si el valor promedio de 2023 está por debajo del percentil 30, la sobretasa sería de 0%; si dicho valor se encuentra entre el percentil 30 y 45 la so</w:t>
            </w:r>
            <w:r w:rsidRPr="00EE2FA1">
              <w:rPr>
                <w:rFonts w:ascii="Times New Roman" w:hAnsi="Times New Roman" w:cs="Times New Roman"/>
                <w:sz w:val="28"/>
                <w:lang w:val="es-ES"/>
              </w:rPr>
              <w:t>bretasa será de 5%; si se encuentra entre el percentil 45 y 60 la sobretasa será de 10%; y, por último, un valor por encima del percentil 60 genera una sobretasa de</w:t>
            </w:r>
            <w:r w:rsidRPr="00EE2FA1">
              <w:rPr>
                <w:rFonts w:ascii="Times New Roman" w:hAnsi="Times New Roman" w:cs="Times New Roman"/>
                <w:sz w:val="28"/>
                <w:lang w:val="es-ES"/>
              </w:rPr>
              <w:t>l</w:t>
            </w:r>
            <w:r w:rsidRPr="00EE2FA1">
              <w:rPr>
                <w:rFonts w:ascii="Times New Roman" w:hAnsi="Times New Roman" w:cs="Times New Roman"/>
                <w:sz w:val="28"/>
                <w:lang w:val="es-ES"/>
              </w:rPr>
              <w:t xml:space="preserve"> 15%.</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r w:rsidRPr="00EE2FA1">
              <w:rPr>
                <w:rFonts w:ascii="Times New Roman" w:hAnsi="Times New Roman" w:cs="Times New Roman"/>
                <w:sz w:val="28"/>
              </w:rPr>
              <w:t>6</w:t>
            </w:r>
            <w:r w:rsidRPr="00EE2FA1">
              <w:rPr>
                <w:rFonts w:ascii="Times New Roman" w:hAnsi="Times New Roman" w:cs="Times New Roman"/>
                <w:sz w:val="28"/>
              </w:rPr>
              <w:t>. Conforme lo dispuesto en el artículo 338 de la Carta</w:t>
            </w:r>
            <w:r w:rsidRPr="00EE2FA1">
              <w:rPr>
                <w:rFonts w:ascii="Times New Roman" w:hAnsi="Times New Roman" w:cs="Times New Roman"/>
                <w:sz w:val="28"/>
              </w:rPr>
              <w:t>,</w:t>
            </w:r>
            <w:r w:rsidRPr="00EE2FA1">
              <w:rPr>
                <w:rFonts w:ascii="Times New Roman" w:hAnsi="Times New Roman" w:cs="Times New Roman"/>
                <w:sz w:val="28"/>
              </w:rPr>
              <w:t xml:space="preserve"> la norma acusada solo puede</w:t>
            </w:r>
            <w:r w:rsidRPr="00EE2FA1">
              <w:rPr>
                <w:rFonts w:ascii="Times New Roman" w:hAnsi="Times New Roman" w:cs="Times New Roman"/>
                <w:sz w:val="28"/>
              </w:rPr>
              <w:t xml:space="preserve"> aplicarse a partir del per</w:t>
            </w:r>
            <w:r w:rsidRPr="00EE2FA1">
              <w:rPr>
                <w:rFonts w:ascii="Times New Roman" w:hAnsi="Times New Roman" w:cs="Times New Roman"/>
                <w:sz w:val="28"/>
              </w:rPr>
              <w:t>í</w:t>
            </w:r>
            <w:r w:rsidRPr="00EE2FA1">
              <w:rPr>
                <w:rFonts w:ascii="Times New Roman" w:hAnsi="Times New Roman" w:cs="Times New Roman"/>
                <w:sz w:val="28"/>
              </w:rPr>
              <w:t>odo que comience después de entrar en vigor la ley, es decir 2023. La sobretasa gravable depende del precio promedio internacional observado en el mismo año, es decir, para el año gravable 2023 que se declara y paga en la vigenc</w:t>
            </w:r>
            <w:r w:rsidRPr="00EE2FA1">
              <w:rPr>
                <w:rFonts w:ascii="Times New Roman" w:hAnsi="Times New Roman" w:cs="Times New Roman"/>
                <w:sz w:val="28"/>
              </w:rPr>
              <w:t xml:space="preserve">ia 2024, </w:t>
            </w:r>
            <w:r w:rsidRPr="00EE2FA1">
              <w:rPr>
                <w:rFonts w:ascii="Times New Roman" w:hAnsi="Times New Roman" w:cs="Times New Roman"/>
                <w:sz w:val="28"/>
              </w:rPr>
              <w:t>teniéndose</w:t>
            </w:r>
            <w:r w:rsidRPr="00EE2FA1">
              <w:rPr>
                <w:rFonts w:ascii="Times New Roman" w:hAnsi="Times New Roman" w:cs="Times New Roman"/>
                <w:sz w:val="28"/>
              </w:rPr>
              <w:t xml:space="preserve"> en cuenta el comportamiento del precio internacional del petróleo crudo durante el 2023.</w:t>
            </w: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rPr>
              <w:t>7</w:t>
            </w:r>
            <w:r w:rsidRPr="00EE2FA1">
              <w:rPr>
                <w:rFonts w:ascii="Times New Roman" w:hAnsi="Times New Roman" w:cs="Times New Roman"/>
                <w:sz w:val="28"/>
              </w:rPr>
              <w:t>.</w:t>
            </w:r>
            <w:r w:rsidRPr="00EE2FA1">
              <w:rPr>
                <w:rFonts w:ascii="Times New Roman" w:hAnsi="Times New Roman" w:cs="Times New Roman"/>
                <w:sz w:val="28"/>
                <w:lang w:val="es-ES"/>
              </w:rPr>
              <w:t xml:space="preserve"> El impacto de la sobretasa dependerá del nivel de precios de cada sector. Para el sector carbón se proyecta que la sobretasa será del 0% en 2026</w:t>
            </w:r>
            <w:r w:rsidRPr="00EE2FA1">
              <w:rPr>
                <w:rFonts w:ascii="Times New Roman" w:hAnsi="Times New Roman" w:cs="Times New Roman"/>
                <w:sz w:val="28"/>
                <w:lang w:val="es-ES"/>
              </w:rPr>
              <w:t>. Para el sector petróleo, se anticipa una tasa de 10% el primer año y una del 5% entre 2023 y 2026. A continuación, se presenta una proyección de la TET</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r w:rsidRPr="00EE2FA1">
              <w:rPr>
                <w:rFonts w:ascii="Times New Roman" w:hAnsi="Times New Roman" w:cs="Times New Roman"/>
                <w:noProof/>
                <w:sz w:val="28"/>
              </w:rPr>
              <w:drawing>
                <wp:inline distT="0" distB="0" distL="0" distR="0" wp14:anchorId="160FBD87" wp14:editId="74E6A11B">
                  <wp:extent cx="3638550" cy="1948140"/>
                  <wp:effectExtent l="0" t="0" r="0" b="0"/>
                  <wp:docPr id="3" name="Imagen 109439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650466" cy="1954520"/>
                          </a:xfrm>
                          <a:prstGeom prst="rect">
                            <a:avLst/>
                          </a:prstGeom>
                        </pic:spPr>
                      </pic:pic>
                    </a:graphicData>
                  </a:graphic>
                </wp:inline>
              </w:drawing>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rPr>
              <w:t>8</w:t>
            </w:r>
            <w:r w:rsidRPr="00EE2FA1">
              <w:rPr>
                <w:rFonts w:ascii="Times New Roman" w:hAnsi="Times New Roman" w:cs="Times New Roman"/>
                <w:sz w:val="28"/>
              </w:rPr>
              <w:t xml:space="preserve">. El análisis de la capacidad contributiva que se realizó para establecer la sobretasa al </w:t>
            </w:r>
            <w:r w:rsidRPr="00EE2FA1">
              <w:rPr>
                <w:rFonts w:ascii="Times New Roman" w:hAnsi="Times New Roman" w:cs="Times New Roman"/>
                <w:sz w:val="28"/>
              </w:rPr>
              <w:t>impuesto de renta consideró que el pago que las compañías realizan por concepto de la cláusula de precios altos permite concluir que en escenarios positivos para el sector es posible aumentar la carga tributaria</w:t>
            </w:r>
            <w:r w:rsidRPr="00EE2FA1">
              <w:rPr>
                <w:rFonts w:ascii="Times New Roman" w:hAnsi="Times New Roman" w:cs="Times New Roman"/>
                <w:sz w:val="28"/>
              </w:rPr>
              <w:t>,</w:t>
            </w:r>
            <w:r w:rsidRPr="00EE2FA1">
              <w:rPr>
                <w:rFonts w:ascii="Times New Roman" w:hAnsi="Times New Roman" w:cs="Times New Roman"/>
                <w:sz w:val="28"/>
              </w:rPr>
              <w:t xml:space="preserve"> </w:t>
            </w:r>
            <w:r w:rsidRPr="00EE2FA1">
              <w:rPr>
                <w:rFonts w:ascii="Times New Roman" w:hAnsi="Times New Roman" w:cs="Times New Roman"/>
                <w:sz w:val="28"/>
                <w:lang w:val="es-ES"/>
              </w:rPr>
              <w:t>valorando los objetivos que persigue el tri</w:t>
            </w:r>
            <w:r w:rsidRPr="00EE2FA1">
              <w:rPr>
                <w:rFonts w:ascii="Times New Roman" w:hAnsi="Times New Roman" w:cs="Times New Roman"/>
                <w:sz w:val="28"/>
                <w:lang w:val="es-ES"/>
              </w:rPr>
              <w:t>buto y respetando la proporcionalidad de la medida frente a los indicadores financieros de las compañías gravadas.</w:t>
            </w:r>
          </w:p>
          <w:p w:rsidR="00AE692A" w:rsidRPr="00EE2FA1" w:rsidRDefault="00EE2FA1" w:rsidP="00C833B9">
            <w:pPr>
              <w:tabs>
                <w:tab w:val="left" w:pos="426"/>
                <w:tab w:val="left" w:pos="8081"/>
              </w:tabs>
              <w:spacing w:line="0" w:lineRule="atLeast"/>
              <w:jc w:val="both"/>
              <w:rPr>
                <w:rFonts w:ascii="Times New Roman" w:hAnsi="Times New Roman" w:cs="Times New Roman"/>
                <w:sz w:val="28"/>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rPr>
              <w:t>9</w:t>
            </w:r>
            <w:r w:rsidRPr="00EE2FA1">
              <w:rPr>
                <w:rFonts w:ascii="Times New Roman" w:hAnsi="Times New Roman" w:cs="Times New Roman"/>
                <w:sz w:val="28"/>
              </w:rPr>
              <w:t xml:space="preserve">. </w:t>
            </w:r>
            <w:r w:rsidRPr="00EE2FA1">
              <w:rPr>
                <w:rFonts w:ascii="Times New Roman" w:hAnsi="Times New Roman" w:cs="Times New Roman"/>
                <w:sz w:val="28"/>
                <w:lang w:val="es-ES"/>
              </w:rPr>
              <w:t>Del sector de hidrocarburos actualmente solo se aplica sobretasa para actividades de extracción de petróleo crudo (CIIU 0610), dado que l</w:t>
            </w:r>
            <w:r w:rsidRPr="00EE2FA1">
              <w:rPr>
                <w:rFonts w:ascii="Times New Roman" w:hAnsi="Times New Roman" w:cs="Times New Roman"/>
                <w:sz w:val="28"/>
                <w:lang w:val="es-ES"/>
              </w:rPr>
              <w:t xml:space="preserve">a extracción de gas no está incluida dentro de la sobretasa. La decisión obedece a la autonomía de configuración del tributo </w:t>
            </w:r>
            <w:r w:rsidRPr="00EE2FA1">
              <w:rPr>
                <w:rFonts w:ascii="Times New Roman" w:hAnsi="Times New Roman" w:cs="Times New Roman"/>
                <w:sz w:val="28"/>
                <w:lang w:val="es-ES"/>
              </w:rPr>
              <w:t xml:space="preserve">por el </w:t>
            </w:r>
            <w:r w:rsidRPr="00EE2FA1">
              <w:rPr>
                <w:rFonts w:ascii="Times New Roman" w:hAnsi="Times New Roman" w:cs="Times New Roman"/>
                <w:sz w:val="28"/>
                <w:lang w:val="es-ES"/>
              </w:rPr>
              <w:t>Congreso de la República</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atendiendo a las finalidades de la sobretasa, que no es afectar recursos necesarios para apoyar la transición energética.</w:t>
            </w:r>
          </w:p>
          <w:p w:rsidR="00C61D4E" w:rsidRPr="00EE2FA1" w:rsidRDefault="00EE2FA1" w:rsidP="00C833B9">
            <w:pPr>
              <w:tabs>
                <w:tab w:val="left" w:pos="426"/>
                <w:tab w:val="left" w:pos="8081"/>
              </w:tabs>
              <w:spacing w:line="0" w:lineRule="atLeast"/>
              <w:jc w:val="both"/>
              <w:rPr>
                <w:rFonts w:ascii="Times New Roman" w:hAnsi="Times New Roman" w:cs="Times New Roman"/>
                <w:sz w:val="28"/>
                <w:lang w:val="es-ES"/>
              </w:rPr>
            </w:pPr>
          </w:p>
          <w:p w:rsidR="00AE692A" w:rsidRPr="00EE2FA1" w:rsidRDefault="00EE2FA1" w:rsidP="00430C1F">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
              </w:rPr>
              <w:t>1</w:t>
            </w:r>
            <w:r w:rsidRPr="00EE2FA1">
              <w:rPr>
                <w:rFonts w:ascii="Times New Roman" w:hAnsi="Times New Roman" w:cs="Times New Roman"/>
                <w:sz w:val="28"/>
                <w:lang w:val="es-ES"/>
              </w:rPr>
              <w:t>0</w:t>
            </w:r>
            <w:r w:rsidRPr="00EE2FA1">
              <w:rPr>
                <w:rFonts w:ascii="Times New Roman" w:hAnsi="Times New Roman" w:cs="Times New Roman"/>
                <w:sz w:val="28"/>
                <w:lang w:val="es-ES"/>
              </w:rPr>
              <w:t>. A partir de la Ley 2277 de 2022 se prevé un recaudo de $17.5 billones en 2023, de los cuales $4.1 billones corresponde</w:t>
            </w:r>
            <w:r w:rsidRPr="00EE2FA1">
              <w:rPr>
                <w:rFonts w:ascii="Times New Roman" w:hAnsi="Times New Roman" w:cs="Times New Roman"/>
                <w:sz w:val="28"/>
                <w:lang w:val="es-ES"/>
              </w:rPr>
              <w:t>n</w:t>
            </w:r>
            <w:r w:rsidRPr="00EE2FA1">
              <w:rPr>
                <w:rFonts w:ascii="Times New Roman" w:hAnsi="Times New Roman" w:cs="Times New Roman"/>
                <w:sz w:val="28"/>
                <w:lang w:val="es-ES"/>
              </w:rPr>
              <w:t xml:space="preserve"> a los in</w:t>
            </w:r>
            <w:r w:rsidRPr="00EE2FA1">
              <w:rPr>
                <w:rFonts w:ascii="Times New Roman" w:hAnsi="Times New Roman" w:cs="Times New Roman"/>
                <w:sz w:val="28"/>
                <w:lang w:val="es-ES"/>
              </w:rPr>
              <w:t>gresos tributarios provenientes de la sobretasa al impuesto sobre la renta para actividades relacionadas con la extracción de petróleo y carbón</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prevista en el parágrafo 3</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del artículo 10</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de la Ley 2277 de 2022. Si se declara </w:t>
            </w:r>
            <w:r w:rsidRPr="00EE2FA1">
              <w:rPr>
                <w:rFonts w:ascii="Times New Roman" w:hAnsi="Times New Roman" w:cs="Times New Roman"/>
                <w:sz w:val="28"/>
                <w:lang w:val="es-ES"/>
              </w:rPr>
              <w:t>su</w:t>
            </w:r>
            <w:r w:rsidRPr="00EE2FA1">
              <w:rPr>
                <w:rFonts w:ascii="Times New Roman" w:hAnsi="Times New Roman" w:cs="Times New Roman"/>
                <w:sz w:val="28"/>
                <w:lang w:val="es-ES"/>
              </w:rPr>
              <w:t xml:space="preserve"> inexequibilidad, el imp</w:t>
            </w:r>
            <w:r w:rsidRPr="00EE2FA1">
              <w:rPr>
                <w:rFonts w:ascii="Times New Roman" w:hAnsi="Times New Roman" w:cs="Times New Roman"/>
                <w:sz w:val="28"/>
                <w:lang w:val="es-ES"/>
              </w:rPr>
              <w:t xml:space="preserve">acto fiscal ascendería a $4.1 billones en 2023 y $1.4 billones en promedio entre 2024 y 2034. Esto afectaría la financiación de los proyectos sociales contemplados por el </w:t>
            </w:r>
            <w:r w:rsidRPr="00EE2FA1">
              <w:rPr>
                <w:rFonts w:ascii="Times New Roman" w:hAnsi="Times New Roman" w:cs="Times New Roman"/>
                <w:sz w:val="28"/>
                <w:lang w:val="es-ES"/>
              </w:rPr>
              <w:t xml:space="preserve">gobierno Nacional </w:t>
            </w:r>
            <w:r w:rsidRPr="00EE2FA1">
              <w:rPr>
                <w:rFonts w:ascii="Times New Roman" w:hAnsi="Times New Roman" w:cs="Times New Roman"/>
                <w:sz w:val="28"/>
                <w:lang w:val="es-ES"/>
              </w:rPr>
              <w:t>y el financiamiento de la adición presupuestal aprobada para la vig</w:t>
            </w:r>
            <w:r w:rsidRPr="00EE2FA1">
              <w:rPr>
                <w:rFonts w:ascii="Times New Roman" w:hAnsi="Times New Roman" w:cs="Times New Roman"/>
                <w:sz w:val="28"/>
                <w:lang w:val="es-ES"/>
              </w:rPr>
              <w:t xml:space="preserve">encia 2023. En caso </w:t>
            </w:r>
            <w:r w:rsidRPr="00EE2FA1">
              <w:rPr>
                <w:rFonts w:ascii="Times New Roman" w:hAnsi="Times New Roman" w:cs="Times New Roman"/>
                <w:sz w:val="28"/>
                <w:lang w:val="es-ES"/>
              </w:rPr>
              <w:t>de</w:t>
            </w:r>
            <w:r w:rsidRPr="00EE2FA1">
              <w:rPr>
                <w:rFonts w:ascii="Times New Roman" w:hAnsi="Times New Roman" w:cs="Times New Roman"/>
                <w:sz w:val="28"/>
                <w:lang w:val="es-ES"/>
              </w:rPr>
              <w:t xml:space="preserve"> optarse por mantener el nivel del gasto, la reducción de los ingresos implicaría un incumplimiento de la regla fiscal definida por la Ley 2155 de 2021.</w:t>
            </w: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rPr>
            </w:pPr>
            <w:r w:rsidRPr="00EE2FA1">
              <w:rPr>
                <w:rFonts w:ascii="Times New Roman" w:hAnsi="Times New Roman" w:cs="Times New Roman"/>
                <w:sz w:val="28"/>
              </w:rPr>
              <w:t>Secretaría General del Senado de la República</w:t>
            </w:r>
            <w:r w:rsidRPr="00EE2FA1">
              <w:rPr>
                <w:rStyle w:val="Refdenotaalpie"/>
                <w:rFonts w:ascii="Times New Roman" w:hAnsi="Times New Roman" w:cs="Times New Roman"/>
                <w:sz w:val="28"/>
              </w:rPr>
              <w:footnoteReference w:id="14"/>
            </w:r>
          </w:p>
        </w:tc>
        <w:tc>
          <w:tcPr>
            <w:tcW w:w="7531"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Brindó respuesta a lo requerido y</w:t>
            </w:r>
            <w:r w:rsidRPr="00EE2FA1">
              <w:rPr>
                <w:rFonts w:ascii="Times New Roman" w:eastAsia="Calibri" w:hAnsi="Times New Roman" w:cs="Times New Roman"/>
                <w:sz w:val="28"/>
                <w:lang w:eastAsia="es-ES"/>
              </w:rPr>
              <w:t xml:space="preserve"> aportó los antecedentes legislativos de la norma demandada, al igual que las </w:t>
            </w:r>
            <w:r w:rsidRPr="00EE2FA1">
              <w:rPr>
                <w:rFonts w:ascii="Times New Roman" w:eastAsia="Calibri" w:hAnsi="Times New Roman" w:cs="Times New Roman"/>
                <w:sz w:val="28"/>
                <w:lang w:eastAsia="es-ES"/>
              </w:rPr>
              <w:t xml:space="preserve">gacetas </w:t>
            </w:r>
            <w:r w:rsidRPr="00EE2FA1">
              <w:rPr>
                <w:rFonts w:ascii="Times New Roman" w:eastAsia="Calibri" w:hAnsi="Times New Roman" w:cs="Times New Roman"/>
                <w:sz w:val="28"/>
                <w:lang w:eastAsia="es-ES"/>
              </w:rPr>
              <w:t>en las que constan los debates en plenaria del Senado que condujeron a la expedición de la Ley 2277 de 2022.</w:t>
            </w: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rPr>
            </w:pPr>
            <w:r w:rsidRPr="00EE2FA1">
              <w:rPr>
                <w:rFonts w:ascii="Times New Roman" w:hAnsi="Times New Roman" w:cs="Times New Roman"/>
                <w:sz w:val="28"/>
              </w:rPr>
              <w:t>Dirección de Impuestos y Aduanas Nacionales</w:t>
            </w:r>
            <w:r w:rsidRPr="00EE2FA1">
              <w:rPr>
                <w:rFonts w:ascii="Times New Roman" w:hAnsi="Times New Roman" w:cs="Times New Roman"/>
                <w:sz w:val="28"/>
              </w:rPr>
              <w:t xml:space="preserve"> (DIAN)</w:t>
            </w:r>
            <w:r w:rsidRPr="00EE2FA1">
              <w:rPr>
                <w:rStyle w:val="Refdenotaalpie"/>
                <w:rFonts w:ascii="Times New Roman" w:hAnsi="Times New Roman" w:cs="Times New Roman"/>
                <w:sz w:val="28"/>
              </w:rPr>
              <w:footnoteReference w:id="15"/>
            </w:r>
          </w:p>
        </w:tc>
        <w:tc>
          <w:tcPr>
            <w:tcW w:w="7531" w:type="dxa"/>
          </w:tcPr>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r w:rsidRPr="00EE2FA1">
              <w:rPr>
                <w:rFonts w:ascii="Times New Roman" w:hAnsi="Times New Roman" w:cs="Times New Roman"/>
                <w:sz w:val="28"/>
                <w:lang w:val="es-ES_tradnl"/>
              </w:rPr>
              <w:t xml:space="preserve">La </w:t>
            </w:r>
            <w:r w:rsidRPr="00EE2FA1">
              <w:rPr>
                <w:rFonts w:ascii="Times New Roman" w:hAnsi="Times New Roman" w:cs="Times New Roman"/>
                <w:sz w:val="28"/>
                <w:lang w:val="es-ES_tradnl"/>
              </w:rPr>
              <w:t>entidad contestó cada uno de los interrogantes planteados por el magistrado sustanciador de la siguiente manera:</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r w:rsidRPr="00EE2FA1">
              <w:rPr>
                <w:rFonts w:ascii="Times New Roman" w:hAnsi="Times New Roman" w:cs="Times New Roman"/>
                <w:sz w:val="28"/>
                <w:lang w:val="es-ES_tradnl"/>
              </w:rPr>
              <w:t xml:space="preserve"> </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r w:rsidRPr="00EE2FA1">
              <w:rPr>
                <w:rFonts w:ascii="Times New Roman" w:hAnsi="Times New Roman" w:cs="Times New Roman"/>
                <w:sz w:val="28"/>
                <w:lang w:val="es-ES"/>
              </w:rPr>
              <w:t xml:space="preserve">Frente al primero, manifestó que conforme lo establecido en el artículo 240 del Estatuto Tributario, el impuesto sobre la renta es un impuesto de periodo comprendido entre el 1° de enero y </w:t>
            </w:r>
            <w:r w:rsidRPr="00EE2FA1">
              <w:rPr>
                <w:rFonts w:ascii="Times New Roman" w:hAnsi="Times New Roman" w:cs="Times New Roman"/>
                <w:sz w:val="28"/>
                <w:lang w:val="es-ES"/>
              </w:rPr>
              <w:t xml:space="preserve">el </w:t>
            </w:r>
            <w:r w:rsidRPr="00EE2FA1">
              <w:rPr>
                <w:rFonts w:ascii="Times New Roman" w:hAnsi="Times New Roman" w:cs="Times New Roman"/>
                <w:sz w:val="28"/>
                <w:lang w:val="es-ES"/>
              </w:rPr>
              <w:t>31 de diciembre de cada año. En la misma línea, las leyes, orden</w:t>
            </w:r>
            <w:r w:rsidRPr="00EE2FA1">
              <w:rPr>
                <w:rFonts w:ascii="Times New Roman" w:hAnsi="Times New Roman" w:cs="Times New Roman"/>
                <w:sz w:val="28"/>
                <w:lang w:val="es-ES"/>
              </w:rPr>
              <w:t xml:space="preserve">anzas y acuerdos que regulan contribuciones </w:t>
            </w:r>
            <w:r w:rsidRPr="00EE2FA1">
              <w:rPr>
                <w:rFonts w:ascii="Times New Roman" w:hAnsi="Times New Roman" w:cs="Times New Roman"/>
                <w:sz w:val="28"/>
                <w:lang w:val="es-ES"/>
              </w:rPr>
              <w:t xml:space="preserve">en las cuales </w:t>
            </w:r>
            <w:r w:rsidRPr="00EE2FA1">
              <w:rPr>
                <w:rFonts w:ascii="Times New Roman" w:hAnsi="Times New Roman" w:cs="Times New Roman"/>
                <w:sz w:val="28"/>
                <w:lang w:val="es-ES"/>
              </w:rPr>
              <w:t>la base sea el resultado de un período determinado, no pueden aplicarse sino a partir del periodo que comience después de entrar en vigor la ley, ello conforme al artículo 338 superior. Por tal moti</w:t>
            </w:r>
            <w:r w:rsidRPr="00EE2FA1">
              <w:rPr>
                <w:rFonts w:ascii="Times New Roman" w:hAnsi="Times New Roman" w:cs="Times New Roman"/>
                <w:sz w:val="28"/>
                <w:lang w:val="es-ES"/>
              </w:rPr>
              <w:t>vo, la modificación de la norma no aplicaría para el año gravable 2021 y 2022, pues tendría efectos a partir del 1° de enero de 2023.</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r w:rsidRPr="00EE2FA1">
              <w:rPr>
                <w:rFonts w:ascii="Times New Roman" w:hAnsi="Times New Roman" w:cs="Times New Roman"/>
                <w:sz w:val="28"/>
                <w:lang w:val="es-ES"/>
              </w:rPr>
              <w:t>Esto</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sin perjuicio que en la metodología dispuesta para la determinación de los puntos adicionales se considere informac</w:t>
            </w:r>
            <w:r w:rsidRPr="00EE2FA1">
              <w:rPr>
                <w:rFonts w:ascii="Times New Roman" w:hAnsi="Times New Roman" w:cs="Times New Roman"/>
                <w:sz w:val="28"/>
                <w:lang w:val="es-ES"/>
              </w:rPr>
              <w:t>ión correspondiente a los precios promedio del año gravable inmediatamente anterior.</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r w:rsidRPr="00EE2FA1">
              <w:rPr>
                <w:rFonts w:ascii="Times New Roman" w:hAnsi="Times New Roman" w:cs="Times New Roman"/>
                <w:sz w:val="28"/>
                <w:lang w:val="es-ES"/>
              </w:rPr>
              <w:t>Respecto del segundo, expres</w:t>
            </w:r>
            <w:r w:rsidRPr="00EE2FA1">
              <w:rPr>
                <w:rFonts w:ascii="Times New Roman" w:hAnsi="Times New Roman" w:cs="Times New Roman"/>
                <w:sz w:val="28"/>
                <w:lang w:val="es-ES"/>
              </w:rPr>
              <w:t>ó</w:t>
            </w:r>
            <w:r w:rsidRPr="00EE2FA1">
              <w:rPr>
                <w:rFonts w:ascii="Times New Roman" w:hAnsi="Times New Roman" w:cs="Times New Roman"/>
                <w:sz w:val="28"/>
                <w:lang w:val="es-ES"/>
              </w:rPr>
              <w:t xml:space="preserve"> que </w:t>
            </w:r>
            <w:r w:rsidRPr="00EE2FA1">
              <w:rPr>
                <w:rFonts w:ascii="Times New Roman" w:hAnsi="Times New Roman" w:cs="Times New Roman"/>
                <w:sz w:val="28"/>
                <w:lang w:val="es-ES"/>
              </w:rPr>
              <w:t>l</w:t>
            </w:r>
            <w:r w:rsidRPr="00EE2FA1">
              <w:rPr>
                <w:rFonts w:ascii="Times New Roman" w:hAnsi="Times New Roman" w:cs="Times New Roman"/>
                <w:sz w:val="28"/>
                <w:lang w:val="es-ES"/>
              </w:rPr>
              <w:t>a aplicación de los puntos adicionales corresponde a los contribuyentes, quienes deberán dar cumplimiento a la metodología que señala e</w:t>
            </w:r>
            <w:r w:rsidRPr="00EE2FA1">
              <w:rPr>
                <w:rFonts w:ascii="Times New Roman" w:hAnsi="Times New Roman" w:cs="Times New Roman"/>
                <w:sz w:val="28"/>
                <w:lang w:val="es-ES"/>
              </w:rPr>
              <w:t>l numeral 2</w:t>
            </w:r>
            <w:r w:rsidRPr="00EE2FA1">
              <w:rPr>
                <w:rFonts w:ascii="Times New Roman" w:hAnsi="Times New Roman" w:cs="Times New Roman"/>
                <w:sz w:val="28"/>
                <w:lang w:val="es-ES"/>
              </w:rPr>
              <w:t>.</w:t>
            </w:r>
            <w:r w:rsidRPr="00EE2FA1">
              <w:rPr>
                <w:rFonts w:ascii="Times New Roman" w:hAnsi="Times New Roman" w:cs="Times New Roman"/>
                <w:sz w:val="28"/>
                <w:lang w:val="es-ES"/>
              </w:rPr>
              <w:t>° del parágrafo 3</w:t>
            </w:r>
            <w:r w:rsidRPr="00EE2FA1">
              <w:rPr>
                <w:rFonts w:ascii="Times New Roman" w:hAnsi="Times New Roman" w:cs="Times New Roman"/>
                <w:sz w:val="28"/>
                <w:lang w:val="es-ES"/>
              </w:rPr>
              <w:t>.</w:t>
            </w:r>
            <w:r w:rsidRPr="00EE2FA1">
              <w:rPr>
                <w:rFonts w:ascii="Times New Roman" w:hAnsi="Times New Roman" w:cs="Times New Roman"/>
                <w:sz w:val="28"/>
                <w:lang w:val="es-ES"/>
              </w:rPr>
              <w:t>° del artículo 240 del Estatuto Tributario y la resolución que expida la Agencia Nacional de Hidrocarburos para la actividad económica de extracción de petróleo crudo CIIU-0610</w:t>
            </w:r>
            <w:r w:rsidRPr="00EE2FA1">
              <w:rPr>
                <w:rFonts w:ascii="Times New Roman" w:hAnsi="Times New Roman" w:cs="Times New Roman"/>
                <w:sz w:val="28"/>
                <w:lang w:val="es-ES"/>
              </w:rPr>
              <w:t>.</w:t>
            </w:r>
          </w:p>
          <w:p w:rsidR="00836434"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
              </w:rPr>
            </w:pPr>
            <w:r w:rsidRPr="00EE2FA1">
              <w:rPr>
                <w:rFonts w:ascii="Times New Roman" w:hAnsi="Times New Roman" w:cs="Times New Roman"/>
                <w:sz w:val="28"/>
                <w:lang w:val="es-ES_tradnl"/>
              </w:rPr>
              <w:t>En relación con el tercero, argumentó que la mo</w:t>
            </w:r>
            <w:r w:rsidRPr="00EE2FA1">
              <w:rPr>
                <w:rFonts w:ascii="Times New Roman" w:hAnsi="Times New Roman" w:cs="Times New Roman"/>
                <w:sz w:val="28"/>
                <w:lang w:val="es-ES_tradnl"/>
              </w:rPr>
              <w:t>dificación realizada al artículo 10 acusad</w:t>
            </w:r>
            <w:r w:rsidRPr="00EE2FA1">
              <w:rPr>
                <w:rFonts w:ascii="Times New Roman" w:hAnsi="Times New Roman" w:cs="Times New Roman"/>
                <w:sz w:val="28"/>
                <w:lang w:val="es-ES_tradnl"/>
              </w:rPr>
              <w:t>o</w:t>
            </w:r>
            <w:r w:rsidRPr="00EE2FA1">
              <w:rPr>
                <w:rFonts w:ascii="Times New Roman" w:hAnsi="Times New Roman" w:cs="Times New Roman"/>
                <w:sz w:val="28"/>
                <w:lang w:val="es-ES_tradnl"/>
              </w:rPr>
              <w:t xml:space="preserve"> produce efectos desde el 1° de enero de 2023, en concreto, a partir del año gravable 2023, por lo que dicho impuesto será declarado y pagado en el año 2024. </w:t>
            </w:r>
            <w:r w:rsidRPr="00EE2FA1">
              <w:rPr>
                <w:rFonts w:ascii="Times New Roman" w:hAnsi="Times New Roman" w:cs="Times New Roman"/>
                <w:sz w:val="28"/>
                <w:lang w:val="es-ES"/>
              </w:rPr>
              <w:t>Es importante tener en cuenta que las tarifas adicional</w:t>
            </w:r>
            <w:r w:rsidRPr="00EE2FA1">
              <w:rPr>
                <w:rFonts w:ascii="Times New Roman" w:hAnsi="Times New Roman" w:cs="Times New Roman"/>
                <w:sz w:val="28"/>
                <w:lang w:val="es-ES"/>
              </w:rPr>
              <w:t>es que prevé el nuevo parágrafo van desde el 0</w:t>
            </w:r>
            <w:r w:rsidRPr="00EE2FA1">
              <w:rPr>
                <w:rFonts w:ascii="Times New Roman" w:hAnsi="Times New Roman" w:cs="Times New Roman"/>
                <w:sz w:val="28"/>
                <w:lang w:val="es-ES"/>
              </w:rPr>
              <w:t xml:space="preserve"> </w:t>
            </w:r>
            <w:r w:rsidRPr="00EE2FA1">
              <w:rPr>
                <w:rFonts w:ascii="Times New Roman" w:hAnsi="Times New Roman" w:cs="Times New Roman"/>
                <w:sz w:val="28"/>
                <w:lang w:val="es-ES"/>
              </w:rPr>
              <w:t>% hasta el 15</w:t>
            </w:r>
            <w:r w:rsidRPr="00EE2FA1">
              <w:rPr>
                <w:rFonts w:ascii="Times New Roman" w:hAnsi="Times New Roman" w:cs="Times New Roman"/>
                <w:sz w:val="28"/>
                <w:lang w:val="es-ES"/>
              </w:rPr>
              <w:t xml:space="preserve"> </w:t>
            </w:r>
            <w:r w:rsidRPr="00EE2FA1">
              <w:rPr>
                <w:rFonts w:ascii="Times New Roman" w:hAnsi="Times New Roman" w:cs="Times New Roman"/>
                <w:sz w:val="28"/>
                <w:lang w:val="es-ES"/>
              </w:rPr>
              <w:t xml:space="preserve">% para el caso de extracción </w:t>
            </w:r>
            <w:r w:rsidRPr="00EE2FA1">
              <w:rPr>
                <w:rFonts w:ascii="Times New Roman" w:hAnsi="Times New Roman" w:cs="Times New Roman"/>
                <w:sz w:val="28"/>
                <w:lang w:val="es-ES"/>
              </w:rPr>
              <w:t xml:space="preserve">de </w:t>
            </w:r>
            <w:r w:rsidRPr="00EE2FA1">
              <w:rPr>
                <w:rFonts w:ascii="Times New Roman" w:hAnsi="Times New Roman" w:cs="Times New Roman"/>
                <w:sz w:val="28"/>
                <w:lang w:val="es-ES"/>
              </w:rPr>
              <w:t xml:space="preserve">petróleo </w:t>
            </w:r>
            <w:r w:rsidRPr="00EE2FA1">
              <w:rPr>
                <w:rFonts w:ascii="Times New Roman" w:hAnsi="Times New Roman" w:cs="Times New Roman"/>
                <w:sz w:val="28"/>
                <w:lang w:val="es-ES"/>
              </w:rPr>
              <w:t>crudo</w:t>
            </w:r>
            <w:r w:rsidRPr="00EE2FA1">
              <w:rPr>
                <w:rFonts w:ascii="Times New Roman" w:hAnsi="Times New Roman" w:cs="Times New Roman"/>
                <w:sz w:val="28"/>
                <w:lang w:val="es-ES"/>
              </w:rPr>
              <w:t xml:space="preserve"> CIIU-06010 y hasta el 10% para el caso de la extracción de hulla (carbón de piedra) CIIU – 0510 y extracción de carbón lignito CIIU – 0520. En conse</w:t>
            </w:r>
            <w:r w:rsidRPr="00EE2FA1">
              <w:rPr>
                <w:rFonts w:ascii="Times New Roman" w:hAnsi="Times New Roman" w:cs="Times New Roman"/>
                <w:sz w:val="28"/>
                <w:lang w:val="es-ES"/>
              </w:rPr>
              <w:t>cuencia, la tarifa que se adicionará al impuesto dependerá del precio promedio internacional del producto de la actividad gravada.</w:t>
            </w:r>
          </w:p>
          <w:p w:rsidR="00AE692A" w:rsidRPr="00EE2FA1" w:rsidRDefault="00EE2FA1" w:rsidP="00C833B9">
            <w:pPr>
              <w:pStyle w:val="Prrafodelista"/>
              <w:tabs>
                <w:tab w:val="left" w:pos="426"/>
                <w:tab w:val="left" w:pos="567"/>
                <w:tab w:val="left" w:pos="8081"/>
              </w:tabs>
              <w:spacing w:line="0" w:lineRule="atLeast"/>
              <w:ind w:left="0"/>
              <w:jc w:val="both"/>
              <w:rPr>
                <w:rFonts w:ascii="Times New Roman" w:hAnsi="Times New Roman" w:cs="Times New Roman"/>
                <w:sz w:val="28"/>
                <w:lang w:val="es-ES_tradnl"/>
              </w:rPr>
            </w:pPr>
          </w:p>
          <w:p w:rsidR="00AE692A" w:rsidRPr="00EE2FA1" w:rsidRDefault="00EE2FA1" w:rsidP="00C833B9">
            <w:pPr>
              <w:tabs>
                <w:tab w:val="left" w:pos="426"/>
                <w:tab w:val="left" w:pos="8081"/>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_tradnl"/>
              </w:rPr>
              <w:t xml:space="preserve">Frente a la última pregunta, indicó que los referidos puntos adicionales establecidos en la disposición acusada </w:t>
            </w:r>
            <w:r w:rsidRPr="00EE2FA1">
              <w:rPr>
                <w:rFonts w:ascii="Times New Roman" w:hAnsi="Times New Roman" w:cs="Times New Roman"/>
                <w:sz w:val="28"/>
              </w:rPr>
              <w:t>son aplicabl</w:t>
            </w:r>
            <w:r w:rsidRPr="00EE2FA1">
              <w:rPr>
                <w:rFonts w:ascii="Times New Roman" w:hAnsi="Times New Roman" w:cs="Times New Roman"/>
                <w:sz w:val="28"/>
              </w:rPr>
              <w:t>es a las sociedades nacionales y sus asimiladas, establecimientos permanentes de entidades del exterior y personas jurídicas extranjeras</w:t>
            </w:r>
            <w:r w:rsidRPr="00EE2FA1">
              <w:rPr>
                <w:rFonts w:ascii="Times New Roman" w:hAnsi="Times New Roman" w:cs="Times New Roman"/>
                <w:sz w:val="28"/>
              </w:rPr>
              <w:t>,</w:t>
            </w:r>
            <w:r w:rsidRPr="00EE2FA1">
              <w:rPr>
                <w:rFonts w:ascii="Times New Roman" w:hAnsi="Times New Roman" w:cs="Times New Roman"/>
                <w:sz w:val="28"/>
              </w:rPr>
              <w:t xml:space="preserve"> con o sin residencia en el país</w:t>
            </w:r>
            <w:r w:rsidRPr="00EE2FA1">
              <w:rPr>
                <w:rFonts w:ascii="Times New Roman" w:hAnsi="Times New Roman" w:cs="Times New Roman"/>
                <w:sz w:val="28"/>
              </w:rPr>
              <w:t>,</w:t>
            </w:r>
            <w:r w:rsidRPr="00EE2FA1">
              <w:rPr>
                <w:rFonts w:ascii="Times New Roman" w:hAnsi="Times New Roman" w:cs="Times New Roman"/>
                <w:sz w:val="28"/>
              </w:rPr>
              <w:t xml:space="preserve"> que cumplan con lo siguiente: (i) </w:t>
            </w:r>
            <w:r w:rsidRPr="00EE2FA1">
              <w:rPr>
                <w:rFonts w:ascii="Times New Roman" w:hAnsi="Times New Roman" w:cs="Times New Roman"/>
                <w:sz w:val="28"/>
                <w:lang w:val="es-ES"/>
              </w:rPr>
              <w:t>desarrollen alguna o algunas de las siguientes acti</w:t>
            </w:r>
            <w:r w:rsidRPr="00EE2FA1">
              <w:rPr>
                <w:rFonts w:ascii="Times New Roman" w:hAnsi="Times New Roman" w:cs="Times New Roman"/>
                <w:sz w:val="28"/>
                <w:lang w:val="es-ES"/>
              </w:rPr>
              <w:t>vidades económicas: extracción de hulla (carbón de piedra) CIIU-0510 y extracción de petróleo crudo CIIU – 0610</w:t>
            </w:r>
            <w:r w:rsidRPr="00EE2FA1">
              <w:rPr>
                <w:rFonts w:ascii="Times New Roman" w:hAnsi="Times New Roman" w:cs="Times New Roman"/>
                <w:sz w:val="28"/>
                <w:lang w:val="es-ES"/>
              </w:rPr>
              <w:t>,</w:t>
            </w:r>
            <w:r w:rsidRPr="00EE2FA1">
              <w:rPr>
                <w:rFonts w:ascii="Times New Roman" w:hAnsi="Times New Roman" w:cs="Times New Roman"/>
                <w:sz w:val="28"/>
                <w:lang w:val="es-ES"/>
              </w:rPr>
              <w:t xml:space="preserve"> y (ii)  obtengan una renta gravable igual o superior a cincuenta mil (50.000) UVT en el año gravable correspondiente. </w:t>
            </w:r>
          </w:p>
        </w:tc>
      </w:tr>
      <w:tr w:rsidR="008F41DE"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rPr>
            </w:pPr>
            <w:r w:rsidRPr="00EE2FA1">
              <w:rPr>
                <w:rFonts w:ascii="Times New Roman" w:hAnsi="Times New Roman" w:cs="Times New Roman"/>
                <w:sz w:val="28"/>
              </w:rPr>
              <w:t>Secretaría General de l</w:t>
            </w:r>
            <w:r w:rsidRPr="00EE2FA1">
              <w:rPr>
                <w:rFonts w:ascii="Times New Roman" w:hAnsi="Times New Roman" w:cs="Times New Roman"/>
                <w:sz w:val="28"/>
              </w:rPr>
              <w:t>a Cámara de Representantes</w:t>
            </w:r>
            <w:r w:rsidRPr="00EE2FA1">
              <w:rPr>
                <w:rStyle w:val="Refdenotaalpie"/>
                <w:rFonts w:ascii="Times New Roman" w:hAnsi="Times New Roman" w:cs="Times New Roman"/>
                <w:sz w:val="28"/>
              </w:rPr>
              <w:footnoteReference w:id="16"/>
            </w:r>
            <w:r w:rsidRPr="00EE2FA1">
              <w:rPr>
                <w:rFonts w:ascii="Times New Roman" w:hAnsi="Times New Roman" w:cs="Times New Roman"/>
                <w:sz w:val="28"/>
              </w:rPr>
              <w:t>.</w:t>
            </w:r>
          </w:p>
        </w:tc>
        <w:tc>
          <w:tcPr>
            <w:tcW w:w="7531"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 xml:space="preserve">Aportó los antecedentes del trámite </w:t>
            </w:r>
            <w:r w:rsidRPr="00EE2FA1">
              <w:rPr>
                <w:rFonts w:ascii="Times New Roman" w:eastAsia="Calibri" w:hAnsi="Times New Roman" w:cs="Times New Roman"/>
                <w:sz w:val="28"/>
                <w:lang w:eastAsia="es-ES"/>
              </w:rPr>
              <w:t xml:space="preserve">dado al </w:t>
            </w:r>
            <w:r w:rsidRPr="00EE2FA1">
              <w:rPr>
                <w:rFonts w:ascii="Times New Roman" w:eastAsia="Calibri" w:hAnsi="Times New Roman" w:cs="Times New Roman"/>
                <w:sz w:val="28"/>
                <w:lang w:eastAsia="es-ES"/>
              </w:rPr>
              <w:t>proyecto de ley número 118 de 2022 Cámara,</w:t>
            </w:r>
            <w:r w:rsidRPr="00EE2FA1">
              <w:rPr>
                <w:rFonts w:ascii="Times New Roman" w:eastAsia="Calibri" w:hAnsi="Times New Roman" w:cs="Times New Roman"/>
                <w:sz w:val="28"/>
                <w:lang w:eastAsia="es-ES"/>
              </w:rPr>
              <w:t xml:space="preserve"> </w:t>
            </w:r>
            <w:r w:rsidRPr="00EE2FA1">
              <w:rPr>
                <w:rFonts w:ascii="Times New Roman" w:eastAsia="Calibri" w:hAnsi="Times New Roman" w:cs="Times New Roman"/>
                <w:sz w:val="28"/>
                <w:lang w:eastAsia="es-ES"/>
              </w:rPr>
              <w:t>131 de 2022 Senado.</w:t>
            </w:r>
          </w:p>
        </w:tc>
      </w:tr>
      <w:tr w:rsidR="00D22E9F" w:rsidRPr="00EE2FA1" w:rsidTr="00273AAF">
        <w:tc>
          <w:tcPr>
            <w:tcW w:w="1696" w:type="dxa"/>
          </w:tcPr>
          <w:p w:rsidR="00AE692A" w:rsidRPr="00EE2FA1" w:rsidRDefault="00EE2FA1" w:rsidP="00C833B9">
            <w:pPr>
              <w:pStyle w:val="Prrafodelista"/>
              <w:tabs>
                <w:tab w:val="left" w:pos="284"/>
                <w:tab w:val="left" w:pos="426"/>
              </w:tabs>
              <w:spacing w:line="0" w:lineRule="atLeast"/>
              <w:ind w:left="0"/>
              <w:jc w:val="both"/>
              <w:rPr>
                <w:rFonts w:ascii="Times New Roman" w:hAnsi="Times New Roman" w:cs="Times New Roman"/>
                <w:sz w:val="28"/>
              </w:rPr>
            </w:pPr>
            <w:r w:rsidRPr="00EE2FA1">
              <w:rPr>
                <w:rFonts w:ascii="Times New Roman" w:hAnsi="Times New Roman" w:cs="Times New Roman"/>
                <w:sz w:val="28"/>
              </w:rPr>
              <w:t>Miembros del Congreso de la República</w:t>
            </w:r>
            <w:r w:rsidRPr="00EE2FA1">
              <w:rPr>
                <w:rStyle w:val="Refdenotaalpie"/>
                <w:rFonts w:ascii="Times New Roman" w:hAnsi="Times New Roman" w:cs="Times New Roman"/>
                <w:sz w:val="28"/>
              </w:rPr>
              <w:footnoteReference w:id="17"/>
            </w:r>
          </w:p>
        </w:tc>
        <w:tc>
          <w:tcPr>
            <w:tcW w:w="7531" w:type="dxa"/>
          </w:tcPr>
          <w:p w:rsidR="00AE692A"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 xml:space="preserve">Los </w:t>
            </w:r>
            <w:r w:rsidRPr="00EE2FA1">
              <w:rPr>
                <w:rFonts w:ascii="Times New Roman" w:eastAsia="Calibri" w:hAnsi="Times New Roman" w:cs="Times New Roman"/>
                <w:sz w:val="28"/>
                <w:lang w:eastAsia="es-ES"/>
              </w:rPr>
              <w:t>c</w:t>
            </w:r>
            <w:r w:rsidRPr="00EE2FA1">
              <w:rPr>
                <w:rFonts w:ascii="Times New Roman" w:eastAsia="Calibri" w:hAnsi="Times New Roman" w:cs="Times New Roman"/>
                <w:sz w:val="28"/>
                <w:lang w:eastAsia="es-ES"/>
              </w:rPr>
              <w:t>ongresistas</w:t>
            </w:r>
            <w:r w:rsidRPr="00EE2FA1">
              <w:rPr>
                <w:rStyle w:val="Refdenotaalpie"/>
                <w:rFonts w:ascii="Times New Roman" w:eastAsia="Calibri" w:hAnsi="Times New Roman" w:cs="Times New Roman"/>
                <w:sz w:val="28"/>
                <w:lang w:eastAsia="es-ES"/>
              </w:rPr>
              <w:footnoteReference w:id="18"/>
            </w:r>
            <w:r w:rsidRPr="00EE2FA1">
              <w:rPr>
                <w:rFonts w:ascii="Times New Roman" w:eastAsia="Calibri" w:hAnsi="Times New Roman" w:cs="Times New Roman"/>
                <w:sz w:val="28"/>
                <w:lang w:eastAsia="es-ES"/>
              </w:rPr>
              <w:t xml:space="preserve"> dieron respuesta en relación con el trámite de las proposiciones presentadas dentro del procedimiento legislativo que dio origen a la Ley 2277 de 2022.</w:t>
            </w:r>
          </w:p>
        </w:tc>
      </w:tr>
    </w:tbl>
    <w:p w:rsidR="005C4030"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877F42"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 xml:space="preserve">V. </w:t>
      </w:r>
      <w:r w:rsidRPr="00EE2FA1">
        <w:rPr>
          <w:rFonts w:ascii="Times New Roman" w:eastAsia="Calibri" w:hAnsi="Times New Roman" w:cs="Times New Roman"/>
          <w:b/>
          <w:sz w:val="28"/>
          <w:szCs w:val="28"/>
          <w:lang w:eastAsia="es-ES"/>
        </w:rPr>
        <w:t>Intervinientes e invitados</w:t>
      </w:r>
    </w:p>
    <w:p w:rsidR="00877F42"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AE3DC2"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 continuación, se </w:t>
      </w:r>
      <w:r w:rsidRPr="00EE2FA1">
        <w:rPr>
          <w:rFonts w:ascii="Times New Roman" w:eastAsia="Calibri" w:hAnsi="Times New Roman" w:cs="Times New Roman"/>
          <w:sz w:val="28"/>
          <w:szCs w:val="28"/>
          <w:lang w:eastAsia="es-ES"/>
        </w:rPr>
        <w:t>resumen</w:t>
      </w:r>
      <w:r w:rsidRPr="00EE2FA1">
        <w:rPr>
          <w:rFonts w:ascii="Times New Roman" w:eastAsia="Calibri" w:hAnsi="Times New Roman" w:cs="Times New Roman"/>
          <w:sz w:val="28"/>
          <w:szCs w:val="28"/>
          <w:lang w:eastAsia="es-ES"/>
        </w:rPr>
        <w:t xml:space="preserve"> los argumentos expuestos por los </w:t>
      </w:r>
      <w:r w:rsidRPr="00EE2FA1">
        <w:rPr>
          <w:rFonts w:ascii="Times New Roman" w:eastAsia="Calibri" w:hAnsi="Times New Roman" w:cs="Times New Roman"/>
          <w:sz w:val="28"/>
          <w:szCs w:val="28"/>
          <w:lang w:eastAsia="es-ES"/>
        </w:rPr>
        <w:t xml:space="preserve">distintos intervinientes e invitados a rendir concepto.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agruparán</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primero los referidos a los</w:t>
      </w:r>
      <w:r w:rsidRPr="00EE2FA1">
        <w:rPr>
          <w:rFonts w:ascii="Times New Roman" w:eastAsia="Calibri" w:hAnsi="Times New Roman" w:cs="Times New Roman"/>
          <w:sz w:val="28"/>
          <w:szCs w:val="28"/>
          <w:lang w:eastAsia="es-ES"/>
        </w:rPr>
        <w:t xml:space="preserve"> vicios de procedimiento </w:t>
      </w:r>
      <w:r w:rsidRPr="00EE2FA1">
        <w:rPr>
          <w:rFonts w:ascii="Times New Roman" w:eastAsia="Calibri" w:hAnsi="Times New Roman" w:cs="Times New Roman"/>
          <w:sz w:val="28"/>
          <w:szCs w:val="28"/>
          <w:lang w:eastAsia="es-ES"/>
        </w:rPr>
        <w:t>y</w:t>
      </w:r>
      <w:r w:rsidRPr="00EE2FA1">
        <w:rPr>
          <w:rFonts w:ascii="Times New Roman" w:eastAsia="Calibri" w:hAnsi="Times New Roman" w:cs="Times New Roman"/>
          <w:sz w:val="28"/>
          <w:szCs w:val="28"/>
          <w:lang w:eastAsia="es-ES"/>
        </w:rPr>
        <w:t xml:space="preserve">, posteriormente, </w:t>
      </w:r>
      <w:r w:rsidRPr="00EE2FA1">
        <w:rPr>
          <w:rFonts w:ascii="Times New Roman" w:eastAsia="Calibri" w:hAnsi="Times New Roman" w:cs="Times New Roman"/>
          <w:sz w:val="28"/>
          <w:szCs w:val="28"/>
          <w:lang w:eastAsia="es-ES"/>
        </w:rPr>
        <w:t xml:space="preserve">los </w:t>
      </w:r>
      <w:r w:rsidRPr="00EE2FA1">
        <w:rPr>
          <w:rFonts w:ascii="Times New Roman" w:eastAsia="Calibri" w:hAnsi="Times New Roman" w:cs="Times New Roman"/>
          <w:sz w:val="28"/>
          <w:szCs w:val="28"/>
          <w:lang w:eastAsia="es-ES"/>
        </w:rPr>
        <w:t xml:space="preserve">que aluden a </w:t>
      </w:r>
      <w:r w:rsidRPr="00EE2FA1">
        <w:rPr>
          <w:rFonts w:ascii="Times New Roman" w:eastAsia="Calibri" w:hAnsi="Times New Roman" w:cs="Times New Roman"/>
          <w:sz w:val="28"/>
          <w:szCs w:val="28"/>
          <w:lang w:eastAsia="es-ES"/>
        </w:rPr>
        <w:t xml:space="preserve">cargos de carácter </w:t>
      </w:r>
      <w:r w:rsidRPr="00EE2FA1">
        <w:rPr>
          <w:rFonts w:ascii="Times New Roman" w:eastAsia="Calibri" w:hAnsi="Times New Roman" w:cs="Times New Roman"/>
          <w:sz w:val="28"/>
          <w:szCs w:val="28"/>
          <w:lang w:eastAsia="es-ES"/>
        </w:rPr>
        <w:t>sustancial</w:t>
      </w:r>
      <w:r w:rsidRPr="00EE2FA1">
        <w:rPr>
          <w:rFonts w:ascii="Times New Roman" w:eastAsia="Calibri" w:hAnsi="Times New Roman" w:cs="Times New Roman"/>
          <w:sz w:val="28"/>
          <w:szCs w:val="28"/>
          <w:lang w:eastAsia="es-ES"/>
        </w:rPr>
        <w:t>.</w:t>
      </w:r>
    </w:p>
    <w:p w:rsidR="00543E51" w:rsidRPr="00EE2FA1" w:rsidRDefault="00EE2FA1" w:rsidP="00C833B9">
      <w:pPr>
        <w:tabs>
          <w:tab w:val="left" w:pos="426"/>
        </w:tabs>
        <w:spacing w:line="0" w:lineRule="atLeast"/>
        <w:jc w:val="both"/>
        <w:rPr>
          <w:rFonts w:ascii="Times New Roman" w:eastAsia="Calibri" w:hAnsi="Times New Roman" w:cs="Times New Roman"/>
          <w:sz w:val="28"/>
          <w:szCs w:val="28"/>
          <w:lang w:eastAsia="es-ES"/>
        </w:rPr>
      </w:pPr>
    </w:p>
    <w:p w:rsidR="00543E51" w:rsidRPr="00EE2FA1" w:rsidRDefault="00EE2FA1" w:rsidP="00C833B9">
      <w:pPr>
        <w:tabs>
          <w:tab w:val="left" w:pos="426"/>
        </w:tabs>
        <w:spacing w:line="0" w:lineRule="atLeast"/>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Vicios de procedimiento</w:t>
      </w:r>
    </w:p>
    <w:p w:rsidR="00F65A14"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tbl>
      <w:tblPr>
        <w:tblStyle w:val="Tablaconcuadrcula"/>
        <w:tblW w:w="0" w:type="auto"/>
        <w:tblLook w:val="04A0" w:firstRow="1" w:lastRow="0" w:firstColumn="1" w:lastColumn="0" w:noHBand="0" w:noVBand="1"/>
      </w:tblPr>
      <w:tblGrid>
        <w:gridCol w:w="2124"/>
        <w:gridCol w:w="7103"/>
      </w:tblGrid>
      <w:tr w:rsidR="008F41DE" w:rsidRPr="00EE2FA1" w:rsidTr="00273AAF">
        <w:tc>
          <w:tcPr>
            <w:tcW w:w="1696" w:type="dxa"/>
          </w:tcPr>
          <w:p w:rsidR="00753564" w:rsidRPr="00EE2FA1" w:rsidRDefault="00EE2FA1" w:rsidP="00753564">
            <w:pPr>
              <w:pStyle w:val="Prrafodelista"/>
              <w:tabs>
                <w:tab w:val="left" w:pos="426"/>
              </w:tabs>
              <w:spacing w:line="0" w:lineRule="atLeast"/>
              <w:ind w:left="0"/>
              <w:jc w:val="center"/>
              <w:rPr>
                <w:rFonts w:ascii="Times New Roman" w:eastAsia="Calibri" w:hAnsi="Times New Roman" w:cs="Times New Roman"/>
                <w:b/>
                <w:sz w:val="28"/>
                <w:lang w:eastAsia="es-ES"/>
              </w:rPr>
            </w:pPr>
            <w:r w:rsidRPr="00EE2FA1">
              <w:rPr>
                <w:rFonts w:ascii="Times New Roman" w:eastAsia="Calibri" w:hAnsi="Times New Roman" w:cs="Times New Roman"/>
                <w:b/>
                <w:sz w:val="28"/>
                <w:lang w:eastAsia="es-ES"/>
              </w:rPr>
              <w:t>Entidad/autoridad</w:t>
            </w:r>
          </w:p>
        </w:tc>
        <w:tc>
          <w:tcPr>
            <w:tcW w:w="7246" w:type="dxa"/>
          </w:tcPr>
          <w:p w:rsidR="00753564" w:rsidRPr="00EE2FA1" w:rsidRDefault="00EE2FA1" w:rsidP="00753564">
            <w:pPr>
              <w:pStyle w:val="Prrafodelista"/>
              <w:tabs>
                <w:tab w:val="left" w:pos="426"/>
              </w:tabs>
              <w:spacing w:line="0" w:lineRule="atLeast"/>
              <w:ind w:left="0"/>
              <w:jc w:val="center"/>
              <w:rPr>
                <w:rFonts w:ascii="Times New Roman" w:eastAsia="Calibri" w:hAnsi="Times New Roman" w:cs="Times New Roman"/>
                <w:b/>
                <w:sz w:val="28"/>
                <w:lang w:eastAsia="es-ES"/>
              </w:rPr>
            </w:pPr>
            <w:r w:rsidRPr="00EE2FA1">
              <w:rPr>
                <w:rFonts w:ascii="Times New Roman" w:eastAsia="Calibri" w:hAnsi="Times New Roman" w:cs="Times New Roman"/>
                <w:b/>
                <w:sz w:val="28"/>
                <w:lang w:val="es-ES" w:eastAsia="es-ES"/>
              </w:rPr>
              <w:t>Concepto</w:t>
            </w:r>
          </w:p>
        </w:tc>
      </w:tr>
      <w:tr w:rsidR="008F41DE" w:rsidRPr="00EE2FA1" w:rsidTr="00273AAF">
        <w:tc>
          <w:tcPr>
            <w:tcW w:w="169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r w:rsidRPr="00EE2FA1">
              <w:rPr>
                <w:rFonts w:ascii="Times New Roman" w:eastAsia="Calibri" w:hAnsi="Times New Roman" w:cs="Times New Roman"/>
                <w:bCs/>
                <w:sz w:val="28"/>
                <w:lang w:eastAsia="es-ES"/>
              </w:rPr>
              <w:t xml:space="preserve">Facultad de </w:t>
            </w:r>
            <w:r w:rsidRPr="00EE2FA1">
              <w:rPr>
                <w:rFonts w:ascii="Times New Roman" w:eastAsia="Calibri" w:hAnsi="Times New Roman" w:cs="Times New Roman"/>
                <w:bCs/>
                <w:sz w:val="28"/>
                <w:lang w:eastAsia="es-ES"/>
              </w:rPr>
              <w:t>Derecho - Universidad Santo Tomás</w:t>
            </w:r>
            <w:r w:rsidRPr="00EE2FA1">
              <w:rPr>
                <w:rStyle w:val="Refdenotaalpie"/>
                <w:rFonts w:ascii="Times New Roman" w:eastAsia="Calibri" w:hAnsi="Times New Roman" w:cs="Times New Roman"/>
                <w:bCs/>
                <w:sz w:val="28"/>
                <w:lang w:eastAsia="es-ES"/>
              </w:rPr>
              <w:footnoteReference w:id="19"/>
            </w:r>
          </w:p>
        </w:tc>
        <w:tc>
          <w:tcPr>
            <w:tcW w:w="724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Inexequible</w:t>
            </w:r>
            <w:r w:rsidRPr="00EE2FA1">
              <w:rPr>
                <w:rFonts w:ascii="Times New Roman" w:eastAsia="Calibri" w:hAnsi="Times New Roman" w:cs="Times New Roman"/>
                <w:bCs/>
                <w:sz w:val="28"/>
                <w:lang w:eastAsia="es-ES"/>
              </w:rPr>
              <w:t xml:space="preserve">. Manifestó que la norma acusada debe ser declarada inconstitucional en razón a que esta vulnera disposiciones legales y constitucionales. En concreto las disposiciones demandadas no cumplieron a cabalidad con </w:t>
            </w:r>
            <w:r w:rsidRPr="00EE2FA1">
              <w:rPr>
                <w:rFonts w:ascii="Times New Roman" w:eastAsia="Calibri" w:hAnsi="Times New Roman" w:cs="Times New Roman"/>
                <w:bCs/>
                <w:sz w:val="28"/>
                <w:lang w:eastAsia="es-ES"/>
              </w:rPr>
              <w:t>el trámite legislativo, toda vez que, al existir una ponencia negativa, ambas comisiones tanto en Senado como en Cámara debían debatir y decidir la posible negación del proyecto de ley. Pese a ello, solo fue puesta la ponencia a votación en la Comisión Ter</w:t>
            </w:r>
            <w:r w:rsidRPr="00EE2FA1">
              <w:rPr>
                <w:rFonts w:ascii="Times New Roman" w:eastAsia="Calibri" w:hAnsi="Times New Roman" w:cs="Times New Roman"/>
                <w:bCs/>
                <w:sz w:val="28"/>
                <w:lang w:eastAsia="es-ES"/>
              </w:rPr>
              <w:t>cera de la Cámara de Representantes, omitiéndose la obligación del debate en la respectiva comisión del Senado, por lo que existió un vicio en el procedimiento.</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Explicó que los artículos 10 y 19 de la Ley 2277 de 2022 fueron aprobados sin tener en cuenta </w:t>
            </w:r>
            <w:r w:rsidRPr="00EE2FA1">
              <w:rPr>
                <w:rFonts w:ascii="Times New Roman" w:eastAsia="Calibri" w:hAnsi="Times New Roman" w:cs="Times New Roman"/>
                <w:bCs/>
                <w:sz w:val="28"/>
                <w:lang w:eastAsia="es-ES"/>
              </w:rPr>
              <w:t>las proposiciones modificatorias y tampoco pudieron discutirse y votarse los referidos artículos, por lo que se incurrió en un vicio en el trámite legislativo.</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r w:rsidRPr="00EE2FA1">
              <w:rPr>
                <w:rFonts w:ascii="Times New Roman" w:eastAsia="Calibri" w:hAnsi="Times New Roman" w:cs="Times New Roman"/>
                <w:bCs/>
                <w:sz w:val="28"/>
                <w:lang w:eastAsia="es-ES"/>
              </w:rPr>
              <w:t>Adicional a ello, en el presente trámite no podía surtirse la votación del articulado en bloque</w:t>
            </w:r>
            <w:r w:rsidRPr="00EE2FA1">
              <w:rPr>
                <w:rFonts w:ascii="Times New Roman" w:eastAsia="Calibri" w:hAnsi="Times New Roman" w:cs="Times New Roman"/>
                <w:bCs/>
                <w:sz w:val="28"/>
                <w:lang w:eastAsia="es-ES"/>
              </w:rPr>
              <w:t>, en razón a que: primero, se solicitó realizar la votación por partes; segundo, no se había alcanzado un consenso en la célula legislativa; y, tercero, la votación en bloque sacrificaría la finalidad sustantiva del articulado debido a la variedad de posic</w:t>
            </w:r>
            <w:r w:rsidRPr="00EE2FA1">
              <w:rPr>
                <w:rFonts w:ascii="Times New Roman" w:eastAsia="Calibri" w:hAnsi="Times New Roman" w:cs="Times New Roman"/>
                <w:bCs/>
                <w:sz w:val="28"/>
                <w:lang w:eastAsia="es-ES"/>
              </w:rPr>
              <w:t>iones e inconformidades de cada congresista respecto al texto. Por tal motivo, la votación no puede considerarse válidamente ejecutada.</w:t>
            </w:r>
          </w:p>
        </w:tc>
      </w:tr>
      <w:tr w:rsidR="008F41DE" w:rsidRPr="00EE2FA1" w:rsidTr="00273AAF">
        <w:tc>
          <w:tcPr>
            <w:tcW w:w="169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Ministerio de Hacienda y Crédito Público</w:t>
            </w:r>
            <w:r w:rsidRPr="00EE2FA1">
              <w:rPr>
                <w:rStyle w:val="Refdenotaalpie"/>
                <w:rFonts w:ascii="Times New Roman" w:eastAsia="Calibri" w:hAnsi="Times New Roman" w:cs="Times New Roman"/>
                <w:bCs/>
                <w:sz w:val="28"/>
                <w:lang w:eastAsia="es-ES"/>
              </w:rPr>
              <w:footnoteReference w:id="20"/>
            </w:r>
          </w:p>
        </w:tc>
        <w:tc>
          <w:tcPr>
            <w:tcW w:w="724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Exequible</w:t>
            </w:r>
            <w:r w:rsidRPr="00EE2FA1">
              <w:rPr>
                <w:rFonts w:ascii="Times New Roman" w:eastAsia="Calibri" w:hAnsi="Times New Roman" w:cs="Times New Roman"/>
                <w:bCs/>
                <w:sz w:val="28"/>
                <w:lang w:eastAsia="es-ES"/>
              </w:rPr>
              <w:t>. Manifestó que la ponencia negativa presentada surtió la respectiva</w:t>
            </w:r>
            <w:r w:rsidRPr="00EE2FA1">
              <w:rPr>
                <w:rFonts w:ascii="Times New Roman" w:eastAsia="Calibri" w:hAnsi="Times New Roman" w:cs="Times New Roman"/>
                <w:bCs/>
                <w:sz w:val="28"/>
                <w:lang w:eastAsia="es-ES"/>
              </w:rPr>
              <w:t xml:space="preserve"> votación en el primer debate de las comisiones conjuntas. Por lo tanto, no se puede alegar un vicio en el procedimiento, pues una vez la proposición ha sido votada y derrotada, es archivada, en consecuencia, finaliza su trámite y continúan las siguientes </w:t>
            </w:r>
            <w:r w:rsidRPr="00EE2FA1">
              <w:rPr>
                <w:rFonts w:ascii="Times New Roman" w:eastAsia="Calibri" w:hAnsi="Times New Roman" w:cs="Times New Roman"/>
                <w:bCs/>
                <w:sz w:val="28"/>
                <w:lang w:eastAsia="es-ES"/>
              </w:rPr>
              <w:t xml:space="preserve">etapas.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Expuso que una vez derrotada la ponencia negativa en el primer debate (Gaceta 1616 de 2022), la presidencia de la comisión continuó con la votación de los 96 artículos. Luego de ello, se realizó la votación en segundo debate, el 2 de noviembre de</w:t>
            </w:r>
            <w:r w:rsidRPr="00EE2FA1">
              <w:rPr>
                <w:rFonts w:ascii="Times New Roman" w:eastAsia="Calibri" w:hAnsi="Times New Roman" w:cs="Times New Roman"/>
                <w:bCs/>
                <w:sz w:val="28"/>
                <w:lang w:eastAsia="es-ES"/>
              </w:rPr>
              <w:t xml:space="preserve"> 2022. Puntualizó que inmediatamente la presidente de la Comisión Tercera advirtió la innecesaria votación de la ponencia en la Comisión Tercera del Senado, se le concedió la palabra al senador Uribe Turbay, quien no manifestó oposición a la decisión tomad</w:t>
            </w:r>
            <w:r w:rsidRPr="00EE2FA1">
              <w:rPr>
                <w:rFonts w:ascii="Times New Roman" w:eastAsia="Calibri" w:hAnsi="Times New Roman" w:cs="Times New Roman"/>
                <w:bCs/>
                <w:sz w:val="28"/>
                <w:lang w:eastAsia="es-ES"/>
              </w:rPr>
              <w:t>a, con lo cual, quedó superado el trámite de la ponencia negativa.</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En la misma línea, indicó que no le asiste razón a la demandante al exponer que se excluyeron de la votación las proposiciones de los artículos 9 y 12, comoquiera que estas se tramitaron d</w:t>
            </w:r>
            <w:r w:rsidRPr="00EE2FA1">
              <w:rPr>
                <w:rFonts w:ascii="Times New Roman" w:eastAsia="Calibri" w:hAnsi="Times New Roman" w:cs="Times New Roman"/>
                <w:bCs/>
                <w:sz w:val="28"/>
                <w:lang w:eastAsia="es-ES"/>
              </w:rPr>
              <w:t>entro del segundo debate. Por lo tanto, las referidas proposiciones cumplieron con las etapas legislativas, en cumplimiento de lo establecido en los artículos 157 y 160 de la Ley 5 de 1992.</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Explicó que la decisión de votación en bloque se realizó conforme</w:t>
            </w:r>
            <w:r w:rsidRPr="00EE2FA1">
              <w:rPr>
                <w:rFonts w:ascii="Times New Roman" w:eastAsia="Calibri" w:hAnsi="Times New Roman" w:cs="Times New Roman"/>
                <w:bCs/>
                <w:sz w:val="28"/>
                <w:lang w:eastAsia="es-ES"/>
              </w:rPr>
              <w:t xml:space="preserve"> lo establecido en el Reglamento del Congreso de la República, en tanto, la proposición de la aprobación de artículos por bloques sometida a consideración de la plenaria fue aprobada con 63 votos a favor y 20 en contra. Por los motivos antes expuestos, sol</w:t>
            </w:r>
            <w:r w:rsidRPr="00EE2FA1">
              <w:rPr>
                <w:rFonts w:ascii="Times New Roman" w:eastAsia="Calibri" w:hAnsi="Times New Roman" w:cs="Times New Roman"/>
                <w:bCs/>
                <w:sz w:val="28"/>
                <w:lang w:eastAsia="es-ES"/>
              </w:rPr>
              <w:t xml:space="preserve">icitó declarar la exequibilidad de la norma acusada en razón a que no existieron vicios de procedimiento en el trámite.    </w:t>
            </w:r>
          </w:p>
        </w:tc>
      </w:tr>
      <w:tr w:rsidR="00273AAF" w:rsidRPr="00EE2FA1" w:rsidTr="00273AAF">
        <w:tc>
          <w:tcPr>
            <w:tcW w:w="169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sz w:val="28"/>
                <w:lang w:eastAsia="es-ES"/>
              </w:rPr>
              <w:t>Asociación Colombiana de Petróleo y Gas</w:t>
            </w:r>
            <w:r w:rsidRPr="00EE2FA1">
              <w:rPr>
                <w:rStyle w:val="Refdenotaalpie"/>
                <w:rFonts w:ascii="Times New Roman" w:eastAsia="Calibri" w:hAnsi="Times New Roman" w:cs="Times New Roman"/>
                <w:sz w:val="28"/>
                <w:lang w:eastAsia="es-ES"/>
              </w:rPr>
              <w:footnoteReference w:id="21"/>
            </w:r>
          </w:p>
        </w:tc>
        <w:tc>
          <w:tcPr>
            <w:tcW w:w="7246" w:type="dxa"/>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Inexequible</w:t>
            </w:r>
            <w:r w:rsidRPr="00EE2FA1">
              <w:rPr>
                <w:rFonts w:ascii="Times New Roman" w:eastAsia="Calibri" w:hAnsi="Times New Roman" w:cs="Times New Roman"/>
                <w:bCs/>
                <w:sz w:val="28"/>
                <w:lang w:eastAsia="es-ES"/>
              </w:rPr>
              <w:t xml:space="preserve">. Manifestó que la norma acusada, específicamente los artículos demandados </w:t>
            </w:r>
            <w:r w:rsidRPr="00EE2FA1">
              <w:rPr>
                <w:rFonts w:ascii="Times New Roman" w:eastAsia="Calibri" w:hAnsi="Times New Roman" w:cs="Times New Roman"/>
                <w:bCs/>
                <w:sz w:val="28"/>
                <w:lang w:eastAsia="es-ES"/>
              </w:rPr>
              <w:t>deben ser declarados inconstitucionales. Ello, en razón a que las referidas normas no contaron con un debate suficiente, tampoco se les concedió un tiempo considerable para su estudio, así como no se debatieron las proposiciones presentadas en relación con</w:t>
            </w:r>
            <w:r w:rsidRPr="00EE2FA1">
              <w:rPr>
                <w:rFonts w:ascii="Times New Roman" w:eastAsia="Calibri" w:hAnsi="Times New Roman" w:cs="Times New Roman"/>
                <w:bCs/>
                <w:sz w:val="28"/>
                <w:lang w:eastAsia="es-ES"/>
              </w:rPr>
              <w:t xml:space="preserve"> estos. Por tal motivo, la aprobación de las normas vulneró los principios democráticos, de instrumentalidad de las formas, publicidad y consecutividad.</w:t>
            </w:r>
          </w:p>
        </w:tc>
      </w:tr>
    </w:tbl>
    <w:p w:rsidR="00753564" w:rsidRPr="00EE2FA1" w:rsidRDefault="00EE2FA1" w:rsidP="00753564">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753564" w:rsidRPr="00EE2FA1" w:rsidRDefault="00EE2FA1" w:rsidP="00753564">
      <w:pPr>
        <w:pStyle w:val="Prrafodelista"/>
        <w:tabs>
          <w:tab w:val="left" w:pos="284"/>
          <w:tab w:val="left" w:pos="426"/>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Vicios materiales</w:t>
      </w:r>
    </w:p>
    <w:p w:rsidR="00753564" w:rsidRPr="00EE2FA1" w:rsidRDefault="00EE2FA1" w:rsidP="00753564">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tbl>
      <w:tblPr>
        <w:tblStyle w:val="Tablaconcuadrcula"/>
        <w:tblW w:w="5000" w:type="pct"/>
        <w:tblLayout w:type="fixed"/>
        <w:tblLook w:val="04A0" w:firstRow="1" w:lastRow="0" w:firstColumn="1" w:lastColumn="0" w:noHBand="0" w:noVBand="1"/>
      </w:tblPr>
      <w:tblGrid>
        <w:gridCol w:w="2262"/>
        <w:gridCol w:w="6965"/>
      </w:tblGrid>
      <w:tr w:rsidR="008F41DE" w:rsidRPr="00EE2FA1" w:rsidTr="00A50B19">
        <w:tc>
          <w:tcPr>
            <w:tcW w:w="1226" w:type="pct"/>
          </w:tcPr>
          <w:p w:rsidR="00753564" w:rsidRPr="00EE2FA1" w:rsidRDefault="00EE2FA1" w:rsidP="00273AAF">
            <w:pPr>
              <w:pStyle w:val="Prrafodelista"/>
              <w:tabs>
                <w:tab w:val="left" w:pos="426"/>
              </w:tabs>
              <w:spacing w:line="0" w:lineRule="atLeast"/>
              <w:ind w:left="0"/>
              <w:jc w:val="center"/>
              <w:rPr>
                <w:rFonts w:ascii="Times New Roman" w:eastAsia="Calibri" w:hAnsi="Times New Roman" w:cs="Times New Roman"/>
                <w:b/>
                <w:sz w:val="28"/>
                <w:lang w:eastAsia="es-ES"/>
              </w:rPr>
            </w:pPr>
            <w:r w:rsidRPr="00EE2FA1">
              <w:rPr>
                <w:rFonts w:ascii="Times New Roman" w:eastAsia="Calibri" w:hAnsi="Times New Roman" w:cs="Times New Roman"/>
                <w:b/>
                <w:sz w:val="28"/>
                <w:lang w:eastAsia="es-ES"/>
              </w:rPr>
              <w:t>Entidad/autorida</w:t>
            </w:r>
            <w:r w:rsidRPr="00EE2FA1">
              <w:rPr>
                <w:rFonts w:ascii="Times New Roman" w:eastAsia="Calibri" w:hAnsi="Times New Roman" w:cs="Times New Roman"/>
                <w:b/>
                <w:sz w:val="28"/>
                <w:lang w:eastAsia="es-ES"/>
              </w:rPr>
              <w:t>d</w:t>
            </w:r>
          </w:p>
        </w:tc>
        <w:tc>
          <w:tcPr>
            <w:tcW w:w="3774" w:type="pct"/>
          </w:tcPr>
          <w:p w:rsidR="00753564" w:rsidRPr="00EE2FA1" w:rsidRDefault="00EE2FA1" w:rsidP="00753564">
            <w:pPr>
              <w:tabs>
                <w:tab w:val="left" w:pos="426"/>
              </w:tabs>
              <w:spacing w:line="0" w:lineRule="atLeast"/>
              <w:jc w:val="center"/>
              <w:rPr>
                <w:rFonts w:ascii="Times New Roman" w:eastAsia="Calibri" w:hAnsi="Times New Roman" w:cs="Times New Roman"/>
                <w:b/>
                <w:sz w:val="28"/>
                <w:lang w:val="es-ES" w:eastAsia="es-ES"/>
              </w:rPr>
            </w:pPr>
            <w:r w:rsidRPr="00EE2FA1">
              <w:rPr>
                <w:rFonts w:ascii="Times New Roman" w:eastAsia="Calibri" w:hAnsi="Times New Roman" w:cs="Times New Roman"/>
                <w:b/>
                <w:sz w:val="28"/>
                <w:lang w:val="es-ES" w:eastAsia="es-ES"/>
              </w:rPr>
              <w:t>Concepto</w:t>
            </w:r>
          </w:p>
        </w:tc>
      </w:tr>
      <w:tr w:rsidR="008F41DE" w:rsidRPr="00EE2FA1" w:rsidTr="00A50B19">
        <w:tc>
          <w:tcPr>
            <w:tcW w:w="1226" w:type="pct"/>
            <w:vAlign w:val="center"/>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Instituto Colombiano de Derecho Tributario y Aduanero </w:t>
            </w:r>
            <w:r w:rsidRPr="00EE2FA1">
              <w:rPr>
                <w:rFonts w:ascii="Times New Roman" w:eastAsia="Calibri" w:hAnsi="Times New Roman" w:cs="Times New Roman"/>
                <w:bCs/>
                <w:sz w:val="28"/>
                <w:lang w:eastAsia="es-ES"/>
              </w:rPr>
              <w:t>(ICDT)</w:t>
            </w:r>
            <w:r w:rsidRPr="00EE2FA1">
              <w:rPr>
                <w:rStyle w:val="Refdenotaalpie"/>
                <w:rFonts w:ascii="Times New Roman" w:eastAsia="Calibri" w:hAnsi="Times New Roman" w:cs="Times New Roman"/>
                <w:bCs/>
                <w:sz w:val="28"/>
                <w:lang w:eastAsia="es-ES"/>
              </w:rPr>
              <w:footnoteReference w:id="22"/>
            </w:r>
          </w:p>
        </w:tc>
        <w:tc>
          <w:tcPr>
            <w:tcW w:w="3774" w:type="pct"/>
            <w:vAlign w:val="center"/>
          </w:tcPr>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i/>
                <w:iCs/>
                <w:sz w:val="28"/>
                <w:lang w:val="es-ES" w:eastAsia="es-ES"/>
              </w:rPr>
              <w:t>Inexequible</w:t>
            </w:r>
            <w:r w:rsidRPr="00EE2FA1">
              <w:rPr>
                <w:rFonts w:ascii="Times New Roman" w:eastAsia="Calibri" w:hAnsi="Times New Roman" w:cs="Times New Roman"/>
                <w:bCs/>
                <w:sz w:val="28"/>
                <w:lang w:val="es-ES" w:eastAsia="es-ES"/>
              </w:rPr>
              <w:t xml:space="preserve">. Las normas vulneran los principios tributarios de equidad, justicia e igualdad, certeza tributarita </w:t>
            </w:r>
            <w:r w:rsidRPr="00EE2FA1">
              <w:rPr>
                <w:rFonts w:ascii="Times New Roman" w:eastAsia="Calibri" w:hAnsi="Times New Roman" w:cs="Times New Roman"/>
                <w:bCs/>
                <w:sz w:val="28"/>
                <w:lang w:val="es-ES" w:eastAsia="es-ES"/>
              </w:rPr>
              <w:t>e</w:t>
            </w:r>
            <w:r w:rsidRPr="00EE2FA1">
              <w:rPr>
                <w:rFonts w:ascii="Times New Roman" w:eastAsia="Calibri" w:hAnsi="Times New Roman" w:cs="Times New Roman"/>
                <w:bCs/>
                <w:sz w:val="28"/>
                <w:lang w:val="es-ES" w:eastAsia="es-ES"/>
              </w:rPr>
              <w:t xml:space="preserve"> irretroactividad de la ley tributaria.</w:t>
            </w: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sz w:val="28"/>
                <w:lang w:val="es-ES" w:eastAsia="es-ES"/>
              </w:rPr>
              <w:t xml:space="preserve">En relación con la violación del principio de certeza tributaria, la determinación de la </w:t>
            </w:r>
            <w:r w:rsidRPr="00EE2FA1">
              <w:rPr>
                <w:rFonts w:ascii="Times New Roman" w:eastAsia="Calibri" w:hAnsi="Times New Roman" w:cs="Times New Roman"/>
                <w:bCs/>
                <w:sz w:val="28"/>
                <w:lang w:val="es-ES" w:eastAsia="es-ES"/>
              </w:rPr>
              <w:t>tarifa del tributo se efectúa con base en los precios promedio establecidos de acuerdo con los índices internacionales producidos por sociedades extranjeras completamente ajenas a Colombia, a sus instituciones o sus contribuyentes. Por lo que, la norma acu</w:t>
            </w:r>
            <w:r w:rsidRPr="00EE2FA1">
              <w:rPr>
                <w:rFonts w:ascii="Times New Roman" w:eastAsia="Calibri" w:hAnsi="Times New Roman" w:cs="Times New Roman"/>
                <w:bCs/>
                <w:sz w:val="28"/>
                <w:lang w:val="es-ES" w:eastAsia="es-ES"/>
              </w:rPr>
              <w:t>sada está remitiendo la determinación de la tarifa del impuesto a entidades privadas extranjeras, que utilizan diferentes metodologías para la determinación del precio de la referencia, sin establecer específicamente cuál debe ser el utilizado por la Agenc</w:t>
            </w:r>
            <w:r w:rsidRPr="00EE2FA1">
              <w:rPr>
                <w:rFonts w:ascii="Times New Roman" w:eastAsia="Calibri" w:hAnsi="Times New Roman" w:cs="Times New Roman"/>
                <w:bCs/>
                <w:sz w:val="28"/>
                <w:lang w:val="es-ES" w:eastAsia="es-ES"/>
              </w:rPr>
              <w:t>ia Nacional de Hidrocarburos para efectos del impuesto de renta de las empresas que realizan actividades de extracción de petróleo crudo. En este caso, no se estableció ningún tipo de instrucción o indicación siquiera de carácter general, por medio de la c</w:t>
            </w:r>
            <w:r w:rsidRPr="00EE2FA1">
              <w:rPr>
                <w:rFonts w:ascii="Times New Roman" w:eastAsia="Calibri" w:hAnsi="Times New Roman" w:cs="Times New Roman"/>
                <w:bCs/>
                <w:sz w:val="28"/>
                <w:lang w:val="es-ES" w:eastAsia="es-ES"/>
              </w:rPr>
              <w:t>ual se determine el precio promedio internacional para el cálculo de la sobretasa y se señale cómo se determinan los índices que inciden en la tarifa a pagar por el contribuyente, que son elaborados por compañías privadas extranjeras.</w:t>
            </w: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sz w:val="28"/>
                <w:lang w:val="es-ES" w:eastAsia="es-ES"/>
              </w:rPr>
              <w:t>Manifestó que la vio</w:t>
            </w:r>
            <w:r w:rsidRPr="00EE2FA1">
              <w:rPr>
                <w:rFonts w:ascii="Times New Roman" w:eastAsia="Calibri" w:hAnsi="Times New Roman" w:cs="Times New Roman"/>
                <w:bCs/>
                <w:sz w:val="28"/>
                <w:lang w:val="es-ES" w:eastAsia="es-ES"/>
              </w:rPr>
              <w:t>lación al principio de certeza puede implicar una violación al principio de reserva de ley, en razón a que el legislador no determinó los elementos esenciales aplicables a la tarifa de renta de estas sociedades, de manera que permita a los contribuyentes d</w:t>
            </w:r>
            <w:r w:rsidRPr="00EE2FA1">
              <w:rPr>
                <w:rFonts w:ascii="Times New Roman" w:eastAsia="Calibri" w:hAnsi="Times New Roman" w:cs="Times New Roman"/>
                <w:bCs/>
                <w:sz w:val="28"/>
                <w:lang w:val="es-ES" w:eastAsia="es-ES"/>
              </w:rPr>
              <w:t>eterminarla. Además, delegó la función de determinar un elemento esencial a entidades extranjeras, sin criterios o fórmulas generales que sirvan de guía para determinar o calcular este precio promedio internacional.</w:t>
            </w: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sz w:val="28"/>
                <w:lang w:val="es-ES" w:eastAsia="es-ES"/>
              </w:rPr>
              <w:t>Frente a los principios de igualdad y eq</w:t>
            </w:r>
            <w:r w:rsidRPr="00EE2FA1">
              <w:rPr>
                <w:rFonts w:ascii="Times New Roman" w:eastAsia="Calibri" w:hAnsi="Times New Roman" w:cs="Times New Roman"/>
                <w:bCs/>
                <w:sz w:val="28"/>
                <w:lang w:val="es-ES" w:eastAsia="es-ES"/>
              </w:rPr>
              <w:t xml:space="preserve">uidad o capacidad contributiva, consideró que una de las metodologías para determinar si una norma es violatoria del principio de igualdad equidad y justicia tributaria, es el juicio de razonabilidad. Considera que la medida diferencial hacia las empresas </w:t>
            </w:r>
            <w:r w:rsidRPr="00EE2FA1">
              <w:rPr>
                <w:rFonts w:ascii="Times New Roman" w:eastAsia="Calibri" w:hAnsi="Times New Roman" w:cs="Times New Roman"/>
                <w:bCs/>
                <w:sz w:val="28"/>
                <w:lang w:val="es-ES" w:eastAsia="es-ES"/>
              </w:rPr>
              <w:t>que realizan actividades extractivas de petróleo no supera ese juicio. Lo anterior, incluso al compararlas con las otras sobretasas determinadas en la misma Ley 2277, pues la sobretasa aplicable a las entidades financieras es de 5 puntos adicionales y se v</w:t>
            </w:r>
            <w:r w:rsidRPr="00EE2FA1">
              <w:rPr>
                <w:rFonts w:ascii="Times New Roman" w:eastAsia="Calibri" w:hAnsi="Times New Roman" w:cs="Times New Roman"/>
                <w:bCs/>
                <w:sz w:val="28"/>
                <w:lang w:val="es-ES" w:eastAsia="es-ES"/>
              </w:rPr>
              <w:t>e limitada hasta el 2027.</w:t>
            </w:r>
          </w:p>
          <w:p w:rsidR="004D2489"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sz w:val="28"/>
                <w:lang w:val="es-ES" w:eastAsia="es-ES"/>
              </w:rPr>
              <w:t>Al consultar los debates que precedieron el establecimiento de esta medida, se evidencia una discriminación específica en contra de este tipo de empresas, sin que exista una justificación válida para el aumento de su carga tribut</w:t>
            </w:r>
            <w:r w:rsidRPr="00EE2FA1">
              <w:rPr>
                <w:rFonts w:ascii="Times New Roman" w:eastAsia="Calibri" w:hAnsi="Times New Roman" w:cs="Times New Roman"/>
                <w:bCs/>
                <w:sz w:val="28"/>
                <w:lang w:val="es-ES" w:eastAsia="es-ES"/>
              </w:rPr>
              <w:t>aria. La creación de la sobretasa se fundó en las afirmaciones que estas empresas tienen “ingresos más altos que las sociedades de otros sectores económicos en razón de los altos precios del petróleo a nivel internacional, ocasionando un superávit para est</w:t>
            </w:r>
            <w:r w:rsidRPr="00EE2FA1">
              <w:rPr>
                <w:rFonts w:ascii="Times New Roman" w:eastAsia="Calibri" w:hAnsi="Times New Roman" w:cs="Times New Roman"/>
                <w:bCs/>
                <w:sz w:val="28"/>
                <w:lang w:val="es-ES" w:eastAsia="es-ES"/>
              </w:rPr>
              <w:t>as compañías”. No obstante, no puede afirmarse que obtener mayores ingresos genera automáticamente una mayor capacidad contributiva, pues al considerar únicamente los ingresos brutos se desconoce el proceso de depuración de la renta</w:t>
            </w:r>
            <w:r w:rsidRPr="00EE2FA1">
              <w:rPr>
                <w:rFonts w:ascii="Times New Roman" w:eastAsia="Calibri" w:hAnsi="Times New Roman" w:cs="Times New Roman"/>
                <w:bCs/>
                <w:sz w:val="28"/>
                <w:lang w:val="es-ES" w:eastAsia="es-ES"/>
              </w:rPr>
              <w:t>,</w:t>
            </w:r>
            <w:r w:rsidRPr="00EE2FA1">
              <w:rPr>
                <w:rFonts w:ascii="Times New Roman" w:eastAsia="Calibri" w:hAnsi="Times New Roman" w:cs="Times New Roman"/>
                <w:bCs/>
                <w:sz w:val="28"/>
                <w:lang w:val="es-ES" w:eastAsia="es-ES"/>
              </w:rPr>
              <w:t xml:space="preserve"> que implica restar los</w:t>
            </w:r>
            <w:r w:rsidRPr="00EE2FA1">
              <w:rPr>
                <w:rFonts w:ascii="Times New Roman" w:eastAsia="Calibri" w:hAnsi="Times New Roman" w:cs="Times New Roman"/>
                <w:bCs/>
                <w:sz w:val="28"/>
                <w:lang w:val="es-ES" w:eastAsia="es-ES"/>
              </w:rPr>
              <w:t xml:space="preserve"> costos y gastos asociados al desarrollo de la actividad comercial y que afecta el monto de los ingresos que perciben las compañías y, por lo tanto, el valor del impuesto a pagar.</w:t>
            </w: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p>
          <w:p w:rsidR="00753564" w:rsidRPr="00EE2FA1" w:rsidRDefault="00EE2FA1" w:rsidP="00F25702">
            <w:pPr>
              <w:tabs>
                <w:tab w:val="left" w:pos="426"/>
              </w:tabs>
              <w:spacing w:line="0" w:lineRule="atLeast"/>
              <w:jc w:val="both"/>
              <w:rPr>
                <w:rFonts w:ascii="Times New Roman" w:eastAsia="Calibri" w:hAnsi="Times New Roman" w:cs="Times New Roman"/>
                <w:bCs/>
                <w:sz w:val="28"/>
                <w:lang w:val="es-ES" w:eastAsia="es-ES"/>
              </w:rPr>
            </w:pPr>
            <w:r w:rsidRPr="00EE2FA1">
              <w:rPr>
                <w:rFonts w:ascii="Times New Roman" w:eastAsia="Calibri" w:hAnsi="Times New Roman" w:cs="Times New Roman"/>
                <w:bCs/>
                <w:sz w:val="28"/>
                <w:lang w:val="es-ES" w:eastAsia="es-ES"/>
              </w:rPr>
              <w:t>Respecto de la violación al principio de legalidad y el requisito de certez</w:t>
            </w:r>
            <w:r w:rsidRPr="00EE2FA1">
              <w:rPr>
                <w:rFonts w:ascii="Times New Roman" w:eastAsia="Calibri" w:hAnsi="Times New Roman" w:cs="Times New Roman"/>
                <w:bCs/>
                <w:sz w:val="28"/>
                <w:lang w:val="es-ES" w:eastAsia="es-ES"/>
              </w:rPr>
              <w:t>a e irretroactividad de la ley tributaria, expuso que los índices de precios del consumidor que inciden en los puntos adicionales son determinados por particulares extranjeros, con metodologías que no son conocidas por los contribuyentes y que sólo serán d</w:t>
            </w:r>
            <w:r w:rsidRPr="00EE2FA1">
              <w:rPr>
                <w:rFonts w:ascii="Times New Roman" w:eastAsia="Calibri" w:hAnsi="Times New Roman" w:cs="Times New Roman"/>
                <w:bCs/>
                <w:sz w:val="28"/>
                <w:lang w:val="es-ES" w:eastAsia="es-ES"/>
              </w:rPr>
              <w:t>e conocimiento del público una vez finalice el periodo gravable correspondiente. Así las cosas, los sujetos pasivos solo podrá determinar su sobretasa después de finalizado el periodo gravable y durante al año en curso no podrán establecer de manera aproxi</w:t>
            </w:r>
            <w:r w:rsidRPr="00EE2FA1">
              <w:rPr>
                <w:rFonts w:ascii="Times New Roman" w:eastAsia="Calibri" w:hAnsi="Times New Roman" w:cs="Times New Roman"/>
                <w:bCs/>
                <w:sz w:val="28"/>
                <w:lang w:val="es-ES" w:eastAsia="es-ES"/>
              </w:rPr>
              <w:t>mada la tarifa a la que estarán sometidos por concepto de impuesto sobre la renta.</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Asociación Colombiana de Petróleo y Gas</w:t>
            </w:r>
            <w:r w:rsidRPr="00EE2FA1">
              <w:rPr>
                <w:rStyle w:val="Refdenotaalpie"/>
                <w:rFonts w:ascii="Times New Roman" w:eastAsia="Calibri" w:hAnsi="Times New Roman" w:cs="Times New Roman"/>
                <w:sz w:val="28"/>
                <w:lang w:eastAsia="es-ES"/>
              </w:rPr>
              <w:footnoteReference w:id="23"/>
            </w:r>
          </w:p>
        </w:tc>
        <w:tc>
          <w:tcPr>
            <w:tcW w:w="3774" w:type="pct"/>
          </w:tcPr>
          <w:p w:rsidR="00753564" w:rsidRPr="00EE2FA1" w:rsidRDefault="00EE2FA1" w:rsidP="00F25702">
            <w:pPr>
              <w:tabs>
                <w:tab w:val="left" w:pos="426"/>
              </w:tabs>
              <w:spacing w:line="0" w:lineRule="atLeast"/>
              <w:jc w:val="both"/>
              <w:rPr>
                <w:rFonts w:ascii="Times New Roman" w:hAnsi="Times New Roman" w:cs="Times New Roman"/>
                <w:sz w:val="28"/>
                <w:lang w:val="es"/>
              </w:rPr>
            </w:pPr>
            <w:r w:rsidRPr="00EE2FA1">
              <w:rPr>
                <w:rFonts w:ascii="Times New Roman" w:hAnsi="Times New Roman" w:cs="Times New Roman"/>
                <w:i/>
                <w:iCs/>
                <w:sz w:val="28"/>
                <w:lang w:val="es"/>
              </w:rPr>
              <w:t>Inexequible</w:t>
            </w:r>
            <w:r w:rsidRPr="00EE2FA1">
              <w:rPr>
                <w:rFonts w:ascii="Times New Roman" w:hAnsi="Times New Roman" w:cs="Times New Roman"/>
                <w:sz w:val="28"/>
                <w:lang w:val="es"/>
              </w:rPr>
              <w:t xml:space="preserve">. Argumentó que la norma demandada vulnera los principios de igualdad, justicia y equidad tributaria. La medida trata </w:t>
            </w:r>
            <w:r w:rsidRPr="00EE2FA1">
              <w:rPr>
                <w:rFonts w:ascii="Times New Roman" w:hAnsi="Times New Roman" w:cs="Times New Roman"/>
                <w:sz w:val="28"/>
                <w:lang w:val="es"/>
              </w:rPr>
              <w:t>sobre una sobretasa de renta que solo se impone al sector extractivo de petróleo y que genera un trato discriminatorio y desproporcionado frente a otros sectores económicos, que aumenta la tarifa de tributación sobre los contribuyentes del sector petrolero</w:t>
            </w:r>
            <w:r w:rsidRPr="00EE2FA1">
              <w:rPr>
                <w:rFonts w:ascii="Times New Roman" w:hAnsi="Times New Roman" w:cs="Times New Roman"/>
                <w:sz w:val="28"/>
                <w:lang w:val="es"/>
              </w:rPr>
              <w:t>.</w:t>
            </w:r>
          </w:p>
          <w:p w:rsidR="00753564" w:rsidRPr="00EE2FA1" w:rsidRDefault="00EE2FA1" w:rsidP="00F25702">
            <w:pPr>
              <w:tabs>
                <w:tab w:val="left" w:pos="426"/>
              </w:tabs>
              <w:spacing w:line="0" w:lineRule="atLeast"/>
              <w:jc w:val="both"/>
              <w:rPr>
                <w:rFonts w:ascii="Times New Roman" w:hAnsi="Times New Roman" w:cs="Times New Roman"/>
                <w:sz w:val="28"/>
                <w:lang w:val="es"/>
              </w:rPr>
            </w:pPr>
          </w:p>
          <w:p w:rsidR="00753564" w:rsidRPr="00EE2FA1" w:rsidRDefault="00EE2FA1" w:rsidP="00F25702">
            <w:pPr>
              <w:tabs>
                <w:tab w:val="left" w:pos="426"/>
              </w:tabs>
              <w:spacing w:line="0" w:lineRule="atLeast"/>
              <w:jc w:val="both"/>
              <w:rPr>
                <w:rFonts w:ascii="Times New Roman" w:hAnsi="Times New Roman" w:cs="Times New Roman"/>
                <w:sz w:val="28"/>
                <w:lang w:val="es-ES"/>
              </w:rPr>
            </w:pPr>
            <w:r w:rsidRPr="00EE2FA1">
              <w:rPr>
                <w:rFonts w:ascii="Times New Roman" w:hAnsi="Times New Roman" w:cs="Times New Roman"/>
                <w:sz w:val="28"/>
                <w:lang w:val="es-ES"/>
              </w:rPr>
              <w:t>Además, la sobretasa no tuvo en cuenta la capacidad contributiva del sujeto pasivo, pues esta recae sobre la totalidad de los ingresos del contribuyente y sobre el precio internacional del petróleo Brent y no sobre la utilidad que eventualmente pueda ob</w:t>
            </w:r>
            <w:r w:rsidRPr="00EE2FA1">
              <w:rPr>
                <w:rFonts w:ascii="Times New Roman" w:hAnsi="Times New Roman" w:cs="Times New Roman"/>
                <w:sz w:val="28"/>
                <w:lang w:val="es-ES"/>
              </w:rPr>
              <w:t xml:space="preserve">tenerse fruto de la operación, es decir, es una medida que recae sobre la ganancia potencial y no sobre la ganancia comprobada. </w:t>
            </w:r>
          </w:p>
          <w:p w:rsidR="00753564" w:rsidRPr="00EE2FA1" w:rsidRDefault="00EE2FA1" w:rsidP="00F25702">
            <w:pPr>
              <w:tabs>
                <w:tab w:val="left" w:pos="426"/>
              </w:tabs>
              <w:spacing w:line="0" w:lineRule="atLeast"/>
              <w:jc w:val="both"/>
              <w:rPr>
                <w:rFonts w:ascii="Times New Roman" w:hAnsi="Times New Roman" w:cs="Times New Roman"/>
                <w:sz w:val="28"/>
                <w:lang w:val="es"/>
              </w:rPr>
            </w:pPr>
          </w:p>
          <w:p w:rsidR="00753564" w:rsidRPr="00EE2FA1" w:rsidRDefault="00EE2FA1" w:rsidP="00F25702">
            <w:pPr>
              <w:tabs>
                <w:tab w:val="left" w:pos="426"/>
              </w:tabs>
              <w:spacing w:line="0" w:lineRule="atLeast"/>
              <w:jc w:val="both"/>
              <w:rPr>
                <w:rFonts w:ascii="Times New Roman" w:hAnsi="Times New Roman" w:cs="Times New Roman"/>
                <w:sz w:val="28"/>
              </w:rPr>
            </w:pPr>
            <w:r w:rsidRPr="00EE2FA1">
              <w:rPr>
                <w:rFonts w:ascii="Times New Roman" w:hAnsi="Times New Roman" w:cs="Times New Roman"/>
                <w:sz w:val="28"/>
                <w:lang w:val="es"/>
              </w:rPr>
              <w:t xml:space="preserve">Por otra parte, es evidente el trato desproporcionado, en tanto el sector del petróleo y gas es el único que no puede deducir </w:t>
            </w:r>
            <w:r w:rsidRPr="00EE2FA1">
              <w:rPr>
                <w:rFonts w:ascii="Times New Roman" w:hAnsi="Times New Roman" w:cs="Times New Roman"/>
                <w:sz w:val="28"/>
                <w:lang w:val="es"/>
              </w:rPr>
              <w:t>regalías de la base gravable del impuesto de renta. Adicionalmente, es el sector de la economía que s</w:t>
            </w:r>
            <w:r w:rsidRPr="00EE2FA1">
              <w:rPr>
                <w:rFonts w:ascii="Times New Roman" w:hAnsi="Times New Roman" w:cs="Times New Roman"/>
                <w:sz w:val="28"/>
              </w:rPr>
              <w:t>e encuentra obligado a pagar una sobretasa del mismo impuesto a la renta entre el 5, 10 y 15 %, configurándose una carga tributaria que vulnera el principi</w:t>
            </w:r>
            <w:r w:rsidRPr="00EE2FA1">
              <w:rPr>
                <w:rFonts w:ascii="Times New Roman" w:hAnsi="Times New Roman" w:cs="Times New Roman"/>
                <w:sz w:val="28"/>
              </w:rPr>
              <w:t>o de equidad tributaria. Por lo tanto, la norma acusada debe ser declarada inexequible en atención a que vulnera principios constitucionales.</w:t>
            </w:r>
          </w:p>
          <w:p w:rsidR="00CA636A" w:rsidRPr="00EE2FA1" w:rsidRDefault="00EE2FA1" w:rsidP="00F25702">
            <w:pPr>
              <w:tabs>
                <w:tab w:val="left" w:pos="426"/>
              </w:tabs>
              <w:spacing w:line="0" w:lineRule="atLeast"/>
              <w:jc w:val="both"/>
              <w:rPr>
                <w:rFonts w:ascii="Times New Roman" w:hAnsi="Times New Roman" w:cs="Times New Roman"/>
                <w:sz w:val="28"/>
              </w:rPr>
            </w:pPr>
          </w:p>
          <w:p w:rsidR="00CA636A" w:rsidRPr="00EE2FA1" w:rsidRDefault="00EE2FA1" w:rsidP="00646A88">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rPr>
              <w:t xml:space="preserve">En ese sentido, expuso que el impacto económico de la medida debe considerarse de manera conjunta con el impacto </w:t>
            </w:r>
            <w:r w:rsidRPr="00EE2FA1">
              <w:rPr>
                <w:rFonts w:ascii="Times New Roman" w:hAnsi="Times New Roman" w:cs="Times New Roman"/>
                <w:sz w:val="28"/>
              </w:rPr>
              <w:t>económico de todas las normas aprobadas en la reforma tributaria “incluida la prohibición de la deducibilidad de las regalías y el incremento del 10% al 20% en la tarifa del impuesto a los dividendos.” Por tal razón, indica que las nuevas medidas aumentaro</w:t>
            </w:r>
            <w:r w:rsidRPr="00EE2FA1">
              <w:rPr>
                <w:rFonts w:ascii="Times New Roman" w:hAnsi="Times New Roman" w:cs="Times New Roman"/>
                <w:sz w:val="28"/>
              </w:rPr>
              <w:t>n la carga tributaria del sector. En concreto “</w:t>
            </w:r>
            <w:r w:rsidRPr="00EE2FA1">
              <w:rPr>
                <w:rFonts w:ascii="Times New Roman" w:hAnsi="Times New Roman" w:cs="Times New Roman"/>
                <w:sz w:val="28"/>
                <w:lang w:val="es-MX"/>
              </w:rPr>
              <w:t>la Tasa Efectiva de Tributación promedio, se incrementa en un 69% al pasar del 39% al 67%. Una TET del 67% para la industria petrolera excede por mucho la tasa nominal de tributación más alta prevista en la le</w:t>
            </w:r>
            <w:r w:rsidRPr="00EE2FA1">
              <w:rPr>
                <w:rFonts w:ascii="Times New Roman" w:hAnsi="Times New Roman" w:cs="Times New Roman"/>
                <w:sz w:val="28"/>
                <w:lang w:val="es-MX"/>
              </w:rPr>
              <w:t xml:space="preserve">y colombiana.” Luego precisó el uso del instrumento de Government Take para sustentar la TET y reiteró que la medida desconoce la justicia, la equidad y la igualdad tributaria, por lo </w:t>
            </w:r>
            <w:r w:rsidRPr="00EE2FA1">
              <w:rPr>
                <w:rFonts w:ascii="Times New Roman" w:hAnsi="Times New Roman" w:cs="Times New Roman"/>
                <w:sz w:val="28"/>
                <w:lang w:val="es-MX"/>
              </w:rPr>
              <w:t xml:space="preserve">que solicitó declarar la inexequibilidad “(…) </w:t>
            </w:r>
            <w:r w:rsidRPr="00EE2FA1">
              <w:rPr>
                <w:rFonts w:ascii="Times New Roman" w:hAnsi="Times New Roman" w:cs="Times New Roman"/>
                <w:sz w:val="28"/>
                <w:lang w:val="es-MX"/>
              </w:rPr>
              <w:t>del artículo 19 de la Ley</w:t>
            </w:r>
            <w:r w:rsidRPr="00EE2FA1">
              <w:rPr>
                <w:rFonts w:ascii="Times New Roman" w:hAnsi="Times New Roman" w:cs="Times New Roman"/>
                <w:sz w:val="28"/>
                <w:lang w:val="es-MX"/>
              </w:rPr>
              <w:t xml:space="preserve"> </w:t>
            </w:r>
            <w:r w:rsidRPr="00EE2FA1">
              <w:rPr>
                <w:rFonts w:ascii="Times New Roman" w:hAnsi="Times New Roman" w:cs="Times New Roman"/>
                <w:sz w:val="28"/>
                <w:lang w:val="es-MX"/>
              </w:rPr>
              <w:t>2277 de 2022, objeto de la presente demanda, así como del 10 en la parte demandada por</w:t>
            </w:r>
            <w:r w:rsidRPr="00EE2FA1">
              <w:rPr>
                <w:rFonts w:ascii="Times New Roman" w:hAnsi="Times New Roman" w:cs="Times New Roman"/>
                <w:sz w:val="28"/>
                <w:lang w:val="es-MX"/>
              </w:rPr>
              <w:t xml:space="preserve"> </w:t>
            </w:r>
            <w:r w:rsidRPr="00EE2FA1">
              <w:rPr>
                <w:rFonts w:ascii="Times New Roman" w:hAnsi="Times New Roman" w:cs="Times New Roman"/>
                <w:sz w:val="28"/>
                <w:lang w:val="es-MX"/>
              </w:rPr>
              <w:t>agravar la inequidad tributaria generada por la no deducibilidad de las regalías.</w:t>
            </w:r>
            <w:r w:rsidRPr="00EE2FA1">
              <w:rPr>
                <w:rFonts w:ascii="Times New Roman" w:hAnsi="Times New Roman" w:cs="Times New Roman"/>
                <w:sz w:val="28"/>
                <w:lang w:val="es-MX"/>
              </w:rPr>
              <w:t>”</w:t>
            </w:r>
          </w:p>
          <w:p w:rsidR="00F60FB1" w:rsidRPr="00EE2FA1" w:rsidRDefault="00EE2FA1" w:rsidP="00646A88">
            <w:pPr>
              <w:tabs>
                <w:tab w:val="left" w:pos="426"/>
              </w:tabs>
              <w:spacing w:line="0" w:lineRule="atLeast"/>
              <w:jc w:val="both"/>
              <w:rPr>
                <w:rFonts w:ascii="Times New Roman" w:hAnsi="Times New Roman" w:cs="Times New Roman"/>
                <w:sz w:val="28"/>
                <w:lang w:val="es-MX"/>
              </w:rPr>
            </w:pPr>
          </w:p>
          <w:p w:rsidR="00F60FB1" w:rsidRPr="00EE2FA1" w:rsidRDefault="00EE2FA1" w:rsidP="00646A88">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Al respecto, presentó el siguiente cuadro</w:t>
            </w:r>
          </w:p>
          <w:p w:rsidR="00F60FB1" w:rsidRPr="00EE2FA1" w:rsidRDefault="00EE2FA1" w:rsidP="00646A88">
            <w:pPr>
              <w:tabs>
                <w:tab w:val="left" w:pos="426"/>
              </w:tabs>
              <w:spacing w:line="0" w:lineRule="atLeast"/>
              <w:jc w:val="both"/>
              <w:rPr>
                <w:rFonts w:ascii="Times New Roman" w:hAnsi="Times New Roman" w:cs="Times New Roman"/>
                <w:sz w:val="28"/>
                <w:lang w:val="es-MX"/>
              </w:rPr>
            </w:pPr>
          </w:p>
          <w:p w:rsidR="00A50B19" w:rsidRPr="00EE2FA1" w:rsidRDefault="00EE2FA1" w:rsidP="00646A88">
            <w:pPr>
              <w:tabs>
                <w:tab w:val="left" w:pos="426"/>
              </w:tabs>
              <w:spacing w:line="0" w:lineRule="atLeast"/>
              <w:jc w:val="both"/>
              <w:rPr>
                <w:rFonts w:ascii="Times New Roman" w:hAnsi="Times New Roman" w:cs="Times New Roman"/>
                <w:sz w:val="28"/>
                <w:lang w:val="es-MX"/>
              </w:rPr>
            </w:pPr>
          </w:p>
          <w:p w:rsidR="00F60FB1" w:rsidRPr="00EE2FA1" w:rsidRDefault="00EE2FA1" w:rsidP="00646A88">
            <w:pPr>
              <w:tabs>
                <w:tab w:val="left" w:pos="426"/>
              </w:tabs>
              <w:spacing w:line="0" w:lineRule="atLeast"/>
              <w:jc w:val="both"/>
              <w:rPr>
                <w:rFonts w:ascii="Times New Roman" w:hAnsi="Times New Roman" w:cs="Times New Roman"/>
                <w:sz w:val="28"/>
                <w:lang w:val="es-MX"/>
              </w:rPr>
            </w:pPr>
          </w:p>
          <w:p w:rsidR="00F60FB1" w:rsidRPr="00EE2FA1" w:rsidRDefault="00EE2FA1" w:rsidP="00646A88">
            <w:pPr>
              <w:tabs>
                <w:tab w:val="left" w:pos="426"/>
              </w:tabs>
              <w:spacing w:line="0" w:lineRule="atLeast"/>
              <w:jc w:val="both"/>
              <w:rPr>
                <w:rFonts w:ascii="Times New Roman" w:hAnsi="Times New Roman" w:cs="Times New Roman"/>
                <w:sz w:val="28"/>
              </w:rPr>
            </w:pPr>
          </w:p>
          <w:p w:rsidR="006B68D6" w:rsidRPr="00EE2FA1" w:rsidRDefault="00EE2FA1" w:rsidP="00646A88">
            <w:pPr>
              <w:tabs>
                <w:tab w:val="left" w:pos="426"/>
              </w:tabs>
              <w:spacing w:line="0" w:lineRule="atLeast"/>
              <w:jc w:val="both"/>
              <w:rPr>
                <w:rFonts w:ascii="Times New Roman" w:hAnsi="Times New Roman" w:cs="Times New Roman"/>
                <w:sz w:val="28"/>
              </w:rPr>
            </w:pPr>
            <w:r w:rsidRPr="00EE2FA1">
              <w:rPr>
                <w:rFonts w:ascii="Times New Roman" w:hAnsi="Times New Roman" w:cs="Times New Roman"/>
                <w:noProof/>
                <w:sz w:val="28"/>
              </w:rPr>
              <w:drawing>
                <wp:inline distT="0" distB="0" distL="0" distR="0" wp14:anchorId="7584E574" wp14:editId="39605ABF">
                  <wp:extent cx="4135364" cy="2448563"/>
                  <wp:effectExtent l="0" t="0" r="5080" b="254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77568" name="Imagen 80127756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43239" cy="2453226"/>
                          </a:xfrm>
                          <a:prstGeom prst="rect">
                            <a:avLst/>
                          </a:prstGeom>
                        </pic:spPr>
                      </pic:pic>
                    </a:graphicData>
                  </a:graphic>
                </wp:inline>
              </w:drawing>
            </w:r>
          </w:p>
          <w:p w:rsidR="006B68D6" w:rsidRPr="00EE2FA1" w:rsidRDefault="00EE2FA1" w:rsidP="00646A88">
            <w:pPr>
              <w:tabs>
                <w:tab w:val="left" w:pos="426"/>
              </w:tabs>
              <w:spacing w:line="0" w:lineRule="atLeast"/>
              <w:jc w:val="both"/>
              <w:rPr>
                <w:rFonts w:ascii="Times New Roman" w:hAnsi="Times New Roman" w:cs="Times New Roman"/>
                <w:sz w:val="28"/>
              </w:rPr>
            </w:pPr>
          </w:p>
          <w:p w:rsidR="00F60FB1" w:rsidRPr="00EE2FA1" w:rsidRDefault="00EE2FA1" w:rsidP="00646A88">
            <w:pPr>
              <w:tabs>
                <w:tab w:val="left" w:pos="426"/>
              </w:tabs>
              <w:spacing w:line="0" w:lineRule="atLeast"/>
              <w:jc w:val="both"/>
              <w:rPr>
                <w:rFonts w:ascii="Times New Roman" w:hAnsi="Times New Roman" w:cs="Times New Roman"/>
                <w:sz w:val="28"/>
              </w:rPr>
            </w:pPr>
            <w:r w:rsidRPr="00EE2FA1">
              <w:rPr>
                <w:rFonts w:ascii="Times New Roman" w:hAnsi="Times New Roman" w:cs="Times New Roman"/>
                <w:sz w:val="28"/>
              </w:rPr>
              <w:t>Enseguida,</w:t>
            </w:r>
            <w:r w:rsidRPr="00EE2FA1">
              <w:rPr>
                <w:rFonts w:ascii="Times New Roman" w:hAnsi="Times New Roman" w:cs="Times New Roman"/>
                <w:sz w:val="28"/>
              </w:rPr>
              <w:t xml:space="preserve"> precisó que el cálculo an</w:t>
            </w:r>
            <w:r w:rsidRPr="00EE2FA1">
              <w:rPr>
                <w:rFonts w:ascii="Times New Roman" w:hAnsi="Times New Roman" w:cs="Times New Roman"/>
                <w:sz w:val="28"/>
              </w:rPr>
              <w:t xml:space="preserve">terior, tuvo en cuenta lo siguiente: </w:t>
            </w:r>
          </w:p>
          <w:p w:rsidR="002645B5" w:rsidRPr="00EE2FA1" w:rsidRDefault="00EE2FA1" w:rsidP="00646A88">
            <w:pPr>
              <w:tabs>
                <w:tab w:val="left" w:pos="426"/>
              </w:tabs>
              <w:spacing w:line="0" w:lineRule="atLeast"/>
              <w:jc w:val="both"/>
              <w:rPr>
                <w:rFonts w:ascii="Times New Roman" w:hAnsi="Times New Roman" w:cs="Times New Roman"/>
                <w:sz w:val="28"/>
              </w:rPr>
            </w:pPr>
          </w:p>
          <w:p w:rsidR="002645B5" w:rsidRPr="00EE2FA1" w:rsidRDefault="00EE2FA1" w:rsidP="002645B5">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La tarifa general de renta se estima siguiendo el mismo comportamiento que presentó en el 2019, con base en las cifras DIAN, y realizando el ajuste al 35% que es la tarifa nominal actual. Las cifras del 2020 y 2021</w:t>
            </w:r>
            <w:r w:rsidRPr="00EE2FA1">
              <w:rPr>
                <w:rFonts w:ascii="Times New Roman" w:hAnsi="Times New Roman" w:cs="Times New Roman"/>
                <w:sz w:val="28"/>
                <w:lang w:val="es-MX"/>
              </w:rPr>
              <w:t xml:space="preserve"> corresponden a años atípicos fuertemente afectados por la pandemia, la caída de los precios del petróleo, el paro nacional del 2021 y los procesos de reactivación económica de ese mismo año. Aún no se cuenta con el detalle de las cifras del 2022.</w:t>
            </w:r>
          </w:p>
          <w:p w:rsidR="002645B5" w:rsidRPr="00EE2FA1" w:rsidRDefault="00EE2FA1" w:rsidP="002645B5">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La ref</w:t>
            </w:r>
            <w:r w:rsidRPr="00EE2FA1">
              <w:rPr>
                <w:rFonts w:ascii="Times New Roman" w:hAnsi="Times New Roman" w:cs="Times New Roman"/>
                <w:sz w:val="28"/>
                <w:lang w:val="es-MX"/>
              </w:rPr>
              <w:t>orma tributaria eliminó los pocos beneficios tributarios que tenía la industria, por lo que en realidad se espera que para las empresas privadas la tarifa efectiva sea igual a la nominal. Sin embargo, se tomó el dato de 1,3% como el impacto valorado por Fe</w:t>
            </w:r>
            <w:r w:rsidRPr="00EE2FA1">
              <w:rPr>
                <w:rFonts w:ascii="Times New Roman" w:hAnsi="Times New Roman" w:cs="Times New Roman"/>
                <w:sz w:val="28"/>
                <w:lang w:val="es-MX"/>
              </w:rPr>
              <w:t>desarrollo.</w:t>
            </w:r>
          </w:p>
          <w:p w:rsidR="002645B5" w:rsidRPr="00EE2FA1" w:rsidRDefault="00EE2FA1" w:rsidP="002645B5">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En ambos casos, se considera que el porcentaje de la sobretasa a pagar se reduce en la misma proporción en que se reduce la TET frente a la tarifa nominal.</w:t>
            </w:r>
          </w:p>
          <w:p w:rsidR="002645B5" w:rsidRPr="00EE2FA1" w:rsidRDefault="00EE2FA1" w:rsidP="002645B5">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xml:space="preserve">- Para las empresas privadas la no deducibilidad de las regalías se calcula como </w:t>
            </w:r>
            <w:r w:rsidRPr="00EE2FA1">
              <w:rPr>
                <w:rFonts w:ascii="Times New Roman" w:hAnsi="Times New Roman" w:cs="Times New Roman"/>
                <w:sz w:val="28"/>
                <w:lang w:val="es-MX"/>
              </w:rPr>
              <w:t>promedio teniendo en cuenta que el 63% de las regalías son pagadas en dinero y el 37% en especie.</w:t>
            </w:r>
          </w:p>
          <w:p w:rsidR="002645B5" w:rsidRPr="00EE2FA1" w:rsidRDefault="00EE2FA1" w:rsidP="002645B5">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Para las empresas estatales, el 99% de las regalías se pagan en especie.</w:t>
            </w:r>
          </w:p>
          <w:p w:rsidR="00F60FB1" w:rsidRPr="00EE2FA1" w:rsidRDefault="00EE2FA1" w:rsidP="00646A88">
            <w:pPr>
              <w:tabs>
                <w:tab w:val="left" w:pos="426"/>
              </w:tabs>
              <w:spacing w:line="0" w:lineRule="atLeast"/>
              <w:jc w:val="both"/>
              <w:rPr>
                <w:rFonts w:ascii="Times New Roman" w:hAnsi="Times New Roman" w:cs="Times New Roman"/>
                <w:sz w:val="28"/>
                <w:lang w:val="es-MX"/>
              </w:rPr>
            </w:pPr>
            <w:r w:rsidRPr="00EE2FA1">
              <w:rPr>
                <w:rFonts w:ascii="Times New Roman" w:hAnsi="Times New Roman" w:cs="Times New Roman"/>
                <w:sz w:val="28"/>
                <w:lang w:val="es-MX"/>
              </w:rPr>
              <w:t>- El impuesto a los dividendos pasó del 10% al 20% con la reforma tributaria.”</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Departamento Administrativo de Presidencia de la República (Dapre)</w:t>
            </w:r>
            <w:r w:rsidRPr="00EE2FA1">
              <w:rPr>
                <w:rStyle w:val="Refdenotaalpie"/>
                <w:rFonts w:ascii="Times New Roman" w:eastAsia="Calibri" w:hAnsi="Times New Roman" w:cs="Times New Roman"/>
                <w:bCs/>
                <w:sz w:val="28"/>
                <w:lang w:eastAsia="es-ES"/>
              </w:rPr>
              <w:footnoteReference w:id="24"/>
            </w:r>
          </w:p>
        </w:tc>
        <w:tc>
          <w:tcPr>
            <w:tcW w:w="3774" w:type="pct"/>
          </w:tcPr>
          <w:p w:rsidR="003A0CF6"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Exequible</w:t>
            </w:r>
            <w:r w:rsidRPr="00EE2FA1">
              <w:rPr>
                <w:rFonts w:ascii="Times New Roman" w:eastAsia="Calibri" w:hAnsi="Times New Roman" w:cs="Times New Roman"/>
                <w:bCs/>
                <w:sz w:val="28"/>
                <w:lang w:eastAsia="es-ES"/>
              </w:rPr>
              <w:t xml:space="preserve">. Indicó que el legislador goza de un margen de libertad de configuración normativa para regular y reformular las normas en materia tributaria. En particular, para añadir tarifas </w:t>
            </w:r>
            <w:r w:rsidRPr="00EE2FA1">
              <w:rPr>
                <w:rFonts w:ascii="Times New Roman" w:eastAsia="Calibri" w:hAnsi="Times New Roman" w:cs="Times New Roman"/>
                <w:bCs/>
                <w:sz w:val="28"/>
                <w:lang w:eastAsia="es-ES"/>
              </w:rPr>
              <w:t>adicionales al impuesto de renta para las empresas que se dedican a la extracción de petróleo crudo y eliminar deducciones por regalías para aquellos que explotan recursos naturales no renovables. En lo que respecta al numeral 2.° del parágrafo 3.° del art</w:t>
            </w:r>
            <w:r w:rsidRPr="00EE2FA1">
              <w:rPr>
                <w:rFonts w:ascii="Times New Roman" w:eastAsia="Calibri" w:hAnsi="Times New Roman" w:cs="Times New Roman"/>
                <w:bCs/>
                <w:sz w:val="28"/>
                <w:lang w:eastAsia="es-ES"/>
              </w:rPr>
              <w:t xml:space="preserve">ículo 240 del </w:t>
            </w:r>
            <w:r w:rsidRPr="00EE2FA1">
              <w:rPr>
                <w:rFonts w:ascii="Times New Roman" w:eastAsia="Calibri" w:hAnsi="Times New Roman" w:cs="Times New Roman"/>
                <w:bCs/>
                <w:sz w:val="28"/>
                <w:lang w:eastAsia="es-ES"/>
              </w:rPr>
              <w:t>Estatuto Tributario</w:t>
            </w:r>
            <w:r w:rsidRPr="00EE2FA1">
              <w:rPr>
                <w:rFonts w:ascii="Times New Roman" w:eastAsia="Calibri" w:hAnsi="Times New Roman" w:cs="Times New Roman"/>
                <w:bCs/>
                <w:sz w:val="28"/>
                <w:lang w:eastAsia="es-ES"/>
              </w:rPr>
              <w:t xml:space="preserve">, esta norma no infringió el principio de irretroactividad descrito en el artículo 338 superior, puesto que con ella no se alteran elementos esenciales del impuesto de renta. Agregó que las tarifas adicionales se aplican a </w:t>
            </w:r>
            <w:r w:rsidRPr="00EE2FA1">
              <w:rPr>
                <w:rFonts w:ascii="Times New Roman" w:eastAsia="Calibri" w:hAnsi="Times New Roman" w:cs="Times New Roman"/>
                <w:bCs/>
                <w:sz w:val="28"/>
                <w:lang w:eastAsia="es-ES"/>
              </w:rPr>
              <w:t>partir del periodo gravable de 2023 y que se basan en el comportamiento del precio promedio internacional del petróleo durante los últimos 120 meses.</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Además, no vulnera los principios de igualdad y equidad tributaria debido a que los contribuyentes que s</w:t>
            </w:r>
            <w:r w:rsidRPr="00EE2FA1">
              <w:rPr>
                <w:rFonts w:ascii="Times New Roman" w:eastAsia="Calibri" w:hAnsi="Times New Roman" w:cs="Times New Roman"/>
                <w:bCs/>
                <w:sz w:val="28"/>
                <w:lang w:eastAsia="es-ES"/>
              </w:rPr>
              <w:t>e dedican a la explotación de petróleo no son comparables con otros grupos de contribuyentes. En el evento que los sujetos pasivos de la medida tributaria fuesen comparables, el desarrollo del juicio de proporcionalidad que haría la Corte se vería superado</w:t>
            </w:r>
            <w:r w:rsidRPr="00EE2FA1">
              <w:rPr>
                <w:rFonts w:ascii="Times New Roman" w:eastAsia="Calibri" w:hAnsi="Times New Roman" w:cs="Times New Roman"/>
                <w:bCs/>
                <w:sz w:val="28"/>
                <w:lang w:eastAsia="es-ES"/>
              </w:rPr>
              <w:t>, en razón a que la medida: i) persigue un fin constitucionalmente legítimo, como es el aumento del recaudo tributario en favor de mayores ingresos para el Estado, y ii) es idónea para lograr la consecución de recursos para la igualdad y la justicia social</w:t>
            </w:r>
            <w:r w:rsidRPr="00EE2FA1">
              <w:rPr>
                <w:rFonts w:ascii="Times New Roman" w:eastAsia="Calibri" w:hAnsi="Times New Roman" w:cs="Times New Roman"/>
                <w:bCs/>
                <w:sz w:val="28"/>
                <w:lang w:eastAsia="es-ES"/>
              </w:rPr>
              <w:t>.</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Por todo lo expuesto, las normas acusadas deben declararse constitucionales, en tanto que las medidas que tratan sobretarifas adicionales y la no deducción de regalías se encuentran justificadas. Esto, toda vez que buscan consolidar un sistema tributar</w:t>
            </w:r>
            <w:r w:rsidRPr="00EE2FA1">
              <w:rPr>
                <w:rFonts w:ascii="Times New Roman" w:eastAsia="Calibri" w:hAnsi="Times New Roman" w:cs="Times New Roman"/>
                <w:bCs/>
                <w:sz w:val="28"/>
                <w:lang w:eastAsia="es-ES"/>
              </w:rPr>
              <w:t xml:space="preserve">io más equitativo y tienen el objetivo de aumentar el recaudo tributario del </w:t>
            </w:r>
            <w:r w:rsidRPr="00EE2FA1">
              <w:rPr>
                <w:rFonts w:ascii="Times New Roman" w:eastAsia="Calibri" w:hAnsi="Times New Roman" w:cs="Times New Roman"/>
                <w:bCs/>
                <w:sz w:val="28"/>
                <w:lang w:eastAsia="es-ES"/>
              </w:rPr>
              <w:t xml:space="preserve">gobierno Nacional </w:t>
            </w:r>
            <w:r w:rsidRPr="00EE2FA1">
              <w:rPr>
                <w:rFonts w:ascii="Times New Roman" w:eastAsia="Calibri" w:hAnsi="Times New Roman" w:cs="Times New Roman"/>
                <w:bCs/>
                <w:sz w:val="28"/>
                <w:lang w:eastAsia="es-ES"/>
              </w:rPr>
              <w:t>para las políticas públicas de redistribución de la riqueza y la consecución de recursos para la igualdad y la justicia social.</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Dirección de Impuestos y Aduanas</w:t>
            </w:r>
            <w:r w:rsidRPr="00EE2FA1">
              <w:rPr>
                <w:rFonts w:ascii="Times New Roman" w:eastAsia="Calibri" w:hAnsi="Times New Roman" w:cs="Times New Roman"/>
                <w:bCs/>
                <w:sz w:val="28"/>
                <w:lang w:eastAsia="es-ES"/>
              </w:rPr>
              <w:t xml:space="preserve"> Nacionales (DIAN)</w:t>
            </w:r>
            <w:r w:rsidRPr="00EE2FA1">
              <w:rPr>
                <w:rStyle w:val="Refdenotaalpie"/>
                <w:rFonts w:ascii="Times New Roman" w:eastAsia="Calibri" w:hAnsi="Times New Roman" w:cs="Times New Roman"/>
                <w:bCs/>
                <w:sz w:val="28"/>
                <w:lang w:eastAsia="es-ES"/>
              </w:rPr>
              <w:footnoteReference w:id="25"/>
            </w:r>
          </w:p>
        </w:tc>
        <w:tc>
          <w:tcPr>
            <w:tcW w:w="3774" w:type="pct"/>
          </w:tcPr>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i/>
                <w:iCs/>
                <w:sz w:val="28"/>
                <w:lang w:eastAsia="es-ES"/>
              </w:rPr>
              <w:t>Exequible</w:t>
            </w:r>
            <w:r w:rsidRPr="00EE2FA1">
              <w:rPr>
                <w:rFonts w:ascii="Times New Roman" w:eastAsia="Calibri" w:hAnsi="Times New Roman" w:cs="Times New Roman"/>
                <w:sz w:val="28"/>
                <w:lang w:eastAsia="es-ES"/>
              </w:rPr>
              <w:t xml:space="preserve">. Expuso que el legislador no </w:t>
            </w:r>
            <w:r w:rsidRPr="00EE2FA1">
              <w:rPr>
                <w:rFonts w:ascii="Times New Roman" w:eastAsia="Calibri" w:hAnsi="Times New Roman" w:cs="Times New Roman"/>
                <w:sz w:val="28"/>
                <w:lang w:eastAsia="es-ES"/>
              </w:rPr>
              <w:t xml:space="preserve">determinó </w:t>
            </w:r>
            <w:r w:rsidRPr="00EE2FA1">
              <w:rPr>
                <w:rFonts w:ascii="Times New Roman" w:eastAsia="Calibri" w:hAnsi="Times New Roman" w:cs="Times New Roman"/>
                <w:sz w:val="28"/>
                <w:lang w:eastAsia="es-ES"/>
              </w:rPr>
              <w:t xml:space="preserve">la aplicación de la norma de manera retroactiva, sino que los puntos adicionales a la tarifa se </w:t>
            </w:r>
            <w:r w:rsidRPr="00EE2FA1">
              <w:rPr>
                <w:rFonts w:ascii="Times New Roman" w:eastAsia="Calibri" w:hAnsi="Times New Roman" w:cs="Times New Roman"/>
                <w:sz w:val="28"/>
                <w:lang w:eastAsia="es-ES"/>
              </w:rPr>
              <w:t xml:space="preserve">fijan </w:t>
            </w:r>
            <w:r w:rsidRPr="00EE2FA1">
              <w:rPr>
                <w:rFonts w:ascii="Times New Roman" w:eastAsia="Calibri" w:hAnsi="Times New Roman" w:cs="Times New Roman"/>
                <w:sz w:val="28"/>
                <w:lang w:eastAsia="es-ES"/>
              </w:rPr>
              <w:t xml:space="preserve">al final del periodo, lo que no se puede tomar como retroactividad de </w:t>
            </w:r>
            <w:r w:rsidRPr="00EE2FA1">
              <w:rPr>
                <w:rFonts w:ascii="Times New Roman" w:eastAsia="Calibri" w:hAnsi="Times New Roman" w:cs="Times New Roman"/>
                <w:sz w:val="28"/>
                <w:lang w:eastAsia="es-ES"/>
              </w:rPr>
              <w:t>aquella</w:t>
            </w:r>
            <w:r w:rsidRPr="00EE2FA1">
              <w:rPr>
                <w:rFonts w:ascii="Times New Roman" w:eastAsia="Calibri" w:hAnsi="Times New Roman" w:cs="Times New Roman"/>
                <w:sz w:val="28"/>
                <w:lang w:eastAsia="es-ES"/>
              </w:rPr>
              <w:t xml:space="preserve">. Precisó que </w:t>
            </w:r>
            <w:r w:rsidRPr="00EE2FA1">
              <w:rPr>
                <w:rFonts w:ascii="Times New Roman" w:eastAsia="Calibri" w:hAnsi="Times New Roman" w:cs="Times New Roman"/>
                <w:sz w:val="28"/>
                <w:lang w:eastAsia="es-ES"/>
              </w:rPr>
              <w:t xml:space="preserve">la ley </w:t>
            </w:r>
            <w:r w:rsidRPr="00EE2FA1">
              <w:rPr>
                <w:rFonts w:ascii="Times New Roman" w:eastAsia="Calibri" w:hAnsi="Times New Roman" w:cs="Times New Roman"/>
                <w:sz w:val="28"/>
                <w:lang w:eastAsia="es-ES"/>
              </w:rPr>
              <w:t>entró en vigor el 13 de septiembre de 2022, es decir aplica para los periodos gravable siguientes. Esto conlleva que los puntos adicionales a la tarifa solo puedan ser determinados hasta finalizar el periodo gravable, situación que ocu</w:t>
            </w:r>
            <w:r w:rsidRPr="00EE2FA1">
              <w:rPr>
                <w:rFonts w:ascii="Times New Roman" w:eastAsia="Calibri" w:hAnsi="Times New Roman" w:cs="Times New Roman"/>
                <w:sz w:val="28"/>
                <w:lang w:eastAsia="es-ES"/>
              </w:rPr>
              <w:t>rre en: (i) la tributación de las personas naturales y (ii) el tarifario impuesto sobre la renta para los usuarios industriales de zonas francas.</w:t>
            </w: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 xml:space="preserve">Explicó que la norma se constituyó de manera que no tenga alta volatilidad en la tarifa, toda vez que tiene </w:t>
            </w:r>
            <w:r w:rsidRPr="00EE2FA1">
              <w:rPr>
                <w:rFonts w:ascii="Times New Roman" w:eastAsia="Calibri" w:hAnsi="Times New Roman" w:cs="Times New Roman"/>
                <w:sz w:val="28"/>
                <w:lang w:eastAsia="es-ES"/>
              </w:rPr>
              <w:t>en cuenta los últimos 120 meses, por lo que el promedio no se afecta de manera considerable y hace posible el pago de la tarifa, junto con los puntos adicionales. Los referidos puntos no afectan situaciones jurídicas consolidadas en los términos de la juri</w:t>
            </w:r>
            <w:r w:rsidRPr="00EE2FA1">
              <w:rPr>
                <w:rFonts w:ascii="Times New Roman" w:eastAsia="Calibri" w:hAnsi="Times New Roman" w:cs="Times New Roman"/>
                <w:sz w:val="28"/>
                <w:lang w:eastAsia="es-ES"/>
              </w:rPr>
              <w:t>sprudencia constitucional.</w:t>
            </w: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Argumentó que la comparación de sujetos realizada en la demanda (los que tienen como actividad la explotación de petróleo y los demás contribuyentes) no resulta viable, en tanto, existe un trato diferente pero razonable, dada la</w:t>
            </w:r>
            <w:r w:rsidRPr="00EE2FA1">
              <w:rPr>
                <w:rFonts w:ascii="Times New Roman" w:eastAsia="Calibri" w:hAnsi="Times New Roman" w:cs="Times New Roman"/>
                <w:sz w:val="28"/>
                <w:lang w:eastAsia="es-ES"/>
              </w:rPr>
              <w:t xml:space="preserve"> capacidad contributiva, realidad económica y tributaria las cuales se reflejan de la siguiente manera: </w:t>
            </w:r>
          </w:p>
          <w:p w:rsidR="006B68D6"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noProof/>
                <w:sz w:val="28"/>
              </w:rPr>
              <w:drawing>
                <wp:inline distT="0" distB="0" distL="0" distR="0" wp14:anchorId="59356125" wp14:editId="6FDCB562">
                  <wp:extent cx="4182917" cy="1816924"/>
                  <wp:effectExtent l="0" t="0" r="8255" b="0"/>
                  <wp:docPr id="5" name="Imagen 1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56957" name="Imagen 1" descr="Tabla&#10;&#10;Descripción generada automáticamente"/>
                          <pic:cNvPicPr/>
                        </pic:nvPicPr>
                        <pic:blipFill>
                          <a:blip r:embed="rId11"/>
                          <a:stretch>
                            <a:fillRect/>
                          </a:stretch>
                        </pic:blipFill>
                        <pic:spPr>
                          <a:xfrm>
                            <a:off x="0" y="0"/>
                            <a:ext cx="4204350" cy="1826234"/>
                          </a:xfrm>
                          <a:prstGeom prst="rect">
                            <a:avLst/>
                          </a:prstGeom>
                        </pic:spPr>
                      </pic:pic>
                    </a:graphicData>
                  </a:graphic>
                </wp:inline>
              </w:drawing>
            </w: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Así las cosas, las referidas diferencias justifican un tratamiento tributario diferenciado por el legislador para establecer los puntos adicionales</w:t>
            </w:r>
            <w:r w:rsidRPr="00EE2FA1">
              <w:rPr>
                <w:rFonts w:ascii="Times New Roman" w:eastAsia="Calibri" w:hAnsi="Times New Roman" w:cs="Times New Roman"/>
                <w:sz w:val="28"/>
                <w:lang w:eastAsia="es-ES"/>
              </w:rPr>
              <w:t xml:space="preserve"> a la tarifa en el impuesto de renta, medida que no es inequitativa, arbitraria, discriminatoria y que no vulnera principios de igualdad o equidad tributaria puesto que, de acuerdo con la tarifa efectiva de tributación y los tratamientos preferenciales, ti</w:t>
            </w:r>
            <w:r w:rsidRPr="00EE2FA1">
              <w:rPr>
                <w:rFonts w:ascii="Times New Roman" w:eastAsia="Calibri" w:hAnsi="Times New Roman" w:cs="Times New Roman"/>
                <w:sz w:val="28"/>
                <w:lang w:eastAsia="es-ES"/>
              </w:rPr>
              <w:t xml:space="preserve">enen una capacidad contributiva mayor que los demás sectores de la economía. Por tal motivo, la norma no satisface los presupuestos previstos en la jurisprudencia para adelantar un juicio integrado de igualdad, en cuanto no se trata de sujetos comparables </w:t>
            </w:r>
            <w:r w:rsidRPr="00EE2FA1">
              <w:rPr>
                <w:rFonts w:ascii="Times New Roman" w:eastAsia="Calibri" w:hAnsi="Times New Roman" w:cs="Times New Roman"/>
                <w:sz w:val="28"/>
                <w:lang w:eastAsia="es-ES"/>
              </w:rPr>
              <w:t xml:space="preserve">teniendo en cuenta las diferencias existentes.  </w:t>
            </w: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 xml:space="preserve">En consecuencia, la Corte Constitucional debería declarar la norma demandada constitucional sin realizar el juicio de proporcionalidad. Añadió que, si en gracia de discusión los sujetos fueran comparables, </w:t>
            </w:r>
            <w:r w:rsidRPr="00EE2FA1">
              <w:rPr>
                <w:rFonts w:ascii="Times New Roman" w:eastAsia="Calibri" w:hAnsi="Times New Roman" w:cs="Times New Roman"/>
                <w:sz w:val="28"/>
                <w:lang w:eastAsia="es-ES"/>
              </w:rPr>
              <w:t>el desarrollo del juicio debe ser leve y se supera porque la medida: i) persigue un fin constitucionalmente permitido y ii) es idónea para lograr un mayor recaudo para la igualdad y la justicia social.</w:t>
            </w: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p>
          <w:p w:rsidR="00753564" w:rsidRPr="00EE2FA1" w:rsidRDefault="00EE2FA1" w:rsidP="00F25702">
            <w:pPr>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Por último, refirió que las medidas adoptadas se encu</w:t>
            </w:r>
            <w:r w:rsidRPr="00EE2FA1">
              <w:rPr>
                <w:rFonts w:ascii="Times New Roman" w:eastAsia="Calibri" w:hAnsi="Times New Roman" w:cs="Times New Roman"/>
                <w:sz w:val="28"/>
                <w:lang w:eastAsia="es-ES"/>
              </w:rPr>
              <w:t>entran dentro del margen discrecional que tiene el legislador para configurar el sistema tributario y que estas medidas no violan la Carta, siempre que no sean irrazonables y se justifiquen en la persecución de otros objetivos tributarios o económicos cons</w:t>
            </w:r>
            <w:r w:rsidRPr="00EE2FA1">
              <w:rPr>
                <w:rFonts w:ascii="Times New Roman" w:eastAsia="Calibri" w:hAnsi="Times New Roman" w:cs="Times New Roman"/>
                <w:sz w:val="28"/>
                <w:lang w:eastAsia="es-ES"/>
              </w:rPr>
              <w:t>titucionalmente relevantes. Lo contrario implicaría desconocer el carácter dinámico del sistema tributario</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Ministerio de Hacienda y Crédito Público</w:t>
            </w:r>
            <w:r w:rsidRPr="00EE2FA1">
              <w:rPr>
                <w:rStyle w:val="Refdenotaalpie"/>
                <w:rFonts w:ascii="Times New Roman" w:eastAsia="Calibri" w:hAnsi="Times New Roman" w:cs="Times New Roman"/>
                <w:bCs/>
                <w:sz w:val="28"/>
                <w:lang w:eastAsia="es-ES"/>
              </w:rPr>
              <w:footnoteReference w:id="26"/>
            </w:r>
          </w:p>
        </w:tc>
        <w:tc>
          <w:tcPr>
            <w:tcW w:w="3774"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Exequible</w:t>
            </w:r>
            <w:r w:rsidRPr="00EE2FA1">
              <w:rPr>
                <w:rFonts w:ascii="Times New Roman" w:eastAsia="Calibri" w:hAnsi="Times New Roman" w:cs="Times New Roman"/>
                <w:bCs/>
                <w:sz w:val="28"/>
                <w:lang w:eastAsia="es-ES"/>
              </w:rPr>
              <w:t xml:space="preserve">. El ministerio abordó los siguientes puntos para sustentar la exequibilidad de la norma acusada </w:t>
            </w:r>
            <w:r w:rsidRPr="00EE2FA1">
              <w:rPr>
                <w:rFonts w:ascii="Times New Roman" w:eastAsia="Calibri" w:hAnsi="Times New Roman" w:cs="Times New Roman"/>
                <w:bCs/>
                <w:sz w:val="28"/>
                <w:lang w:eastAsia="es-ES"/>
              </w:rPr>
              <w:t xml:space="preserve">y que se exponen a continuación: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r w:rsidRPr="00EE2FA1">
              <w:rPr>
                <w:rFonts w:ascii="Times New Roman" w:eastAsia="Calibri" w:hAnsi="Times New Roman" w:cs="Times New Roman"/>
                <w:b/>
                <w:sz w:val="28"/>
                <w:lang w:eastAsia="es-ES"/>
              </w:rPr>
              <w:t>La sobretasa de renta para el sector de extracción de petróleo no es retroactiva</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Refirió que, conforme el artículo 338 en armonía con el 363 de la Carta, las normas que regulen impuestos de período no pueden aplicarse </w:t>
            </w:r>
            <w:r w:rsidRPr="00EE2FA1">
              <w:rPr>
                <w:rFonts w:ascii="Times New Roman" w:eastAsia="Calibri" w:hAnsi="Times New Roman" w:cs="Times New Roman"/>
                <w:bCs/>
                <w:sz w:val="28"/>
                <w:lang w:eastAsia="es-ES"/>
              </w:rPr>
              <w:t>sino a partir del período que comience después de iniciar la vigencia de la respectiva ley. Sin embargo, en el presente caso, no hay lugar a plantear una discusión sobre la vulneración al principio de irretroactividad, pues la norma comenzó a regir a parti</w:t>
            </w:r>
            <w:r w:rsidRPr="00EE2FA1">
              <w:rPr>
                <w:rFonts w:ascii="Times New Roman" w:eastAsia="Calibri" w:hAnsi="Times New Roman" w:cs="Times New Roman"/>
                <w:bCs/>
                <w:sz w:val="28"/>
                <w:lang w:eastAsia="es-ES"/>
              </w:rPr>
              <w:t>r del año gravable 2023 y no se trata de una disposición que resulte aplicable a hechos ocurridos antes de su entrada en vigor. En la misma línea,</w:t>
            </w:r>
            <w:r w:rsidRPr="00EE2FA1">
              <w:rPr>
                <w:rFonts w:ascii="Times New Roman" w:hAnsi="Times New Roman" w:cs="Times New Roman"/>
                <w:sz w:val="28"/>
              </w:rPr>
              <w:t xml:space="preserve"> </w:t>
            </w:r>
            <w:r w:rsidRPr="00EE2FA1">
              <w:rPr>
                <w:rFonts w:ascii="Times New Roman" w:eastAsia="Calibri" w:hAnsi="Times New Roman" w:cs="Times New Roman"/>
                <w:bCs/>
                <w:sz w:val="28"/>
                <w:lang w:eastAsia="es-ES"/>
              </w:rPr>
              <w:t>la tarifa no se define en enero del año siguiente para ser aplicada al año anterior, la tarifa y las condicio</w:t>
            </w:r>
            <w:r w:rsidRPr="00EE2FA1">
              <w:rPr>
                <w:rFonts w:ascii="Times New Roman" w:eastAsia="Calibri" w:hAnsi="Times New Roman" w:cs="Times New Roman"/>
                <w:bCs/>
                <w:sz w:val="28"/>
                <w:lang w:eastAsia="es-ES"/>
              </w:rPr>
              <w:t>nes de su aplicación se encuentran preestablecidas en la ley, y su aplicación se da respecto de los hechos ocurridos en el período gravable respectivo. Por lo que el único acto de la autoridad administrativa en el mes de enero corresponde a realizar la pub</w:t>
            </w:r>
            <w:r w:rsidRPr="00EE2FA1">
              <w:rPr>
                <w:rFonts w:ascii="Times New Roman" w:eastAsia="Calibri" w:hAnsi="Times New Roman" w:cs="Times New Roman"/>
                <w:bCs/>
                <w:sz w:val="28"/>
                <w:lang w:eastAsia="es-ES"/>
              </w:rPr>
              <w:t>licación de aspectos técnicos o a variables asociadas a los elementos del tributo que, debido a su dinámica, requieren una actualización periódica derivada de la variación de los precios internacionales del petróleo.</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r w:rsidRPr="00EE2FA1">
              <w:rPr>
                <w:rFonts w:ascii="Times New Roman" w:eastAsia="Calibri" w:hAnsi="Times New Roman" w:cs="Times New Roman"/>
                <w:b/>
                <w:sz w:val="28"/>
                <w:lang w:eastAsia="es-ES"/>
              </w:rPr>
              <w:t xml:space="preserve">La norma cumple los principios de </w:t>
            </w:r>
            <w:r w:rsidRPr="00EE2FA1">
              <w:rPr>
                <w:rFonts w:ascii="Times New Roman" w:eastAsia="Calibri" w:hAnsi="Times New Roman" w:cs="Times New Roman"/>
                <w:b/>
                <w:sz w:val="28"/>
                <w:lang w:eastAsia="es-ES"/>
              </w:rPr>
              <w:t>justicia, igualdad y equidad en materia tributaria</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Manifestó que el legislador cuenta con amplio margen de configuración en materia tributaria, esto conforme al artículo 334 de la Constitución y a la jurisprudencia de la Corte Constitucional, lo cual le p</w:t>
            </w:r>
            <w:r w:rsidRPr="00EE2FA1">
              <w:rPr>
                <w:rFonts w:ascii="Times New Roman" w:eastAsia="Calibri" w:hAnsi="Times New Roman" w:cs="Times New Roman"/>
                <w:bCs/>
                <w:sz w:val="28"/>
                <w:lang w:eastAsia="es-ES"/>
              </w:rPr>
              <w:t>ermite (i) definir los fines de la política tributaria; (ii) crear, modificar, aumentar, disminuir y suprimir tributos; (iii) determinar los elementos esenciales de los tributos; (iv) definir los beneficios tributarios, como deducciones, exenciones o descu</w:t>
            </w:r>
            <w:r w:rsidRPr="00EE2FA1">
              <w:rPr>
                <w:rFonts w:ascii="Times New Roman" w:eastAsia="Calibri" w:hAnsi="Times New Roman" w:cs="Times New Roman"/>
                <w:bCs/>
                <w:sz w:val="28"/>
                <w:lang w:eastAsia="es-ES"/>
              </w:rPr>
              <w:t>entos y, por último, (v) fijar la fecha a partir de la cual se iniciará su cobro, así como la forma de recaudo y las condiciones en que ello se llevará a cabo. Al margen de lo anterior, la libre configuración está limitada por los principios de equidad, ef</w:t>
            </w:r>
            <w:r w:rsidRPr="00EE2FA1">
              <w:rPr>
                <w:rFonts w:ascii="Times New Roman" w:eastAsia="Calibri" w:hAnsi="Times New Roman" w:cs="Times New Roman"/>
                <w:bCs/>
                <w:sz w:val="28"/>
                <w:lang w:eastAsia="es-ES"/>
              </w:rPr>
              <w:t>iciencia y progresividad establecidos en el artículo 363 superior.</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Indicó que la norma sí considera la capacidad contributiva de los obligados al pago de la sobretasa, pues solo grava a las empresas extractoras de petróleo</w:t>
            </w:r>
            <w:r w:rsidRPr="00EE2FA1">
              <w:rPr>
                <w:rFonts w:ascii="Times New Roman" w:eastAsia="Calibri" w:hAnsi="Times New Roman" w:cs="Times New Roman"/>
                <w:bCs/>
                <w:sz w:val="28"/>
                <w:lang w:eastAsia="es-ES"/>
              </w:rPr>
              <w:t>,</w:t>
            </w:r>
            <w:r w:rsidRPr="00EE2FA1">
              <w:rPr>
                <w:rFonts w:ascii="Times New Roman" w:eastAsia="Calibri" w:hAnsi="Times New Roman" w:cs="Times New Roman"/>
                <w:bCs/>
                <w:sz w:val="28"/>
                <w:lang w:eastAsia="es-ES"/>
              </w:rPr>
              <w:t xml:space="preserve"> en la medida en que estas tienen</w:t>
            </w:r>
            <w:r w:rsidRPr="00EE2FA1">
              <w:rPr>
                <w:rFonts w:ascii="Times New Roman" w:eastAsia="Calibri" w:hAnsi="Times New Roman" w:cs="Times New Roman"/>
                <w:bCs/>
                <w:sz w:val="28"/>
                <w:lang w:eastAsia="es-ES"/>
              </w:rPr>
              <w:t xml:space="preserve"> una mayor capacidad de pago que otras empresas, atendiendo a la bonanza derivada de los altos precios de sus productos, lo cual aumenta su capacidad contributiva.</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Destacó que las tasas efectivas de tributación (TET) del sector minero-energético reportan </w:t>
            </w:r>
            <w:r w:rsidRPr="00EE2FA1">
              <w:rPr>
                <w:rFonts w:ascii="Times New Roman" w:eastAsia="Calibri" w:hAnsi="Times New Roman" w:cs="Times New Roman"/>
                <w:bCs/>
                <w:sz w:val="28"/>
                <w:lang w:eastAsia="es-ES"/>
              </w:rPr>
              <w:t xml:space="preserve">niveles inferiores a la tarifa nominal y con una perspectiva histórica que evidencia una tasa efectiva proyectada para 2022 inferior a la registrada en periodos anteriores, como se observa: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noProof/>
                <w:sz w:val="28"/>
              </w:rPr>
              <w:drawing>
                <wp:inline distT="0" distB="0" distL="0" distR="0" wp14:anchorId="012774DB" wp14:editId="61BA9999">
                  <wp:extent cx="3276600" cy="1786834"/>
                  <wp:effectExtent l="0" t="0" r="0" b="4445"/>
                  <wp:docPr id="6" name="Imagen 20"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81236" name="Imagen 1" descr="Gráfico&#10;&#10;Descripción generada automáticamente con confianza media"/>
                          <pic:cNvPicPr/>
                        </pic:nvPicPr>
                        <pic:blipFill>
                          <a:blip r:embed="rId12"/>
                          <a:stretch>
                            <a:fillRect/>
                          </a:stretch>
                        </pic:blipFill>
                        <pic:spPr>
                          <a:xfrm>
                            <a:off x="0" y="0"/>
                            <a:ext cx="3307896" cy="1803901"/>
                          </a:xfrm>
                          <a:prstGeom prst="rect">
                            <a:avLst/>
                          </a:prstGeom>
                        </pic:spPr>
                      </pic:pic>
                    </a:graphicData>
                  </a:graphic>
                </wp:inline>
              </w:drawing>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Explicó que no existe una afectación al principio de igualdad</w:t>
            </w:r>
            <w:r w:rsidRPr="00EE2FA1">
              <w:rPr>
                <w:rFonts w:ascii="Times New Roman" w:eastAsia="Calibri" w:hAnsi="Times New Roman" w:cs="Times New Roman"/>
                <w:bCs/>
                <w:sz w:val="28"/>
                <w:lang w:eastAsia="es-ES"/>
              </w:rPr>
              <w:t>, pues al identificar el criterio de comparación, los sujetos y situaciones no son comparables desde la perspectiva fáctica y jurídica. Analizado el punto de la capacidad contributiva, las empresas que extraen petróleo crudo y las demás empresas no son suj</w:t>
            </w:r>
            <w:r w:rsidRPr="00EE2FA1">
              <w:rPr>
                <w:rFonts w:ascii="Times New Roman" w:eastAsia="Calibri" w:hAnsi="Times New Roman" w:cs="Times New Roman"/>
                <w:bCs/>
                <w:sz w:val="28"/>
                <w:lang w:eastAsia="es-ES"/>
              </w:rPr>
              <w:t>etos comparables. Lo anterior, impide la necesidad de continuar adelantando el juicio integrado de igualdad para definir si hubo un tratamiento inequitativo cuando se estableció la sobretasa y, a partir de allí, adelantar el análisis de proporcionalidad. L</w:t>
            </w:r>
            <w:r w:rsidRPr="00EE2FA1">
              <w:rPr>
                <w:rFonts w:ascii="Times New Roman" w:eastAsia="Calibri" w:hAnsi="Times New Roman" w:cs="Times New Roman"/>
                <w:bCs/>
                <w:sz w:val="28"/>
                <w:lang w:eastAsia="es-ES"/>
              </w:rPr>
              <w:t>a norma acusada persigue un fin constitucional válido, pues busca, por un lado, y junto con las demás medidas incorporadas por la Ley 2277 de 2022, contribuir al incremento del recaudo fiscal para financiar el gasto público y, por otro, contribuir a la mat</w:t>
            </w:r>
            <w:r w:rsidRPr="00EE2FA1">
              <w:rPr>
                <w:rFonts w:ascii="Times New Roman" w:eastAsia="Calibri" w:hAnsi="Times New Roman" w:cs="Times New Roman"/>
                <w:bCs/>
                <w:sz w:val="28"/>
                <w:lang w:eastAsia="es-ES"/>
              </w:rPr>
              <w:t>erialización del derecho a gozar de un ambiente sano.</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Ministerio de Minas y Energía</w:t>
            </w:r>
            <w:r w:rsidRPr="00EE2FA1">
              <w:rPr>
                <w:rStyle w:val="Refdenotaalpie"/>
                <w:rFonts w:ascii="Times New Roman" w:eastAsia="Calibri" w:hAnsi="Times New Roman" w:cs="Times New Roman"/>
                <w:bCs/>
                <w:sz w:val="28"/>
                <w:lang w:eastAsia="es-ES"/>
              </w:rPr>
              <w:footnoteReference w:id="27"/>
            </w:r>
            <w:r w:rsidRPr="00EE2FA1">
              <w:rPr>
                <w:rFonts w:ascii="Times New Roman" w:eastAsia="Calibri" w:hAnsi="Times New Roman" w:cs="Times New Roman"/>
                <w:bCs/>
                <w:sz w:val="28"/>
                <w:lang w:eastAsia="es-ES"/>
              </w:rPr>
              <w:t xml:space="preserve"> </w:t>
            </w:r>
          </w:p>
        </w:tc>
        <w:tc>
          <w:tcPr>
            <w:tcW w:w="3774" w:type="pct"/>
          </w:tcPr>
          <w:p w:rsidR="00753564" w:rsidRPr="00EE2FA1" w:rsidRDefault="00EE2FA1" w:rsidP="00F25702">
            <w:pPr>
              <w:tabs>
                <w:tab w:val="left" w:pos="426"/>
              </w:tabs>
              <w:spacing w:line="0" w:lineRule="atLeast"/>
              <w:jc w:val="both"/>
              <w:rPr>
                <w:rFonts w:ascii="Times New Roman" w:hAnsi="Times New Roman" w:cs="Times New Roman"/>
                <w:sz w:val="28"/>
              </w:rPr>
            </w:pPr>
            <w:r w:rsidRPr="00EE2FA1">
              <w:rPr>
                <w:rFonts w:ascii="Times New Roman" w:hAnsi="Times New Roman" w:cs="Times New Roman"/>
                <w:i/>
                <w:iCs/>
                <w:sz w:val="28"/>
              </w:rPr>
              <w:t>Exequible</w:t>
            </w:r>
            <w:r w:rsidRPr="00EE2FA1">
              <w:rPr>
                <w:rFonts w:ascii="Times New Roman" w:hAnsi="Times New Roman" w:cs="Times New Roman"/>
                <w:sz w:val="28"/>
              </w:rPr>
              <w:t>. Expresó que la medida adoptada en la norma acusada persigue un fin legítimo y proporcional con miras a garantizar la justicia tributaria y obtener más recurso</w:t>
            </w:r>
            <w:r w:rsidRPr="00EE2FA1">
              <w:rPr>
                <w:rFonts w:ascii="Times New Roman" w:hAnsi="Times New Roman" w:cs="Times New Roman"/>
                <w:sz w:val="28"/>
              </w:rPr>
              <w:t xml:space="preserve">s y dar cumplimiento a los fines del Estado. Agregó que conforme al artículo 338 constitucional el Congreso de la República puede imponer tributos, determinar los sujetos activos y pasivos, los hechos y las bases gravables, y las tarifas de los impuestos. </w:t>
            </w:r>
            <w:r w:rsidRPr="00EE2FA1">
              <w:rPr>
                <w:rFonts w:ascii="Times New Roman" w:hAnsi="Times New Roman" w:cs="Times New Roman"/>
                <w:sz w:val="28"/>
              </w:rPr>
              <w:t>La aplicación de los preceptos tributarios solo puede hacerse efectiva a partir del periodo que comience después de entrar en vigor la norma. Indicó que lo expresado se encuentra en armonía con la respuesta que el Ministerio de Hacienda y Crédito Público b</w:t>
            </w:r>
            <w:r w:rsidRPr="00EE2FA1">
              <w:rPr>
                <w:rFonts w:ascii="Times New Roman" w:hAnsi="Times New Roman" w:cs="Times New Roman"/>
                <w:sz w:val="28"/>
              </w:rPr>
              <w:t>rindó a la Corte.</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sz w:val="28"/>
                <w:lang w:eastAsia="es-ES"/>
              </w:rPr>
              <w:t>Paola Andrea Mesa Galindo</w:t>
            </w:r>
            <w:r w:rsidRPr="00EE2FA1">
              <w:rPr>
                <w:rStyle w:val="Refdenotaalpie"/>
                <w:rFonts w:ascii="Times New Roman" w:eastAsia="Calibri" w:hAnsi="Times New Roman" w:cs="Times New Roman"/>
                <w:sz w:val="28"/>
                <w:lang w:eastAsia="es-ES"/>
              </w:rPr>
              <w:footnoteReference w:id="28"/>
            </w:r>
          </w:p>
        </w:tc>
        <w:tc>
          <w:tcPr>
            <w:tcW w:w="3774" w:type="pct"/>
          </w:tcPr>
          <w:p w:rsidR="00753564" w:rsidRPr="00EE2FA1" w:rsidRDefault="00EE2FA1" w:rsidP="00F25702">
            <w:pPr>
              <w:tabs>
                <w:tab w:val="left" w:pos="426"/>
              </w:tabs>
              <w:spacing w:line="0" w:lineRule="atLeast"/>
              <w:jc w:val="both"/>
              <w:rPr>
                <w:rFonts w:ascii="Times New Roman" w:eastAsia="Calibri" w:hAnsi="Times New Roman" w:cs="Times New Roman"/>
                <w:bCs/>
                <w:sz w:val="28"/>
                <w:lang w:eastAsia="es-ES"/>
              </w:rPr>
            </w:pPr>
            <w:r w:rsidRPr="00EE2FA1">
              <w:rPr>
                <w:rFonts w:ascii="Times New Roman" w:hAnsi="Times New Roman" w:cs="Times New Roman"/>
                <w:i/>
                <w:iCs/>
                <w:sz w:val="28"/>
                <w:lang w:val="es"/>
              </w:rPr>
              <w:t>Inexequible</w:t>
            </w:r>
            <w:r w:rsidRPr="00EE2FA1">
              <w:rPr>
                <w:rFonts w:ascii="Times New Roman" w:hAnsi="Times New Roman" w:cs="Times New Roman"/>
                <w:sz w:val="28"/>
                <w:lang w:val="es"/>
              </w:rPr>
              <w:t>. Manifestó que el parágrafo 3.° del artículo 10.° de la Ley 2277 de 2022 debe ser declarado inexequible. Expuso que conforme a lo manifestado por la cartera de Hacienda y la DIAN en el presente trám</w:t>
            </w:r>
            <w:r w:rsidRPr="00EE2FA1">
              <w:rPr>
                <w:rFonts w:ascii="Times New Roman" w:hAnsi="Times New Roman" w:cs="Times New Roman"/>
                <w:sz w:val="28"/>
                <w:lang w:val="es"/>
              </w:rPr>
              <w:t>ite, la norma acusada vulnera el principio de irretroactividad de la ley que va atado con el principio de certeza tributaria. Lo anterior, porque la norma impone una carga de tributación sin que los sujetos pasivos tengan conocimiento pleno de las implicac</w:t>
            </w:r>
            <w:r w:rsidRPr="00EE2FA1">
              <w:rPr>
                <w:rFonts w:ascii="Times New Roman" w:hAnsi="Times New Roman" w:cs="Times New Roman"/>
                <w:sz w:val="28"/>
                <w:lang w:val="es"/>
              </w:rPr>
              <w:t>iones que dicho gravamen implica. Es decir, que todos los elementos de la obligación tributaria deben ser conocidos por el sujeto pasivo del tributo antes que la obligación tenga lugar. Expuso que los contribuyentes quedan sometidos a la incertidumbre en t</w:t>
            </w:r>
            <w:r w:rsidRPr="00EE2FA1">
              <w:rPr>
                <w:rFonts w:ascii="Times New Roman" w:hAnsi="Times New Roman" w:cs="Times New Roman"/>
                <w:sz w:val="28"/>
                <w:lang w:val="es"/>
              </w:rPr>
              <w:t>orno a si deben o no liquidar la sobretasa y bajo qué tarifa, situación que solo puede ser superada hasta el mes de enero siguiente al año gravable, esto es, concluido el periodo gravable y surgida la obligación tributaria, por lo cual la norma resulta ret</w:t>
            </w:r>
            <w:r w:rsidRPr="00EE2FA1">
              <w:rPr>
                <w:rFonts w:ascii="Times New Roman" w:hAnsi="Times New Roman" w:cs="Times New Roman"/>
                <w:sz w:val="28"/>
                <w:lang w:val="es"/>
              </w:rPr>
              <w:t>roactiva.</w:t>
            </w:r>
          </w:p>
        </w:tc>
      </w:tr>
      <w:tr w:rsidR="008F41DE"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sz w:val="28"/>
                <w:lang w:eastAsia="es-ES"/>
              </w:rPr>
            </w:pPr>
            <w:r w:rsidRPr="00EE2FA1">
              <w:rPr>
                <w:rFonts w:ascii="Times New Roman" w:eastAsia="Calibri" w:hAnsi="Times New Roman" w:cs="Times New Roman"/>
                <w:bCs/>
                <w:sz w:val="28"/>
                <w:lang w:eastAsia="es-ES"/>
              </w:rPr>
              <w:t>María Catalina Plazas Molina</w:t>
            </w:r>
            <w:r w:rsidRPr="00EE2FA1">
              <w:rPr>
                <w:rStyle w:val="Refdenotaalpie"/>
                <w:rFonts w:ascii="Times New Roman" w:eastAsia="Calibri" w:hAnsi="Times New Roman" w:cs="Times New Roman"/>
                <w:bCs/>
                <w:sz w:val="28"/>
                <w:lang w:eastAsia="es-ES"/>
              </w:rPr>
              <w:footnoteReference w:id="29"/>
            </w:r>
          </w:p>
        </w:tc>
        <w:tc>
          <w:tcPr>
            <w:tcW w:w="3774"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i/>
                <w:iCs/>
                <w:sz w:val="28"/>
                <w:lang w:eastAsia="es-ES"/>
              </w:rPr>
              <w:t xml:space="preserve">Inexequible. </w:t>
            </w:r>
            <w:r w:rsidRPr="00EE2FA1">
              <w:rPr>
                <w:rFonts w:ascii="Times New Roman" w:eastAsia="Calibri" w:hAnsi="Times New Roman" w:cs="Times New Roman"/>
                <w:bCs/>
                <w:sz w:val="28"/>
                <w:lang w:eastAsia="es-ES"/>
              </w:rPr>
              <w:t>Indicó que la disposición acusada es inexequible en tanto vulnera los principios de justicia, equidad e igualdad tributaria. Argumentó que la medida adoptada en la sobretasa no tiene en cuenta la capacidad contributiva del sujeto pasivo, pues aplica para a</w:t>
            </w:r>
            <w:r w:rsidRPr="00EE2FA1">
              <w:rPr>
                <w:rFonts w:ascii="Times New Roman" w:eastAsia="Calibri" w:hAnsi="Times New Roman" w:cs="Times New Roman"/>
                <w:bCs/>
                <w:sz w:val="28"/>
                <w:lang w:eastAsia="es-ES"/>
              </w:rPr>
              <w:t>quellos contribuyentes que realicen la actividad de extracción de petróleo crudo y que obtengan una renta líquida superior a 50.000 UVT. Los contribuyentes que cumplan con los referidos requisitos deben cubrir una sobretasa calculada en 0 %, 5 %, 10 % o 15</w:t>
            </w:r>
            <w:r w:rsidRPr="00EE2FA1">
              <w:rPr>
                <w:rFonts w:ascii="Times New Roman" w:eastAsia="Calibri" w:hAnsi="Times New Roman" w:cs="Times New Roman"/>
                <w:bCs/>
                <w:sz w:val="28"/>
                <w:lang w:eastAsia="es-ES"/>
              </w:rPr>
              <w:t xml:space="preserve"> %, lo cual depende del precio internacional del petróleo Brent, información que no es de manejo de los contribuyentes y escapa a su voluntad. Además, ello no evidencia una capacidad contributiva mayor de los sujetos pasivos, tornándose un trato inequitati</w:t>
            </w:r>
            <w:r w:rsidRPr="00EE2FA1">
              <w:rPr>
                <w:rFonts w:ascii="Times New Roman" w:eastAsia="Calibri" w:hAnsi="Times New Roman" w:cs="Times New Roman"/>
                <w:bCs/>
                <w:sz w:val="28"/>
                <w:lang w:eastAsia="es-ES"/>
              </w:rPr>
              <w:t xml:space="preserve">vo e injustificado. </w:t>
            </w:r>
          </w:p>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p>
          <w:p w:rsidR="00753564" w:rsidRPr="00EE2FA1" w:rsidRDefault="00EE2FA1" w:rsidP="00F25702">
            <w:pPr>
              <w:pStyle w:val="Prrafodelista"/>
              <w:tabs>
                <w:tab w:val="left" w:pos="426"/>
              </w:tabs>
              <w:spacing w:line="0" w:lineRule="atLeast"/>
              <w:ind w:left="0"/>
              <w:jc w:val="both"/>
              <w:rPr>
                <w:rFonts w:ascii="Times New Roman" w:hAnsi="Times New Roman" w:cs="Times New Roman"/>
                <w:sz w:val="28"/>
              </w:rPr>
            </w:pPr>
            <w:r w:rsidRPr="00EE2FA1">
              <w:rPr>
                <w:rFonts w:ascii="Times New Roman" w:eastAsia="Calibri" w:hAnsi="Times New Roman" w:cs="Times New Roman"/>
                <w:bCs/>
                <w:sz w:val="28"/>
                <w:lang w:eastAsia="es-ES"/>
              </w:rPr>
              <w:t>Además, expuso que según la jurisprudencia constitucional las sobretasas son medidas excepcionales no deseables, cuya constitucionalidad depende de su conducencia  para alcanzar los fines para los cuales hayan sido creadas, así como de la razonabilidad, pr</w:t>
            </w:r>
            <w:r w:rsidRPr="00EE2FA1">
              <w:rPr>
                <w:rFonts w:ascii="Times New Roman" w:eastAsia="Calibri" w:hAnsi="Times New Roman" w:cs="Times New Roman"/>
                <w:bCs/>
                <w:sz w:val="28"/>
                <w:lang w:eastAsia="es-ES"/>
              </w:rPr>
              <w:t xml:space="preserve">oporcionalidad y excepcionalidad del trato diferencial. Por ejemplo, la Sentencia C-507 de 2021 aceptó dicha medida excepcional, por considerar que se estructuró con observancia de la capacidad contributiva de los sujetos pasivos y que tenía por finalidad </w:t>
            </w:r>
            <w:r w:rsidRPr="00EE2FA1">
              <w:rPr>
                <w:rFonts w:ascii="Times New Roman" w:eastAsia="Calibri" w:hAnsi="Times New Roman" w:cs="Times New Roman"/>
                <w:bCs/>
                <w:sz w:val="28"/>
                <w:lang w:eastAsia="es-ES"/>
              </w:rPr>
              <w:t>lograr la igualdad material a través de la regulación de la carga efectiva de tributación de las entidades financieras. En la misma línea, la sobretasa impuesta está exclusivamente definida por un hecho ajeno a los resultados económicos individuales de los</w:t>
            </w:r>
            <w:r w:rsidRPr="00EE2FA1">
              <w:rPr>
                <w:rFonts w:ascii="Times New Roman" w:eastAsia="Calibri" w:hAnsi="Times New Roman" w:cs="Times New Roman"/>
                <w:bCs/>
                <w:sz w:val="28"/>
                <w:lang w:eastAsia="es-ES"/>
              </w:rPr>
              <w:t xml:space="preserve"> sujetos pasivos, esto es, sin consultar su realidad financiera y capacidad contributiva. Lo anterior, pues el único referente es el precio promedio del petróleo. Sumado a ello, dicha medida es permanente y totalmente desproporcionada, la cual se activa po</w:t>
            </w:r>
            <w:r w:rsidRPr="00EE2FA1">
              <w:rPr>
                <w:rFonts w:ascii="Times New Roman" w:eastAsia="Calibri" w:hAnsi="Times New Roman" w:cs="Times New Roman"/>
                <w:bCs/>
                <w:sz w:val="28"/>
                <w:lang w:eastAsia="es-ES"/>
              </w:rPr>
              <w:t xml:space="preserve">r los precios del petróleo y no grava la utilidad extraordinaria obtenida fruto de la operación, sino toda la renta líquida obtenida por cualquier origen. </w:t>
            </w:r>
          </w:p>
        </w:tc>
      </w:tr>
      <w:tr w:rsidR="00273AAF" w:rsidRPr="00EE2FA1" w:rsidTr="00A50B19">
        <w:tc>
          <w:tcPr>
            <w:tcW w:w="1226"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Facultad de Economía de la Universidad de los Andes</w:t>
            </w:r>
            <w:r w:rsidRPr="00EE2FA1">
              <w:rPr>
                <w:rStyle w:val="Refdenotaalpie"/>
                <w:rFonts w:ascii="Times New Roman" w:eastAsia="Calibri" w:hAnsi="Times New Roman" w:cs="Times New Roman"/>
                <w:bCs/>
                <w:sz w:val="28"/>
                <w:lang w:eastAsia="es-ES"/>
              </w:rPr>
              <w:footnoteReference w:id="30"/>
            </w:r>
          </w:p>
        </w:tc>
        <w:tc>
          <w:tcPr>
            <w:tcW w:w="3774" w:type="pct"/>
          </w:tcPr>
          <w:p w:rsidR="00753564" w:rsidRPr="00EE2FA1" w:rsidRDefault="00EE2FA1" w:rsidP="00F25702">
            <w:pPr>
              <w:pStyle w:val="Prrafodelista"/>
              <w:tabs>
                <w:tab w:val="left" w:pos="426"/>
              </w:tabs>
              <w:spacing w:line="0" w:lineRule="atLeast"/>
              <w:ind w:left="0"/>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Remitió el documento denominado “Efectos Macro</w:t>
            </w:r>
            <w:r w:rsidRPr="00EE2FA1">
              <w:rPr>
                <w:rFonts w:ascii="Times New Roman" w:eastAsia="Calibri" w:hAnsi="Times New Roman" w:cs="Times New Roman"/>
                <w:bCs/>
                <w:sz w:val="28"/>
                <w:lang w:eastAsia="es-ES"/>
              </w:rPr>
              <w:t>económicos y Fiscales de una política de no exploración y la reforma tributaria de 2022 en el sector de hidrocarburos”, el cual evaluó los efectos sobre la producción, exportaciones, balanza comercial y las trasferencias del sector a la Nación y a las regi</w:t>
            </w:r>
            <w:r w:rsidRPr="00EE2FA1">
              <w:rPr>
                <w:rFonts w:ascii="Times New Roman" w:eastAsia="Calibri" w:hAnsi="Times New Roman" w:cs="Times New Roman"/>
                <w:bCs/>
                <w:sz w:val="28"/>
                <w:lang w:eastAsia="es-ES"/>
              </w:rPr>
              <w:t xml:space="preserve">ones, de una política de hidrocarburos que suprime la adjudicación de nuevos contratos de exploración de petróleo y la reforma tributaria aprobada en el Congreso, que aumenta los impuestos al sector y prohíbe la deducibilidad de las regalías. Concluyó que </w:t>
            </w:r>
            <w:r w:rsidRPr="00EE2FA1">
              <w:rPr>
                <w:rFonts w:ascii="Times New Roman" w:eastAsia="Calibri" w:hAnsi="Times New Roman" w:cs="Times New Roman"/>
                <w:bCs/>
                <w:sz w:val="28"/>
                <w:lang w:eastAsia="es-ES"/>
              </w:rPr>
              <w:t>la reforma incrementaría los ingresos de la Nación a corto plazo. Sin embargo, dicho aumento no sería permanente, en razón a que se observarían menores transferencias del sector en el mediano plazo</w:t>
            </w:r>
            <w:r w:rsidRPr="00EE2FA1">
              <w:rPr>
                <w:rFonts w:ascii="Times New Roman" w:eastAsia="Calibri" w:hAnsi="Times New Roman" w:cs="Times New Roman"/>
                <w:bCs/>
                <w:sz w:val="28"/>
                <w:lang w:eastAsia="es-ES"/>
              </w:rPr>
              <w:t>,</w:t>
            </w:r>
            <w:r w:rsidRPr="00EE2FA1">
              <w:rPr>
                <w:rFonts w:ascii="Times New Roman" w:eastAsia="Calibri" w:hAnsi="Times New Roman" w:cs="Times New Roman"/>
                <w:bCs/>
                <w:sz w:val="28"/>
                <w:lang w:eastAsia="es-ES"/>
              </w:rPr>
              <w:t xml:space="preserve"> como consecuencia de una menor producción. Al margen de l</w:t>
            </w:r>
            <w:r w:rsidRPr="00EE2FA1">
              <w:rPr>
                <w:rFonts w:ascii="Times New Roman" w:eastAsia="Calibri" w:hAnsi="Times New Roman" w:cs="Times New Roman"/>
                <w:bCs/>
                <w:sz w:val="28"/>
                <w:lang w:eastAsia="es-ES"/>
              </w:rPr>
              <w:t>o anterior, la universidad no se pronunció sobre aspectos específicos de la norma demandada.</w:t>
            </w:r>
          </w:p>
        </w:tc>
      </w:tr>
    </w:tbl>
    <w:p w:rsidR="00892E63"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11382C"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V</w:t>
      </w: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 xml:space="preserve">. Concepto de la procuradora general de la </w:t>
      </w:r>
      <w:r w:rsidRPr="00EE2FA1">
        <w:rPr>
          <w:rFonts w:ascii="Times New Roman" w:eastAsia="Calibri" w:hAnsi="Times New Roman" w:cs="Times New Roman"/>
          <w:b/>
          <w:sz w:val="28"/>
          <w:szCs w:val="28"/>
          <w:lang w:eastAsia="es-ES"/>
        </w:rPr>
        <w:t>N</w:t>
      </w:r>
      <w:r w:rsidRPr="00EE2FA1">
        <w:rPr>
          <w:rFonts w:ascii="Times New Roman" w:eastAsia="Calibri" w:hAnsi="Times New Roman" w:cs="Times New Roman"/>
          <w:b/>
          <w:sz w:val="28"/>
          <w:szCs w:val="28"/>
          <w:lang w:eastAsia="es-ES"/>
        </w:rPr>
        <w:t>ación</w:t>
      </w:r>
    </w:p>
    <w:p w:rsidR="004B68D8"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rPr>
      </w:pPr>
    </w:p>
    <w:p w:rsidR="0068061B"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sz w:val="28"/>
          <w:szCs w:val="28"/>
          <w:lang w:val="es-ES_tradnl"/>
        </w:rPr>
        <w:t>La procuradora general de la Nación solicitó a la Corte que declare la exequibilidad de las normas acusadas.</w:t>
      </w:r>
      <w:r w:rsidRPr="00EE2FA1">
        <w:rPr>
          <w:rFonts w:ascii="Times New Roman" w:hAnsi="Times New Roman" w:cs="Times New Roman"/>
          <w:bCs/>
          <w:sz w:val="28"/>
          <w:szCs w:val="28"/>
          <w:lang w:val="es-ES_tradnl"/>
        </w:rPr>
        <w:t xml:space="preserve"> Al respecto, se pronunció sobre tres aspectos en relación con los cargos mencionados en la demanda: (i) respecto de los vicios formales presentados; (ii) sobre el desconocimiento del principio de irretroactividad tributaria y (iii) frente a</w:t>
      </w:r>
      <w:r w:rsidRPr="00EE2FA1">
        <w:rPr>
          <w:rFonts w:ascii="Times New Roman" w:hAnsi="Times New Roman" w:cs="Times New Roman"/>
          <w:bCs/>
          <w:sz w:val="28"/>
          <w:szCs w:val="28"/>
          <w:lang w:val="es-ES_tradnl"/>
        </w:rPr>
        <w:t xml:space="preserve"> la infracción </w:t>
      </w:r>
      <w:r w:rsidRPr="00EE2FA1">
        <w:rPr>
          <w:rFonts w:ascii="Times New Roman" w:hAnsi="Times New Roman" w:cs="Times New Roman"/>
          <w:bCs/>
          <w:sz w:val="28"/>
          <w:szCs w:val="28"/>
          <w:lang w:val="es-ES_tradnl"/>
        </w:rPr>
        <w:t>de los principios de justicia, equidad e igualdad tributaria.</w:t>
      </w:r>
    </w:p>
    <w:p w:rsidR="00E673E8" w:rsidRPr="00EE2FA1" w:rsidRDefault="00EE2FA1" w:rsidP="00C833B9">
      <w:pPr>
        <w:pStyle w:val="Prrafodelista"/>
        <w:tabs>
          <w:tab w:val="left" w:pos="284"/>
          <w:tab w:val="left" w:pos="426"/>
        </w:tabs>
        <w:spacing w:line="0" w:lineRule="atLeast"/>
        <w:ind w:left="0"/>
        <w:jc w:val="both"/>
        <w:rPr>
          <w:rFonts w:ascii="Times New Roman" w:hAnsi="Times New Roman" w:cs="Times New Roman"/>
          <w:iCs/>
          <w:sz w:val="28"/>
          <w:szCs w:val="28"/>
          <w:lang w:eastAsia="es-ES"/>
        </w:rPr>
      </w:pPr>
    </w:p>
    <w:p w:rsidR="00E673E8"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sz w:val="28"/>
          <w:szCs w:val="28"/>
          <w:lang w:val="es-ES_tradnl"/>
        </w:rPr>
        <w:t>Frente al primer punto, expresó que no se presentaron vicios en el procedimiento legislativo, en tanto no existió trasgresión a los presupuestos constitucionales y legales. Indicó que: (i) la d</w:t>
      </w:r>
      <w:r w:rsidRPr="00EE2FA1">
        <w:rPr>
          <w:rFonts w:ascii="Times New Roman" w:hAnsi="Times New Roman" w:cs="Times New Roman"/>
          <w:bCs/>
          <w:sz w:val="28"/>
          <w:szCs w:val="28"/>
          <w:lang w:val="es-ES_tradnl"/>
        </w:rPr>
        <w:t xml:space="preserve">ecisión de las mesas directivas </w:t>
      </w:r>
      <w:r w:rsidRPr="00EE2FA1">
        <w:rPr>
          <w:rFonts w:ascii="Times New Roman" w:hAnsi="Times New Roman" w:cs="Times New Roman"/>
          <w:bCs/>
          <w:sz w:val="28"/>
          <w:szCs w:val="28"/>
          <w:lang w:val="es-ES_tradnl"/>
        </w:rPr>
        <w:t xml:space="preserve">en cuanto no </w:t>
      </w:r>
      <w:r w:rsidRPr="00EE2FA1">
        <w:rPr>
          <w:rFonts w:ascii="Times New Roman" w:hAnsi="Times New Roman" w:cs="Times New Roman"/>
          <w:bCs/>
          <w:sz w:val="28"/>
          <w:szCs w:val="28"/>
          <w:lang w:val="es-ES_tradnl"/>
        </w:rPr>
        <w:t>permitir la votación de la ponencia negativa en la Comisión Tercera del Senado durante el debate conjunto no constituyó ninguna trasgresión; (ii) la no votación de las proposiciones modificatorias no afectó el t</w:t>
      </w:r>
      <w:r w:rsidRPr="00EE2FA1">
        <w:rPr>
          <w:rFonts w:ascii="Times New Roman" w:hAnsi="Times New Roman" w:cs="Times New Roman"/>
          <w:bCs/>
          <w:sz w:val="28"/>
          <w:szCs w:val="28"/>
          <w:lang w:val="es-ES_tradnl"/>
        </w:rPr>
        <w:t xml:space="preserve">rámite legislativo, pues como lo sustentaron las mesas directivas durante la sesión conjunta, aquellas se entendieron retiradas y tenidas como simples constancias, </w:t>
      </w:r>
      <w:r w:rsidRPr="00EE2FA1">
        <w:rPr>
          <w:rFonts w:ascii="Times New Roman" w:hAnsi="Times New Roman" w:cs="Times New Roman"/>
          <w:bCs/>
          <w:sz w:val="28"/>
          <w:szCs w:val="28"/>
          <w:lang w:val="es-ES_tradnl"/>
        </w:rPr>
        <w:t>más</w:t>
      </w:r>
      <w:r w:rsidRPr="00EE2FA1">
        <w:rPr>
          <w:rFonts w:ascii="Times New Roman" w:hAnsi="Times New Roman" w:cs="Times New Roman"/>
          <w:bCs/>
          <w:sz w:val="28"/>
          <w:szCs w:val="28"/>
          <w:lang w:val="es-ES_tradnl"/>
        </w:rPr>
        <w:t xml:space="preserve"> aún </w:t>
      </w:r>
      <w:r w:rsidRPr="00EE2FA1">
        <w:rPr>
          <w:rFonts w:ascii="Times New Roman" w:hAnsi="Times New Roman" w:cs="Times New Roman"/>
          <w:bCs/>
          <w:sz w:val="28"/>
          <w:szCs w:val="28"/>
          <w:lang w:val="es-ES_tradnl"/>
        </w:rPr>
        <w:t>cuando</w:t>
      </w:r>
      <w:r w:rsidRPr="00EE2FA1">
        <w:rPr>
          <w:rFonts w:ascii="Times New Roman" w:hAnsi="Times New Roman" w:cs="Times New Roman"/>
          <w:bCs/>
          <w:sz w:val="28"/>
          <w:szCs w:val="28"/>
          <w:lang w:val="es-ES_tradnl"/>
        </w:rPr>
        <w:t xml:space="preserve"> los congresistas interesados no presentaron objeción frente a esa decisión; y</w:t>
      </w:r>
      <w:r w:rsidRPr="00EE2FA1">
        <w:rPr>
          <w:rFonts w:ascii="Times New Roman" w:hAnsi="Times New Roman" w:cs="Times New Roman"/>
          <w:bCs/>
          <w:sz w:val="28"/>
          <w:szCs w:val="28"/>
          <w:lang w:val="es-ES_tradnl"/>
        </w:rPr>
        <w:t xml:space="preserve"> (iii) la votación en bloque del articulado de la iniciativa que se convirtió en </w:t>
      </w:r>
      <w:r w:rsidRPr="00EE2FA1">
        <w:rPr>
          <w:rFonts w:ascii="Times New Roman" w:hAnsi="Times New Roman" w:cs="Times New Roman"/>
          <w:bCs/>
          <w:sz w:val="28"/>
          <w:szCs w:val="28"/>
          <w:lang w:val="es-ES_tradnl"/>
        </w:rPr>
        <w:t xml:space="preserve">la </w:t>
      </w:r>
      <w:r w:rsidRPr="00EE2FA1">
        <w:rPr>
          <w:rFonts w:ascii="Times New Roman" w:hAnsi="Times New Roman" w:cs="Times New Roman"/>
          <w:bCs/>
          <w:sz w:val="28"/>
          <w:szCs w:val="28"/>
          <w:lang w:val="es-ES_tradnl"/>
        </w:rPr>
        <w:t>Ley 2277 de 2023 fue una decisión de las mesas directivas, decisión que resulta leg</w:t>
      </w:r>
      <w:r w:rsidRPr="00EE2FA1">
        <w:rPr>
          <w:rFonts w:ascii="Times New Roman" w:hAnsi="Times New Roman" w:cs="Times New Roman"/>
          <w:bCs/>
          <w:sz w:val="28"/>
          <w:szCs w:val="28"/>
          <w:lang w:val="es-ES_tradnl"/>
        </w:rPr>
        <w:t>í</w:t>
      </w:r>
      <w:r w:rsidRPr="00EE2FA1">
        <w:rPr>
          <w:rFonts w:ascii="Times New Roman" w:hAnsi="Times New Roman" w:cs="Times New Roman"/>
          <w:bCs/>
          <w:sz w:val="28"/>
          <w:szCs w:val="28"/>
          <w:lang w:val="es-ES_tradnl"/>
        </w:rPr>
        <w:t>tima</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en los términos del artículo 134 del Reglamento del Congreso y que fue avalada por</w:t>
      </w:r>
      <w:r w:rsidRPr="00EE2FA1">
        <w:rPr>
          <w:rFonts w:ascii="Times New Roman" w:hAnsi="Times New Roman" w:cs="Times New Roman"/>
          <w:bCs/>
          <w:sz w:val="28"/>
          <w:szCs w:val="28"/>
          <w:lang w:val="es-ES_tradnl"/>
        </w:rPr>
        <w:t xml:space="preserve"> los miembros de dicha corporación legislativa. Por tales motivos, no existió una trasgresión al procedimiento legislativo impartido a la</w:t>
      </w:r>
      <w:r w:rsidRPr="00EE2FA1">
        <w:rPr>
          <w:rFonts w:ascii="Times New Roman" w:hAnsi="Times New Roman" w:cs="Times New Roman"/>
          <w:bCs/>
          <w:sz w:val="28"/>
          <w:szCs w:val="28"/>
          <w:lang w:val="es-ES_tradnl"/>
        </w:rPr>
        <w:t>s</w:t>
      </w:r>
      <w:r w:rsidRPr="00EE2FA1">
        <w:rPr>
          <w:rFonts w:ascii="Times New Roman" w:hAnsi="Times New Roman" w:cs="Times New Roman"/>
          <w:bCs/>
          <w:sz w:val="28"/>
          <w:szCs w:val="28"/>
          <w:lang w:val="es-ES_tradnl"/>
        </w:rPr>
        <w:t xml:space="preserve"> norma</w:t>
      </w:r>
      <w:r w:rsidRPr="00EE2FA1">
        <w:rPr>
          <w:rFonts w:ascii="Times New Roman" w:hAnsi="Times New Roman" w:cs="Times New Roman"/>
          <w:bCs/>
          <w:sz w:val="28"/>
          <w:szCs w:val="28"/>
          <w:lang w:val="es-ES_tradnl"/>
        </w:rPr>
        <w:t>s</w:t>
      </w:r>
      <w:r w:rsidRPr="00EE2FA1">
        <w:rPr>
          <w:rFonts w:ascii="Times New Roman" w:hAnsi="Times New Roman" w:cs="Times New Roman"/>
          <w:bCs/>
          <w:sz w:val="28"/>
          <w:szCs w:val="28"/>
          <w:lang w:val="es-ES_tradnl"/>
        </w:rPr>
        <w:t xml:space="preserve"> acusada</w:t>
      </w:r>
      <w:r w:rsidRPr="00EE2FA1">
        <w:rPr>
          <w:rFonts w:ascii="Times New Roman" w:hAnsi="Times New Roman" w:cs="Times New Roman"/>
          <w:bCs/>
          <w:sz w:val="28"/>
          <w:szCs w:val="28"/>
          <w:lang w:val="es-ES_tradnl"/>
        </w:rPr>
        <w:t>s</w:t>
      </w:r>
      <w:r w:rsidRPr="00EE2FA1">
        <w:rPr>
          <w:rFonts w:ascii="Times New Roman" w:hAnsi="Times New Roman" w:cs="Times New Roman"/>
          <w:bCs/>
          <w:sz w:val="28"/>
          <w:szCs w:val="28"/>
          <w:lang w:val="es-ES_tradnl"/>
        </w:rPr>
        <w:t>.</w:t>
      </w:r>
    </w:p>
    <w:p w:rsidR="00D63FE6"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lang w:eastAsia="es-ES"/>
        </w:rPr>
      </w:pPr>
    </w:p>
    <w:p w:rsidR="009201A7"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sz w:val="28"/>
          <w:szCs w:val="28"/>
          <w:lang w:val="es-ES_tradnl"/>
        </w:rPr>
        <w:t>Respecto del segundo punto, expuso que el principio de irretroactividad tributaria es un mandato qu</w:t>
      </w:r>
      <w:r w:rsidRPr="00EE2FA1">
        <w:rPr>
          <w:rFonts w:ascii="Times New Roman" w:hAnsi="Times New Roman" w:cs="Times New Roman"/>
          <w:bCs/>
          <w:sz w:val="28"/>
          <w:szCs w:val="28"/>
          <w:lang w:val="es-ES_tradnl"/>
        </w:rPr>
        <w:t>e proscribe la aplicación de la ley en materia fiscal a hechos ocurridos antes de su entrada en vigor. Aquel principio dispone que: “(i) las leyes que regulen contribuciones en las que la base sea el resultado de hechos ocurrido durante un periodo determin</w:t>
      </w:r>
      <w:r w:rsidRPr="00EE2FA1">
        <w:rPr>
          <w:rFonts w:ascii="Times New Roman" w:hAnsi="Times New Roman" w:cs="Times New Roman"/>
          <w:bCs/>
          <w:sz w:val="28"/>
          <w:szCs w:val="28"/>
          <w:lang w:val="es-ES_tradnl"/>
        </w:rPr>
        <w:t>ado, no pueden aplicarse sino a partir del periodo que comience después de iniciar la vigencia de la respectiva ley, y (ii) las leyes tributarias no se aplican con retroactividad”</w:t>
      </w:r>
      <w:r w:rsidRPr="00EE2FA1">
        <w:rPr>
          <w:rStyle w:val="Refdenotaalpie"/>
          <w:rFonts w:ascii="Times New Roman" w:hAnsi="Times New Roman" w:cs="Times New Roman"/>
          <w:bCs/>
          <w:sz w:val="28"/>
          <w:szCs w:val="28"/>
          <w:lang w:val="es-ES_tradnl"/>
        </w:rPr>
        <w:footnoteReference w:id="31"/>
      </w:r>
      <w:r w:rsidRPr="00EE2FA1">
        <w:rPr>
          <w:rFonts w:ascii="Times New Roman" w:hAnsi="Times New Roman" w:cs="Times New Roman"/>
          <w:bCs/>
          <w:sz w:val="28"/>
          <w:szCs w:val="28"/>
          <w:lang w:val="es-ES_tradnl"/>
        </w:rPr>
        <w:t>.</w:t>
      </w:r>
    </w:p>
    <w:p w:rsidR="00363C96"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lang w:eastAsia="es-ES"/>
        </w:rPr>
      </w:pPr>
    </w:p>
    <w:p w:rsidR="006E5632"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iCs/>
          <w:sz w:val="28"/>
          <w:szCs w:val="28"/>
          <w:lang w:val="es-ES_tradnl" w:eastAsia="es-ES"/>
        </w:rPr>
        <w:t xml:space="preserve">Manifestó que la jurisprudencia constitucional considera que la </w:t>
      </w:r>
      <w:r w:rsidRPr="00EE2FA1">
        <w:rPr>
          <w:rFonts w:ascii="Times New Roman" w:hAnsi="Times New Roman" w:cs="Times New Roman"/>
          <w:bCs/>
          <w:iCs/>
          <w:sz w:val="28"/>
          <w:szCs w:val="28"/>
          <w:lang w:val="es-ES_tradnl" w:eastAsia="es-ES"/>
        </w:rPr>
        <w:t>legislación tributaria va acorde con dicho principio</w:t>
      </w:r>
      <w:r w:rsidRPr="00EE2FA1">
        <w:rPr>
          <w:rFonts w:ascii="Times New Roman" w:hAnsi="Times New Roman" w:cs="Times New Roman"/>
          <w:bCs/>
          <w:iCs/>
          <w:sz w:val="28"/>
          <w:szCs w:val="28"/>
          <w:lang w:val="es-ES_tradnl" w:eastAsia="es-ES"/>
        </w:rPr>
        <w:t>,</w:t>
      </w:r>
      <w:r w:rsidRPr="00EE2FA1">
        <w:rPr>
          <w:rFonts w:ascii="Times New Roman" w:hAnsi="Times New Roman" w:cs="Times New Roman"/>
          <w:bCs/>
          <w:iCs/>
          <w:sz w:val="28"/>
          <w:szCs w:val="28"/>
          <w:lang w:val="es-ES_tradnl" w:eastAsia="es-ES"/>
        </w:rPr>
        <w:t xml:space="preserve"> cuando rige hacia futuro y las previsiones </w:t>
      </w:r>
      <w:r w:rsidRPr="00EE2FA1">
        <w:rPr>
          <w:rFonts w:ascii="Times New Roman" w:hAnsi="Times New Roman" w:cs="Times New Roman"/>
          <w:bCs/>
          <w:iCs/>
          <w:sz w:val="28"/>
          <w:szCs w:val="28"/>
          <w:lang w:val="es-ES_tradnl" w:eastAsia="es-ES"/>
        </w:rPr>
        <w:t xml:space="preserve">que contiene </w:t>
      </w:r>
      <w:r w:rsidRPr="00EE2FA1">
        <w:rPr>
          <w:rFonts w:ascii="Times New Roman" w:hAnsi="Times New Roman" w:cs="Times New Roman"/>
          <w:bCs/>
          <w:iCs/>
          <w:sz w:val="28"/>
          <w:szCs w:val="28"/>
          <w:lang w:val="es-ES_tradnl" w:eastAsia="es-ES"/>
        </w:rPr>
        <w:t>se aplican a los hechos o situaciones ocurridas bajo su vigencia y no afecta situaciones jurídicas consolidadas</w:t>
      </w:r>
      <w:r w:rsidRPr="00EE2FA1">
        <w:rPr>
          <w:rStyle w:val="Refdenotaalpie"/>
          <w:rFonts w:ascii="Times New Roman" w:hAnsi="Times New Roman" w:cs="Times New Roman"/>
          <w:bCs/>
          <w:iCs/>
          <w:sz w:val="28"/>
          <w:szCs w:val="28"/>
          <w:lang w:val="es-ES_tradnl" w:eastAsia="es-ES"/>
        </w:rPr>
        <w:footnoteReference w:id="32"/>
      </w:r>
      <w:r w:rsidRPr="00EE2FA1">
        <w:rPr>
          <w:rFonts w:ascii="Times New Roman" w:hAnsi="Times New Roman" w:cs="Times New Roman"/>
          <w:bCs/>
          <w:iCs/>
          <w:sz w:val="28"/>
          <w:szCs w:val="28"/>
          <w:lang w:val="es-ES_tradnl" w:eastAsia="es-ES"/>
        </w:rPr>
        <w:t>. En concreto, resaltó que la norm</w:t>
      </w:r>
      <w:r w:rsidRPr="00EE2FA1">
        <w:rPr>
          <w:rFonts w:ascii="Times New Roman" w:hAnsi="Times New Roman" w:cs="Times New Roman"/>
          <w:bCs/>
          <w:iCs/>
          <w:sz w:val="28"/>
          <w:szCs w:val="28"/>
          <w:lang w:val="es-ES_tradnl" w:eastAsia="es-ES"/>
        </w:rPr>
        <w:t>a acusada estableció una sobretasa para las compañías petroleras asociada al impuesto de renta, lo que corresponde a un tributo periódico, por lo que las modificaciones que introduce aplican a partir de la vigencia 2023, es decir</w:t>
      </w:r>
      <w:r w:rsidRPr="00EE2FA1">
        <w:rPr>
          <w:rFonts w:ascii="Times New Roman" w:hAnsi="Times New Roman" w:cs="Times New Roman"/>
          <w:bCs/>
          <w:iCs/>
          <w:sz w:val="28"/>
          <w:szCs w:val="28"/>
          <w:lang w:val="es-ES_tradnl" w:eastAsia="es-ES"/>
        </w:rPr>
        <w:t>,</w:t>
      </w:r>
      <w:r w:rsidRPr="00EE2FA1">
        <w:rPr>
          <w:rFonts w:ascii="Times New Roman" w:hAnsi="Times New Roman" w:cs="Times New Roman"/>
          <w:bCs/>
          <w:iCs/>
          <w:sz w:val="28"/>
          <w:szCs w:val="28"/>
          <w:lang w:val="es-ES_tradnl" w:eastAsia="es-ES"/>
        </w:rPr>
        <w:t xml:space="preserve"> para el periodo fiscal si</w:t>
      </w:r>
      <w:r w:rsidRPr="00EE2FA1">
        <w:rPr>
          <w:rFonts w:ascii="Times New Roman" w:hAnsi="Times New Roman" w:cs="Times New Roman"/>
          <w:bCs/>
          <w:iCs/>
          <w:sz w:val="28"/>
          <w:szCs w:val="28"/>
          <w:lang w:val="es-ES_tradnl" w:eastAsia="es-ES"/>
        </w:rPr>
        <w:t>guiente a la fecha de promulgación de la Ley 2277 de 2022.</w:t>
      </w:r>
      <w:r w:rsidRPr="00EE2FA1">
        <w:rPr>
          <w:rFonts w:ascii="Times New Roman" w:hAnsi="Times New Roman" w:cs="Times New Roman"/>
          <w:iCs/>
          <w:sz w:val="28"/>
          <w:szCs w:val="28"/>
          <w:lang w:eastAsia="es-ES"/>
        </w:rPr>
        <w:t xml:space="preserve"> </w:t>
      </w:r>
      <w:r w:rsidRPr="00EE2FA1">
        <w:rPr>
          <w:rFonts w:ascii="Times New Roman" w:hAnsi="Times New Roman" w:cs="Times New Roman"/>
          <w:bCs/>
          <w:sz w:val="28"/>
          <w:szCs w:val="28"/>
          <w:lang w:val="es-ES_tradnl"/>
        </w:rPr>
        <w:t xml:space="preserve">Al margen de lo anterior, advierte que la norma acusada podría afectar el principio de certeza tributaria, en tanto, la periodicidad anual de la resolución </w:t>
      </w:r>
      <w:r w:rsidRPr="00EE2FA1">
        <w:rPr>
          <w:rFonts w:ascii="Times New Roman" w:hAnsi="Times New Roman" w:cs="Times New Roman"/>
          <w:bCs/>
          <w:sz w:val="28"/>
          <w:szCs w:val="28"/>
          <w:lang w:val="es-ES_tradnl"/>
        </w:rPr>
        <w:t xml:space="preserve">expedida por </w:t>
      </w:r>
      <w:r w:rsidRPr="00EE2FA1">
        <w:rPr>
          <w:rFonts w:ascii="Times New Roman" w:hAnsi="Times New Roman" w:cs="Times New Roman"/>
          <w:bCs/>
          <w:sz w:val="28"/>
          <w:szCs w:val="28"/>
          <w:lang w:val="es-ES_tradnl"/>
        </w:rPr>
        <w:t>la Agencia Nacional de Hidro</w:t>
      </w:r>
      <w:r w:rsidRPr="00EE2FA1">
        <w:rPr>
          <w:rFonts w:ascii="Times New Roman" w:hAnsi="Times New Roman" w:cs="Times New Roman"/>
          <w:bCs/>
          <w:sz w:val="28"/>
          <w:szCs w:val="28"/>
          <w:lang w:val="es-ES_tradnl"/>
        </w:rPr>
        <w:t>carburos que consolida la información como insumo para liquidar la sobretasa, opera en detrimento de la seguridad jurídica que requiere el contribuyente para conocer con datos oficiales el monto de la obligación fiscal que estará a su cargo</w:t>
      </w:r>
      <w:r w:rsidRPr="00EE2FA1">
        <w:rPr>
          <w:rStyle w:val="Refdenotaalpie"/>
          <w:rFonts w:ascii="Times New Roman" w:hAnsi="Times New Roman" w:cs="Times New Roman"/>
          <w:bCs/>
          <w:sz w:val="28"/>
          <w:szCs w:val="28"/>
          <w:lang w:val="es-ES_tradnl"/>
        </w:rPr>
        <w:footnoteReference w:id="33"/>
      </w:r>
      <w:r w:rsidRPr="00EE2FA1">
        <w:rPr>
          <w:rFonts w:ascii="Times New Roman" w:hAnsi="Times New Roman" w:cs="Times New Roman"/>
          <w:bCs/>
          <w:sz w:val="28"/>
          <w:szCs w:val="28"/>
          <w:lang w:val="es-ES_tradnl"/>
        </w:rPr>
        <w:t>.</w:t>
      </w:r>
    </w:p>
    <w:p w:rsidR="006E5632"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lang w:eastAsia="es-ES"/>
        </w:rPr>
      </w:pPr>
    </w:p>
    <w:p w:rsidR="006E5632"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iCs/>
          <w:sz w:val="28"/>
          <w:szCs w:val="28"/>
          <w:lang w:val="es-ES_tradnl" w:eastAsia="es-ES"/>
        </w:rPr>
        <w:t>De otra part</w:t>
      </w:r>
      <w:r w:rsidRPr="00EE2FA1">
        <w:rPr>
          <w:rFonts w:ascii="Times New Roman" w:hAnsi="Times New Roman" w:cs="Times New Roman"/>
          <w:bCs/>
          <w:iCs/>
          <w:sz w:val="28"/>
          <w:szCs w:val="28"/>
          <w:lang w:val="es-ES_tradnl" w:eastAsia="es-ES"/>
        </w:rPr>
        <w:t>e,</w:t>
      </w:r>
      <w:r w:rsidRPr="00EE2FA1">
        <w:rPr>
          <w:rFonts w:ascii="Times New Roman" w:hAnsi="Times New Roman" w:cs="Times New Roman"/>
          <w:bCs/>
          <w:iCs/>
          <w:sz w:val="28"/>
          <w:szCs w:val="28"/>
          <w:lang w:val="es-ES_tradnl" w:eastAsia="es-ES"/>
        </w:rPr>
        <w:t xml:space="preserve"> manifestó que la jurisprudencia constitucional estableció que la libre configuración del legislador en materia fiscal encuentra l</w:t>
      </w:r>
      <w:r w:rsidRPr="00EE2FA1">
        <w:rPr>
          <w:rFonts w:ascii="Times New Roman" w:hAnsi="Times New Roman" w:cs="Times New Roman"/>
          <w:bCs/>
          <w:iCs/>
          <w:sz w:val="28"/>
          <w:szCs w:val="28"/>
          <w:lang w:val="es-ES_tradnl" w:eastAsia="es-ES"/>
        </w:rPr>
        <w:t>í</w:t>
      </w:r>
      <w:r w:rsidRPr="00EE2FA1">
        <w:rPr>
          <w:rFonts w:ascii="Times New Roman" w:hAnsi="Times New Roman" w:cs="Times New Roman"/>
          <w:bCs/>
          <w:iCs/>
          <w:sz w:val="28"/>
          <w:szCs w:val="28"/>
          <w:lang w:val="es-ES_tradnl" w:eastAsia="es-ES"/>
        </w:rPr>
        <w:t xml:space="preserve">mites en los principios de igualdad, justicia y equidad tributaria. Argumentó que para analizar si una disposición tributaria está acorde con los referidos principios, debe acudirse a un </w:t>
      </w:r>
      <w:r w:rsidRPr="00EE2FA1">
        <w:rPr>
          <w:rFonts w:ascii="Times New Roman" w:hAnsi="Times New Roman" w:cs="Times New Roman"/>
          <w:bCs/>
          <w:iCs/>
          <w:sz w:val="28"/>
          <w:szCs w:val="28"/>
          <w:lang w:val="es-ES_tradnl" w:eastAsia="es-ES"/>
        </w:rPr>
        <w:t>juicio</w:t>
      </w:r>
      <w:r w:rsidRPr="00EE2FA1">
        <w:rPr>
          <w:rFonts w:ascii="Times New Roman" w:hAnsi="Times New Roman" w:cs="Times New Roman"/>
          <w:bCs/>
          <w:iCs/>
          <w:sz w:val="28"/>
          <w:szCs w:val="28"/>
          <w:lang w:val="es-ES_tradnl" w:eastAsia="es-ES"/>
        </w:rPr>
        <w:t xml:space="preserve"> leve de razonabilidad, el cual tiene como objeto verificar “si</w:t>
      </w:r>
      <w:r w:rsidRPr="00EE2FA1">
        <w:rPr>
          <w:rFonts w:ascii="Times New Roman" w:hAnsi="Times New Roman" w:cs="Times New Roman"/>
          <w:bCs/>
          <w:iCs/>
          <w:sz w:val="28"/>
          <w:szCs w:val="28"/>
          <w:lang w:val="es-ES_tradnl" w:eastAsia="es-ES"/>
        </w:rPr>
        <w:t xml:space="preserve"> el fin y el medio no están constitucionalmente prohibidos y si el segundo es idóneo o adecuado para conseguir el primero”</w:t>
      </w:r>
      <w:r w:rsidRPr="00EE2FA1">
        <w:rPr>
          <w:rStyle w:val="Refdenotaalpie"/>
          <w:rFonts w:ascii="Times New Roman" w:hAnsi="Times New Roman" w:cs="Times New Roman"/>
          <w:bCs/>
          <w:iCs/>
          <w:sz w:val="28"/>
          <w:szCs w:val="28"/>
          <w:lang w:val="es-ES_tradnl" w:eastAsia="es-ES"/>
        </w:rPr>
        <w:footnoteReference w:id="34"/>
      </w:r>
      <w:r w:rsidRPr="00EE2FA1">
        <w:rPr>
          <w:rFonts w:ascii="Times New Roman" w:hAnsi="Times New Roman" w:cs="Times New Roman"/>
          <w:bCs/>
          <w:iCs/>
          <w:sz w:val="28"/>
          <w:szCs w:val="28"/>
          <w:lang w:val="es-ES_tradnl" w:eastAsia="es-ES"/>
        </w:rPr>
        <w:t>.</w:t>
      </w:r>
      <w:r w:rsidRPr="00EE2FA1">
        <w:rPr>
          <w:rFonts w:ascii="Times New Roman" w:hAnsi="Times New Roman" w:cs="Times New Roman"/>
          <w:bCs/>
          <w:iCs/>
          <w:sz w:val="28"/>
          <w:szCs w:val="28"/>
          <w:lang w:val="es-ES_tradnl" w:eastAsia="es-ES"/>
        </w:rPr>
        <w:t xml:space="preserve"> Al respecto, expuso lo siguiente: </w:t>
      </w:r>
    </w:p>
    <w:p w:rsidR="004023A7" w:rsidRPr="00EE2FA1" w:rsidRDefault="00EE2FA1" w:rsidP="004023A7">
      <w:pPr>
        <w:tabs>
          <w:tab w:val="left" w:pos="426"/>
        </w:tabs>
        <w:spacing w:line="0" w:lineRule="atLeast"/>
        <w:jc w:val="both"/>
        <w:rPr>
          <w:rFonts w:ascii="Times New Roman" w:hAnsi="Times New Roman" w:cs="Times New Roman"/>
          <w:iCs/>
          <w:sz w:val="28"/>
          <w:szCs w:val="28"/>
          <w:lang w:eastAsia="es-ES"/>
        </w:rPr>
      </w:pPr>
    </w:p>
    <w:p w:rsidR="004023A7" w:rsidRPr="00EE2FA1" w:rsidRDefault="00EE2FA1" w:rsidP="0069414E">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“la Procuraduría estima que el precepto acusado es conforme a los principios de justicia, equid</w:t>
      </w:r>
      <w:r w:rsidRPr="00EE2FA1">
        <w:rPr>
          <w:rFonts w:ascii="Times New Roman" w:hAnsi="Times New Roman" w:cs="Times New Roman"/>
          <w:iCs/>
          <w:sz w:val="28"/>
          <w:lang w:eastAsia="es-ES"/>
        </w:rPr>
        <w:t xml:space="preserve">ad e igualdad tributaria, ya que si bien la sobretasa cuestionada constituye un trato diferente para los contribuyentes cuya actividad económica principal es la extracción de petróleo crudo, lo cierto es que dicha distinción es razonable debido a que: (a) </w:t>
      </w:r>
      <w:r w:rsidRPr="00EE2FA1">
        <w:rPr>
          <w:rFonts w:ascii="Times New Roman" w:hAnsi="Times New Roman" w:cs="Times New Roman"/>
          <w:iCs/>
          <w:sz w:val="28"/>
          <w:lang w:eastAsia="es-ES"/>
        </w:rPr>
        <w:t>persigue una finalidad legítima, as</w:t>
      </w:r>
      <w:r w:rsidRPr="00EE2FA1">
        <w:rPr>
          <w:rFonts w:ascii="Times New Roman" w:hAnsi="Times New Roman" w:cs="Times New Roman"/>
          <w:iCs/>
          <w:sz w:val="28"/>
          <w:lang w:eastAsia="es-ES"/>
        </w:rPr>
        <w:t>í</w:t>
      </w:r>
      <w:r w:rsidRPr="00EE2FA1">
        <w:rPr>
          <w:rFonts w:ascii="Times New Roman" w:hAnsi="Times New Roman" w:cs="Times New Roman"/>
          <w:iCs/>
          <w:sz w:val="28"/>
          <w:lang w:eastAsia="es-ES"/>
        </w:rPr>
        <w:t xml:space="preserve"> </w:t>
      </w:r>
      <w:r w:rsidRPr="00EE2FA1">
        <w:rPr>
          <w:rFonts w:ascii="Times New Roman" w:hAnsi="Times New Roman" w:cs="Times New Roman"/>
          <w:iCs/>
          <w:sz w:val="28"/>
          <w:lang w:eastAsia="es-ES"/>
        </w:rPr>
        <w:t>c</w:t>
      </w:r>
      <w:r w:rsidRPr="00EE2FA1">
        <w:rPr>
          <w:rFonts w:ascii="Times New Roman" w:hAnsi="Times New Roman" w:cs="Times New Roman"/>
          <w:iCs/>
          <w:sz w:val="28"/>
          <w:lang w:eastAsia="es-ES"/>
        </w:rPr>
        <w:t xml:space="preserve">omo es (b) idónea para cumplirla. </w:t>
      </w:r>
    </w:p>
    <w:p w:rsidR="004023A7" w:rsidRPr="00EE2FA1" w:rsidRDefault="00EE2FA1" w:rsidP="0069414E">
      <w:pPr>
        <w:spacing w:line="0" w:lineRule="atLeast"/>
        <w:ind w:left="567"/>
        <w:jc w:val="both"/>
        <w:rPr>
          <w:rFonts w:ascii="Times New Roman" w:hAnsi="Times New Roman" w:cs="Times New Roman"/>
          <w:iCs/>
          <w:sz w:val="28"/>
          <w:lang w:eastAsia="es-ES"/>
        </w:rPr>
      </w:pPr>
    </w:p>
    <w:p w:rsidR="004023A7" w:rsidRPr="00EE2FA1" w:rsidRDefault="00EE2FA1" w:rsidP="0069414E">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En concreto, por un lado, el trato diferenciado busca incrementar la carga impositiva de un grupo de contribuyentes que tienen una mayor capacidad de pago fiscal a efectos de cumplir</w:t>
      </w:r>
      <w:r w:rsidRPr="00EE2FA1">
        <w:rPr>
          <w:rFonts w:ascii="Times New Roman" w:hAnsi="Times New Roman" w:cs="Times New Roman"/>
          <w:iCs/>
          <w:sz w:val="28"/>
          <w:lang w:eastAsia="es-ES"/>
        </w:rPr>
        <w:t xml:space="preserve"> con la función comunitario del Estado. Ciertamente, a partir de la lectura de los antecedentes legislativos de la disposición acusada, se tiene que pe</w:t>
      </w:r>
      <w:r w:rsidRPr="00EE2FA1">
        <w:rPr>
          <w:rFonts w:ascii="Times New Roman" w:hAnsi="Times New Roman" w:cs="Times New Roman"/>
          <w:iCs/>
          <w:sz w:val="28"/>
          <w:lang w:eastAsia="es-ES"/>
        </w:rPr>
        <w:t>r</w:t>
      </w:r>
      <w:r w:rsidRPr="00EE2FA1">
        <w:rPr>
          <w:rFonts w:ascii="Times New Roman" w:hAnsi="Times New Roman" w:cs="Times New Roman"/>
          <w:iCs/>
          <w:sz w:val="28"/>
          <w:lang w:eastAsia="es-ES"/>
        </w:rPr>
        <w:t>sigue ‘aumentar el recaudo derivado de las actividades extractivas para financiar, entre otros, el gasto</w:t>
      </w:r>
      <w:r w:rsidRPr="00EE2FA1">
        <w:rPr>
          <w:rFonts w:ascii="Times New Roman" w:hAnsi="Times New Roman" w:cs="Times New Roman"/>
          <w:iCs/>
          <w:sz w:val="28"/>
          <w:lang w:eastAsia="es-ES"/>
        </w:rPr>
        <w:t xml:space="preserve"> público social’. Lo anterior, ‘teniendo en cuenta el actual auge en los precios internacionales de algunos commodities’ (v.gr. petróleo), que genera una ‘capacidad contributiva’ significativa para las compañías ‘del sector de hidrocarburos’, quienes repor</w:t>
      </w:r>
      <w:r w:rsidRPr="00EE2FA1">
        <w:rPr>
          <w:rFonts w:ascii="Times New Roman" w:hAnsi="Times New Roman" w:cs="Times New Roman"/>
          <w:iCs/>
          <w:sz w:val="28"/>
          <w:lang w:eastAsia="es-ES"/>
        </w:rPr>
        <w:t>tan ‘tasas efectivas de tributación (…) inferiores a la tarifa nominal y con una perspectiva histórica que evidencia una tasa efectiva proyectada para 2022 inferior a la registrada en periodos anteriores.”</w:t>
      </w:r>
    </w:p>
    <w:p w:rsidR="004023A7" w:rsidRPr="00EE2FA1" w:rsidRDefault="00EE2FA1" w:rsidP="0069414E">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Al respecto, el Ministerio Público estima que dich</w:t>
      </w:r>
      <w:r w:rsidRPr="00EE2FA1">
        <w:rPr>
          <w:rFonts w:ascii="Times New Roman" w:hAnsi="Times New Roman" w:cs="Times New Roman"/>
          <w:iCs/>
          <w:sz w:val="28"/>
          <w:lang w:eastAsia="es-ES"/>
        </w:rPr>
        <w:t>a finalidad es legítima desde una perspectiva constitucional, porque el artículo 95.8 de la Carta Política dispone como uno de los deberes de la ‘persona y el ciudadano contribuir al financiamiento de los gastos e inversiones del Estado dentro de conceptos</w:t>
      </w:r>
      <w:r w:rsidRPr="00EE2FA1">
        <w:rPr>
          <w:rFonts w:ascii="Times New Roman" w:hAnsi="Times New Roman" w:cs="Times New Roman"/>
          <w:iCs/>
          <w:sz w:val="28"/>
          <w:lang w:eastAsia="es-ES"/>
        </w:rPr>
        <w:t xml:space="preserve"> de justicia y </w:t>
      </w:r>
      <w:r w:rsidRPr="00EE2FA1">
        <w:rPr>
          <w:rFonts w:ascii="Times New Roman" w:hAnsi="Times New Roman" w:cs="Times New Roman"/>
          <w:iCs/>
          <w:sz w:val="28"/>
          <w:lang w:eastAsia="es-ES"/>
        </w:rPr>
        <w:t>equidad</w:t>
      </w:r>
      <w:r w:rsidRPr="00EE2FA1">
        <w:rPr>
          <w:rFonts w:ascii="Times New Roman" w:hAnsi="Times New Roman" w:cs="Times New Roman"/>
          <w:iCs/>
          <w:sz w:val="28"/>
          <w:lang w:eastAsia="es-ES"/>
        </w:rPr>
        <w:t xml:space="preserve">’, es decir, atendiendo su capacidad económica. </w:t>
      </w:r>
    </w:p>
    <w:p w:rsidR="004023A7" w:rsidRPr="00EE2FA1" w:rsidRDefault="00EE2FA1" w:rsidP="0069414E">
      <w:pPr>
        <w:spacing w:line="0" w:lineRule="atLeast"/>
        <w:ind w:left="567"/>
        <w:jc w:val="both"/>
        <w:rPr>
          <w:rFonts w:ascii="Times New Roman" w:hAnsi="Times New Roman" w:cs="Times New Roman"/>
          <w:iCs/>
          <w:sz w:val="28"/>
          <w:lang w:eastAsia="es-ES"/>
        </w:rPr>
      </w:pPr>
    </w:p>
    <w:p w:rsidR="004023A7" w:rsidRPr="00EE2FA1" w:rsidRDefault="00EE2FA1" w:rsidP="0069414E">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En punto de ello, se ad</w:t>
      </w:r>
      <w:r w:rsidRPr="00EE2FA1">
        <w:rPr>
          <w:rFonts w:ascii="Times New Roman" w:hAnsi="Times New Roman" w:cs="Times New Roman"/>
          <w:iCs/>
          <w:sz w:val="28"/>
          <w:lang w:eastAsia="es-ES"/>
        </w:rPr>
        <w:t>v</w:t>
      </w:r>
      <w:r w:rsidRPr="00EE2FA1">
        <w:rPr>
          <w:rFonts w:ascii="Times New Roman" w:hAnsi="Times New Roman" w:cs="Times New Roman"/>
          <w:iCs/>
          <w:sz w:val="28"/>
          <w:lang w:eastAsia="es-ES"/>
        </w:rPr>
        <w:t>ierte que la norma demandada no es ajena a la capacidad económica del sujeto pasivo, ya que la sobre tasa solo grava a las empresas de hidrocarburos cuando, ade</w:t>
      </w:r>
      <w:r w:rsidRPr="00EE2FA1">
        <w:rPr>
          <w:rFonts w:ascii="Times New Roman" w:hAnsi="Times New Roman" w:cs="Times New Roman"/>
          <w:iCs/>
          <w:sz w:val="28"/>
          <w:lang w:eastAsia="es-ES"/>
        </w:rPr>
        <w:t>más de obtener una renta liquida igual o superior a 50.000 UVT, concurran precios favorables del crudo en el mercado internacional que, por consecuencia, aumentaran sus ingresos. Así, es claro que el precepto analizado tiene en cuenta un parámetro racional</w:t>
      </w:r>
      <w:r w:rsidRPr="00EE2FA1">
        <w:rPr>
          <w:rFonts w:ascii="Times New Roman" w:hAnsi="Times New Roman" w:cs="Times New Roman"/>
          <w:iCs/>
          <w:sz w:val="28"/>
          <w:lang w:eastAsia="es-ES"/>
        </w:rPr>
        <w:t xml:space="preserve"> </w:t>
      </w:r>
      <w:r w:rsidRPr="00EE2FA1">
        <w:rPr>
          <w:rFonts w:ascii="Times New Roman" w:hAnsi="Times New Roman" w:cs="Times New Roman"/>
          <w:iCs/>
          <w:sz w:val="28"/>
          <w:lang w:eastAsia="es-ES"/>
        </w:rPr>
        <w:t xml:space="preserve">para originar la carga tributaria, que la renta y las ganancias adicionales asociadas a los incrementos de precios son factores que permiten inferir razonablemente la oportunidad que tienen las compañías de asumir las obligaciones fiscales acusadas. </w:t>
      </w:r>
    </w:p>
    <w:p w:rsidR="00B546E2" w:rsidRPr="00EE2FA1" w:rsidRDefault="00EE2FA1" w:rsidP="0069414E">
      <w:pPr>
        <w:spacing w:line="0" w:lineRule="atLeast"/>
        <w:ind w:left="567"/>
        <w:jc w:val="both"/>
        <w:rPr>
          <w:rFonts w:ascii="Times New Roman" w:hAnsi="Times New Roman" w:cs="Times New Roman"/>
          <w:iCs/>
          <w:sz w:val="28"/>
          <w:lang w:eastAsia="es-ES"/>
        </w:rPr>
      </w:pPr>
    </w:p>
    <w:p w:rsidR="00B546E2" w:rsidRPr="00EE2FA1" w:rsidRDefault="00EE2FA1" w:rsidP="00B546E2">
      <w:pPr>
        <w:spacing w:line="0" w:lineRule="atLeast"/>
        <w:ind w:left="567"/>
        <w:jc w:val="both"/>
        <w:rPr>
          <w:rFonts w:ascii="Times New Roman" w:hAnsi="Times New Roman" w:cs="Times New Roman"/>
          <w:iCs/>
          <w:sz w:val="28"/>
          <w:lang w:eastAsia="es-ES"/>
        </w:rPr>
      </w:pPr>
      <w:r w:rsidRPr="00EE2FA1">
        <w:rPr>
          <w:rFonts w:ascii="Times New Roman" w:hAnsi="Times New Roman" w:cs="Times New Roman"/>
          <w:iCs/>
          <w:sz w:val="28"/>
          <w:lang w:eastAsia="es-ES"/>
        </w:rPr>
        <w:t xml:space="preserve">De </w:t>
      </w:r>
      <w:r w:rsidRPr="00EE2FA1">
        <w:rPr>
          <w:rFonts w:ascii="Times New Roman" w:hAnsi="Times New Roman" w:cs="Times New Roman"/>
          <w:iCs/>
          <w:sz w:val="28"/>
          <w:lang w:eastAsia="es-ES"/>
        </w:rPr>
        <w:t>otro lado, la Procuraduría considera que el medio utilizado para lograr dicha finalidad es idóneo, dado que una sobretasa es un recargo a un tributo que aumenta la obligación fiscal del sujeto pasivo y, en consecuencia, incrementa el recaudo en favor de la</w:t>
      </w:r>
      <w:r w:rsidRPr="00EE2FA1">
        <w:rPr>
          <w:rFonts w:ascii="Times New Roman" w:hAnsi="Times New Roman" w:cs="Times New Roman"/>
          <w:iCs/>
          <w:sz w:val="28"/>
          <w:lang w:eastAsia="es-ES"/>
        </w:rPr>
        <w:t xml:space="preserve"> administración. (…) el Ministerio Público concluye que ‘la sobretasa impugnada lejos de vulnerar el principio de equidad tributaria, lo maximiza, pues el legislador impuesto una mayor tributación a quien tiene mayores ingresos y capacidad económica para c</w:t>
      </w:r>
      <w:r w:rsidRPr="00EE2FA1">
        <w:rPr>
          <w:rFonts w:ascii="Times New Roman" w:hAnsi="Times New Roman" w:cs="Times New Roman"/>
          <w:iCs/>
          <w:sz w:val="28"/>
          <w:lang w:eastAsia="es-ES"/>
        </w:rPr>
        <w:t>ontribuir con los gastos del Estado’, como sucede con las empresas del sector petrolero con renta gravable superior a 50.000, es decir, a $2.120.600.000 en el año 2023.”</w:t>
      </w:r>
      <w:r w:rsidRPr="00EE2FA1">
        <w:rPr>
          <w:rStyle w:val="Refdenotaalpie"/>
          <w:rFonts w:ascii="Times New Roman" w:hAnsi="Times New Roman" w:cs="Times New Roman"/>
          <w:iCs/>
          <w:sz w:val="28"/>
          <w:lang w:eastAsia="es-ES"/>
        </w:rPr>
        <w:footnoteReference w:id="35"/>
      </w:r>
      <w:r w:rsidRPr="00EE2FA1">
        <w:rPr>
          <w:rFonts w:ascii="Times New Roman" w:hAnsi="Times New Roman" w:cs="Times New Roman"/>
          <w:iCs/>
          <w:sz w:val="28"/>
          <w:lang w:eastAsia="es-ES"/>
        </w:rPr>
        <w:t xml:space="preserve"> </w:t>
      </w:r>
    </w:p>
    <w:p w:rsidR="004554DD"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lang w:eastAsia="es-ES"/>
        </w:rPr>
      </w:pPr>
    </w:p>
    <w:p w:rsidR="004554DD"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bCs/>
          <w:sz w:val="28"/>
          <w:szCs w:val="28"/>
          <w:lang w:val="es-ES_tradnl"/>
        </w:rPr>
        <w:t xml:space="preserve">Conforme a lo expuesto, solicitó declarar la exequibilidad del parágrafo 3º del artículo 10º de la Ley 2277 de 2023, porque no desconoce los principios de justicia, equidad e igualdad tributaria. </w:t>
      </w:r>
    </w:p>
    <w:p w:rsidR="002C3BB2"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B07166"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VI</w:t>
      </w:r>
      <w:r w:rsidRPr="00EE2FA1">
        <w:rPr>
          <w:rFonts w:ascii="Times New Roman" w:eastAsia="Calibri" w:hAnsi="Times New Roman" w:cs="Times New Roman"/>
          <w:b/>
          <w:sz w:val="28"/>
          <w:szCs w:val="28"/>
          <w:lang w:eastAsia="es-ES"/>
        </w:rPr>
        <w:t>I</w:t>
      </w:r>
      <w:r w:rsidRPr="00EE2FA1">
        <w:rPr>
          <w:rFonts w:ascii="Times New Roman" w:eastAsia="Calibri" w:hAnsi="Times New Roman" w:cs="Times New Roman"/>
          <w:b/>
          <w:sz w:val="28"/>
          <w:szCs w:val="28"/>
          <w:lang w:eastAsia="es-ES"/>
        </w:rPr>
        <w:t>. Consideraciones de la Corte Constitucional</w:t>
      </w:r>
    </w:p>
    <w:p w:rsidR="008A02AA"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8A02AA"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r w:rsidRPr="00EE2FA1">
        <w:rPr>
          <w:rFonts w:ascii="Times New Roman" w:eastAsia="Calibri" w:hAnsi="Times New Roman" w:cs="Times New Roman"/>
          <w:b/>
          <w:sz w:val="28"/>
          <w:szCs w:val="28"/>
          <w:lang w:eastAsia="es-ES"/>
        </w:rPr>
        <w:t>Competenc</w:t>
      </w:r>
      <w:r w:rsidRPr="00EE2FA1">
        <w:rPr>
          <w:rFonts w:ascii="Times New Roman" w:eastAsia="Calibri" w:hAnsi="Times New Roman" w:cs="Times New Roman"/>
          <w:b/>
          <w:sz w:val="28"/>
          <w:szCs w:val="28"/>
          <w:lang w:eastAsia="es-ES"/>
        </w:rPr>
        <w:t>ia</w:t>
      </w:r>
    </w:p>
    <w:p w:rsidR="008A02AA" w:rsidRPr="00EE2FA1" w:rsidRDefault="00EE2FA1" w:rsidP="00C833B9">
      <w:pPr>
        <w:pStyle w:val="Prrafodelista"/>
        <w:tabs>
          <w:tab w:val="left" w:pos="426"/>
        </w:tabs>
        <w:spacing w:line="0" w:lineRule="atLeast"/>
        <w:ind w:left="0"/>
        <w:jc w:val="both"/>
        <w:rPr>
          <w:rFonts w:ascii="Times New Roman" w:eastAsia="Calibri" w:hAnsi="Times New Roman" w:cs="Times New Roman"/>
          <w:b/>
          <w:sz w:val="28"/>
          <w:szCs w:val="28"/>
          <w:lang w:eastAsia="es-ES"/>
        </w:rPr>
      </w:pPr>
    </w:p>
    <w:p w:rsidR="008A02AA"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eastAsia="Calibri" w:hAnsi="Times New Roman" w:cs="Times New Roman"/>
          <w:sz w:val="28"/>
          <w:szCs w:val="28"/>
          <w:lang w:eastAsia="es-ES"/>
        </w:rPr>
        <w:t>En virtud de lo dispuesto en el artículo 241</w:t>
      </w:r>
      <w:r w:rsidRPr="00EE2FA1">
        <w:rPr>
          <w:rFonts w:ascii="Times New Roman" w:eastAsia="Calibri" w:hAnsi="Times New Roman" w:cs="Times New Roman"/>
          <w:sz w:val="28"/>
          <w:szCs w:val="28"/>
          <w:lang w:eastAsia="es-ES"/>
        </w:rPr>
        <w:t>.4</w:t>
      </w:r>
      <w:r w:rsidRPr="00EE2FA1">
        <w:rPr>
          <w:rFonts w:ascii="Times New Roman" w:eastAsia="Calibri" w:hAnsi="Times New Roman" w:cs="Times New Roman"/>
          <w:sz w:val="28"/>
          <w:szCs w:val="28"/>
          <w:lang w:eastAsia="es-ES"/>
        </w:rPr>
        <w:t xml:space="preserve"> de la C</w:t>
      </w:r>
      <w:r w:rsidRPr="00EE2FA1">
        <w:rPr>
          <w:rFonts w:ascii="Times New Roman" w:eastAsia="Calibri" w:hAnsi="Times New Roman" w:cs="Times New Roman"/>
          <w:sz w:val="28"/>
          <w:szCs w:val="28"/>
          <w:lang w:eastAsia="es-ES"/>
        </w:rPr>
        <w:t>arta</w:t>
      </w:r>
      <w:r w:rsidRPr="00EE2FA1">
        <w:rPr>
          <w:rFonts w:ascii="Times New Roman" w:eastAsia="Calibri" w:hAnsi="Times New Roman" w:cs="Times New Roman"/>
          <w:sz w:val="28"/>
          <w:szCs w:val="28"/>
          <w:lang w:eastAsia="es-ES"/>
        </w:rPr>
        <w:t xml:space="preserve"> Política, la Corte Constitucional es competente para conocer de esta demanda, pues se trata de una acusación de inconstitucionalidad contra </w:t>
      </w:r>
      <w:r w:rsidRPr="00EE2FA1">
        <w:rPr>
          <w:rFonts w:ascii="Times New Roman" w:eastAsia="Calibri" w:hAnsi="Times New Roman" w:cs="Times New Roman"/>
          <w:sz w:val="28"/>
          <w:szCs w:val="28"/>
          <w:lang w:eastAsia="es-ES"/>
        </w:rPr>
        <w:t>los apartados contenidos</w:t>
      </w:r>
      <w:r w:rsidRPr="00EE2FA1">
        <w:rPr>
          <w:rFonts w:ascii="Times New Roman" w:eastAsia="Calibri" w:hAnsi="Times New Roman" w:cs="Times New Roman"/>
          <w:sz w:val="28"/>
          <w:szCs w:val="28"/>
          <w:lang w:eastAsia="es-ES"/>
        </w:rPr>
        <w:t xml:space="preserve"> en </w:t>
      </w:r>
      <w:r w:rsidRPr="00EE2FA1">
        <w:rPr>
          <w:rFonts w:ascii="Times New Roman" w:eastAsia="Calibri" w:hAnsi="Times New Roman" w:cs="Times New Roman"/>
          <w:sz w:val="28"/>
          <w:szCs w:val="28"/>
          <w:lang w:eastAsia="es-ES"/>
        </w:rPr>
        <w:t>precepto</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que forma</w:t>
      </w:r>
      <w:r w:rsidRPr="00EE2FA1">
        <w:rPr>
          <w:rFonts w:ascii="Times New Roman" w:eastAsia="Calibri" w:hAnsi="Times New Roman" w:cs="Times New Roman"/>
          <w:sz w:val="28"/>
          <w:szCs w:val="28"/>
          <w:lang w:eastAsia="es-ES"/>
        </w:rPr>
        <w:t>n</w:t>
      </w:r>
      <w:r w:rsidRPr="00EE2FA1">
        <w:rPr>
          <w:rFonts w:ascii="Times New Roman" w:eastAsia="Calibri" w:hAnsi="Times New Roman" w:cs="Times New Roman"/>
          <w:sz w:val="28"/>
          <w:szCs w:val="28"/>
          <w:lang w:eastAsia="es-ES"/>
        </w:rPr>
        <w:t xml:space="preserve"> parte de una ley de la República.</w:t>
      </w:r>
    </w:p>
    <w:p w:rsidR="00845136"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786140" w:rsidRPr="00EE2FA1" w:rsidRDefault="00EE2FA1" w:rsidP="00C833B9">
      <w:pPr>
        <w:tabs>
          <w:tab w:val="left" w:pos="426"/>
          <w:tab w:val="left" w:pos="2415"/>
        </w:tabs>
        <w:spacing w:line="0" w:lineRule="atLeast"/>
        <w:jc w:val="both"/>
        <w:rPr>
          <w:rFonts w:ascii="Times New Roman" w:hAnsi="Times New Roman" w:cs="Times New Roman"/>
          <w:b/>
          <w:bCs/>
          <w:sz w:val="28"/>
          <w:szCs w:val="28"/>
        </w:rPr>
      </w:pPr>
      <w:r w:rsidRPr="00EE2FA1">
        <w:rPr>
          <w:rFonts w:ascii="Times New Roman" w:hAnsi="Times New Roman" w:cs="Times New Roman"/>
          <w:b/>
          <w:bCs/>
          <w:sz w:val="28"/>
          <w:szCs w:val="28"/>
        </w:rPr>
        <w:t>Cuestiones previas</w:t>
      </w:r>
    </w:p>
    <w:p w:rsidR="00786140"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507264" w:rsidRPr="00EE2FA1" w:rsidRDefault="00EE2FA1" w:rsidP="00C833B9">
      <w:pPr>
        <w:tabs>
          <w:tab w:val="left" w:pos="426"/>
          <w:tab w:val="left" w:pos="2415"/>
        </w:tabs>
        <w:spacing w:line="0" w:lineRule="atLeast"/>
        <w:jc w:val="both"/>
        <w:rPr>
          <w:rFonts w:ascii="Times New Roman" w:hAnsi="Times New Roman" w:cs="Times New Roman"/>
          <w:b/>
          <w:bCs/>
          <w:sz w:val="28"/>
          <w:szCs w:val="28"/>
        </w:rPr>
      </w:pPr>
      <w:r w:rsidRPr="00EE2FA1">
        <w:rPr>
          <w:rFonts w:ascii="Times New Roman" w:hAnsi="Times New Roman" w:cs="Times New Roman"/>
          <w:b/>
          <w:bCs/>
          <w:sz w:val="28"/>
          <w:szCs w:val="28"/>
        </w:rPr>
        <w:t>Presentación oportuna de la demanda</w:t>
      </w:r>
    </w:p>
    <w:p w:rsidR="00507264"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C01704"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eastAsia="Calibri" w:hAnsi="Times New Roman" w:cs="Times New Roman"/>
          <w:sz w:val="28"/>
          <w:szCs w:val="28"/>
          <w:lang w:eastAsia="es-ES"/>
        </w:rPr>
        <w:t>El artículo 242.3 de la Constitución establece que las acciones públicas de inconstitucionalidad por vicios de forma tienen un término de caducidad de un año. Este</w:t>
      </w:r>
      <w:r w:rsidRPr="00EE2FA1">
        <w:rPr>
          <w:rFonts w:ascii="Times New Roman" w:eastAsia="Calibri" w:hAnsi="Times New Roman" w:cs="Times New Roman"/>
          <w:sz w:val="28"/>
          <w:szCs w:val="28"/>
          <w:lang w:eastAsia="es-ES"/>
        </w:rPr>
        <w:t xml:space="preserve"> plazo se cuenta desde la publicación del acto respectivo.</w:t>
      </w:r>
    </w:p>
    <w:p w:rsidR="00D22E9F" w:rsidRPr="00EE2FA1" w:rsidRDefault="00EE2FA1" w:rsidP="00D22E9F">
      <w:pPr>
        <w:pStyle w:val="Prrafodelista"/>
        <w:tabs>
          <w:tab w:val="left" w:pos="426"/>
        </w:tabs>
        <w:spacing w:line="0" w:lineRule="atLeast"/>
        <w:ind w:left="0"/>
        <w:jc w:val="both"/>
        <w:rPr>
          <w:rFonts w:ascii="Times New Roman" w:hAnsi="Times New Roman" w:cs="Times New Roman"/>
          <w:iCs/>
          <w:sz w:val="28"/>
          <w:szCs w:val="28"/>
          <w:lang w:eastAsia="es-ES"/>
        </w:rPr>
      </w:pPr>
    </w:p>
    <w:p w:rsidR="00C01704"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hAnsi="Times New Roman" w:cs="Times New Roman"/>
          <w:iCs/>
          <w:sz w:val="28"/>
          <w:szCs w:val="28"/>
          <w:lang w:eastAsia="es-ES"/>
        </w:rPr>
        <w:t>En el presente caso, la Ley 2277 de 2022 fue publicada en el Diario Oficial el 13 de diciembre del mismo año</w:t>
      </w:r>
      <w:r w:rsidRPr="00EE2FA1">
        <w:rPr>
          <w:rFonts w:ascii="Times New Roman" w:hAnsi="Times New Roman" w:cs="Times New Roman"/>
          <w:iCs/>
          <w:sz w:val="28"/>
          <w:szCs w:val="28"/>
          <w:vertAlign w:val="superscript"/>
          <w:lang w:eastAsia="es-ES"/>
        </w:rPr>
        <w:footnoteReference w:id="36"/>
      </w:r>
      <w:r w:rsidRPr="00EE2FA1">
        <w:rPr>
          <w:rFonts w:ascii="Times New Roman" w:hAnsi="Times New Roman" w:cs="Times New Roman"/>
          <w:iCs/>
          <w:sz w:val="28"/>
          <w:szCs w:val="28"/>
          <w:lang w:eastAsia="es-ES"/>
        </w:rPr>
        <w:t xml:space="preserve">. Por su parte, la demanda fue presentada el 31 de marzo de 2023 y </w:t>
      </w:r>
      <w:r w:rsidRPr="00EE2FA1">
        <w:rPr>
          <w:rFonts w:ascii="Times New Roman" w:hAnsi="Times New Roman" w:cs="Times New Roman"/>
          <w:iCs/>
          <w:sz w:val="28"/>
          <w:szCs w:val="28"/>
          <w:lang w:eastAsia="es-ES"/>
        </w:rPr>
        <w:t>en ella, se formular</w:t>
      </w:r>
      <w:r w:rsidRPr="00EE2FA1">
        <w:rPr>
          <w:rFonts w:ascii="Times New Roman" w:hAnsi="Times New Roman" w:cs="Times New Roman"/>
          <w:iCs/>
          <w:sz w:val="28"/>
          <w:szCs w:val="28"/>
          <w:lang w:eastAsia="es-ES"/>
        </w:rPr>
        <w:t xml:space="preserve">on </w:t>
      </w:r>
      <w:r w:rsidRPr="00EE2FA1">
        <w:rPr>
          <w:rFonts w:ascii="Times New Roman" w:hAnsi="Times New Roman" w:cs="Times New Roman"/>
          <w:iCs/>
          <w:sz w:val="28"/>
          <w:szCs w:val="28"/>
          <w:lang w:eastAsia="es-ES"/>
        </w:rPr>
        <w:t>varios cargos</w:t>
      </w:r>
      <w:r w:rsidRPr="00EE2FA1">
        <w:rPr>
          <w:rFonts w:ascii="Times New Roman" w:hAnsi="Times New Roman" w:cs="Times New Roman"/>
          <w:iCs/>
          <w:sz w:val="28"/>
          <w:szCs w:val="28"/>
          <w:lang w:eastAsia="es-ES"/>
        </w:rPr>
        <w:t>,</w:t>
      </w:r>
      <w:r w:rsidRPr="00EE2FA1">
        <w:rPr>
          <w:rFonts w:ascii="Times New Roman" w:hAnsi="Times New Roman" w:cs="Times New Roman"/>
          <w:iCs/>
          <w:sz w:val="28"/>
          <w:szCs w:val="28"/>
          <w:lang w:eastAsia="es-ES"/>
        </w:rPr>
        <w:t xml:space="preserve"> tanto por vicios formales como materiales. En consecuencia, la Corte constata que la presenta acción, respecto de los vicios de procedimiento, fue </w:t>
      </w:r>
      <w:r w:rsidRPr="00EE2FA1">
        <w:rPr>
          <w:rFonts w:ascii="Times New Roman" w:hAnsi="Times New Roman" w:cs="Times New Roman"/>
          <w:iCs/>
          <w:sz w:val="28"/>
          <w:szCs w:val="28"/>
          <w:lang w:eastAsia="es-ES"/>
        </w:rPr>
        <w:t>presentada</w:t>
      </w:r>
      <w:r w:rsidRPr="00EE2FA1">
        <w:rPr>
          <w:rFonts w:ascii="Times New Roman" w:hAnsi="Times New Roman" w:cs="Times New Roman"/>
          <w:iCs/>
          <w:sz w:val="28"/>
          <w:szCs w:val="28"/>
          <w:lang w:eastAsia="es-ES"/>
        </w:rPr>
        <w:t xml:space="preserve"> oportunamente</w:t>
      </w:r>
      <w:r w:rsidRPr="00EE2FA1">
        <w:rPr>
          <w:rFonts w:ascii="Times New Roman" w:hAnsi="Times New Roman" w:cs="Times New Roman"/>
          <w:iCs/>
          <w:sz w:val="28"/>
          <w:szCs w:val="28"/>
          <w:lang w:eastAsia="es-ES"/>
        </w:rPr>
        <w:t xml:space="preserve"> y no se configuró la caducidad</w:t>
      </w:r>
      <w:r w:rsidRPr="00EE2FA1">
        <w:rPr>
          <w:rFonts w:ascii="Times New Roman" w:hAnsi="Times New Roman" w:cs="Times New Roman"/>
          <w:iCs/>
          <w:sz w:val="28"/>
          <w:szCs w:val="28"/>
          <w:lang w:eastAsia="es-ES"/>
        </w:rPr>
        <w:t>.</w:t>
      </w:r>
    </w:p>
    <w:p w:rsidR="00507264"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C929C3" w:rsidRPr="00EE2FA1" w:rsidRDefault="00EE2FA1" w:rsidP="00C833B9">
      <w:pPr>
        <w:pStyle w:val="Prrafodelista"/>
        <w:tabs>
          <w:tab w:val="left" w:pos="284"/>
          <w:tab w:val="left" w:pos="426"/>
        </w:tabs>
        <w:spacing w:line="0" w:lineRule="atLeast"/>
        <w:ind w:left="0"/>
        <w:jc w:val="both"/>
        <w:rPr>
          <w:rFonts w:ascii="Times New Roman" w:hAnsi="Times New Roman" w:cs="Times New Roman"/>
          <w:b/>
          <w:bCs/>
          <w:sz w:val="28"/>
          <w:szCs w:val="28"/>
        </w:rPr>
      </w:pPr>
      <w:r w:rsidRPr="00EE2FA1">
        <w:rPr>
          <w:rFonts w:ascii="Times New Roman" w:hAnsi="Times New Roman" w:cs="Times New Roman"/>
          <w:b/>
          <w:bCs/>
          <w:sz w:val="28"/>
          <w:szCs w:val="28"/>
        </w:rPr>
        <w:t>Examen de la cosa juzgada constit</w:t>
      </w:r>
      <w:r w:rsidRPr="00EE2FA1">
        <w:rPr>
          <w:rFonts w:ascii="Times New Roman" w:hAnsi="Times New Roman" w:cs="Times New Roman"/>
          <w:b/>
          <w:bCs/>
          <w:sz w:val="28"/>
          <w:szCs w:val="28"/>
        </w:rPr>
        <w:t>ucional</w:t>
      </w:r>
    </w:p>
    <w:p w:rsidR="00C929C3" w:rsidRPr="00EE2FA1" w:rsidRDefault="00EE2FA1" w:rsidP="00C833B9">
      <w:pPr>
        <w:pStyle w:val="Prrafodelista"/>
        <w:tabs>
          <w:tab w:val="left" w:pos="284"/>
          <w:tab w:val="left" w:pos="426"/>
        </w:tabs>
        <w:spacing w:line="0" w:lineRule="atLeast"/>
        <w:ind w:left="0"/>
        <w:jc w:val="both"/>
        <w:rPr>
          <w:rFonts w:ascii="Times New Roman" w:eastAsia="Calibri" w:hAnsi="Times New Roman" w:cs="Times New Roman"/>
          <w:sz w:val="28"/>
          <w:szCs w:val="28"/>
          <w:lang w:eastAsia="es-ES"/>
        </w:rPr>
      </w:pPr>
    </w:p>
    <w:p w:rsidR="00A810D0"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lang w:eastAsia="es-ES"/>
        </w:rPr>
      </w:pPr>
      <w:r w:rsidRPr="00EE2FA1">
        <w:rPr>
          <w:rFonts w:ascii="Times New Roman" w:eastAsia="Calibri" w:hAnsi="Times New Roman" w:cs="Times New Roman"/>
          <w:sz w:val="28"/>
          <w:szCs w:val="28"/>
          <w:lang w:eastAsia="es-ES"/>
        </w:rPr>
        <w:t>Una de las normas demandadas en el presente proceso</w:t>
      </w:r>
      <w:r w:rsidRPr="00EE2FA1">
        <w:rPr>
          <w:rFonts w:ascii="Times New Roman" w:eastAsia="Calibri" w:hAnsi="Times New Roman" w:cs="Times New Roman"/>
          <w:sz w:val="28"/>
          <w:szCs w:val="28"/>
          <w:lang w:eastAsia="es-ES"/>
        </w:rPr>
        <w:t>, por vicios de forma,</w:t>
      </w:r>
      <w:r w:rsidRPr="00EE2FA1">
        <w:rPr>
          <w:rFonts w:ascii="Times New Roman" w:eastAsia="Calibri" w:hAnsi="Times New Roman" w:cs="Times New Roman"/>
          <w:sz w:val="28"/>
          <w:szCs w:val="28"/>
          <w:lang w:eastAsia="es-ES"/>
        </w:rPr>
        <w:t xml:space="preserve"> es el artículo 19 de la Ley 2277 de 2022</w:t>
      </w:r>
      <w:r w:rsidRPr="00EE2FA1">
        <w:rPr>
          <w:rFonts w:ascii="Times New Roman" w:eastAsia="Calibri" w:hAnsi="Times New Roman" w:cs="Times New Roman"/>
          <w:sz w:val="28"/>
          <w:szCs w:val="28"/>
          <w:lang w:eastAsia="es-ES"/>
        </w:rPr>
        <w:t>, en su integridad</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L</w:t>
      </w:r>
      <w:r w:rsidRPr="00EE2FA1">
        <w:rPr>
          <w:rFonts w:ascii="Times New Roman" w:eastAsia="Calibri" w:hAnsi="Times New Roman" w:cs="Times New Roman"/>
          <w:sz w:val="28"/>
          <w:szCs w:val="28"/>
          <w:lang w:eastAsia="es-ES"/>
        </w:rPr>
        <w:t>a Sentencia C-</w:t>
      </w:r>
      <w:r w:rsidRPr="00EE2FA1">
        <w:rPr>
          <w:rFonts w:ascii="Times New Roman" w:eastAsia="Calibri" w:hAnsi="Times New Roman" w:cs="Times New Roman"/>
          <w:sz w:val="28"/>
          <w:szCs w:val="28"/>
          <w:lang w:eastAsia="es-ES"/>
        </w:rPr>
        <w:t xml:space="preserve">489 de 2023 </w:t>
      </w:r>
      <w:r w:rsidRPr="00EE2FA1">
        <w:rPr>
          <w:rFonts w:ascii="Times New Roman" w:eastAsia="Calibri" w:hAnsi="Times New Roman" w:cs="Times New Roman"/>
          <w:sz w:val="28"/>
          <w:szCs w:val="28"/>
          <w:lang w:eastAsia="es-ES"/>
        </w:rPr>
        <w:t xml:space="preserve">estudió </w:t>
      </w:r>
      <w:r w:rsidRPr="00EE2FA1">
        <w:rPr>
          <w:rFonts w:ascii="Times New Roman" w:eastAsia="Calibri" w:hAnsi="Times New Roman" w:cs="Times New Roman"/>
          <w:sz w:val="28"/>
          <w:szCs w:val="28"/>
          <w:lang w:eastAsia="es-ES"/>
        </w:rPr>
        <w:t xml:space="preserve">la constitucionalidad del </w:t>
      </w:r>
      <w:r w:rsidRPr="00EE2FA1">
        <w:rPr>
          <w:rFonts w:ascii="Times New Roman" w:eastAsia="Calibri" w:hAnsi="Times New Roman" w:cs="Times New Roman"/>
          <w:sz w:val="28"/>
          <w:szCs w:val="28"/>
          <w:lang w:eastAsia="es-ES"/>
        </w:rPr>
        <w:t xml:space="preserve">parágrafo 1.° del </w:t>
      </w:r>
      <w:r w:rsidRPr="00EE2FA1">
        <w:rPr>
          <w:rFonts w:ascii="Times New Roman" w:eastAsia="Calibri" w:hAnsi="Times New Roman" w:cs="Times New Roman"/>
          <w:sz w:val="28"/>
          <w:szCs w:val="28"/>
          <w:lang w:eastAsia="es-ES"/>
        </w:rPr>
        <w:t>citado artículo</w:t>
      </w:r>
      <w:r w:rsidRPr="00EE2FA1">
        <w:rPr>
          <w:rFonts w:ascii="Times New Roman" w:eastAsia="Calibri" w:hAnsi="Times New Roman" w:cs="Times New Roman"/>
          <w:sz w:val="28"/>
          <w:szCs w:val="28"/>
          <w:lang w:eastAsia="es-ES"/>
        </w:rPr>
        <w:t xml:space="preserve">. Por este motivo, </w:t>
      </w:r>
      <w:r w:rsidRPr="00EE2FA1">
        <w:rPr>
          <w:rFonts w:ascii="Times New Roman" w:eastAsia="Calibri" w:hAnsi="Times New Roman" w:cs="Times New Roman"/>
          <w:sz w:val="28"/>
          <w:szCs w:val="28"/>
          <w:lang w:eastAsia="es-ES"/>
        </w:rPr>
        <w:t>debe analizarse si operó el fenómeno de la cosa juzgada constitucional que impid</w:t>
      </w:r>
      <w:r w:rsidRPr="00EE2FA1">
        <w:rPr>
          <w:rFonts w:ascii="Times New Roman" w:eastAsia="Calibri" w:hAnsi="Times New Roman" w:cs="Times New Roman"/>
          <w:sz w:val="28"/>
          <w:szCs w:val="28"/>
          <w:lang w:eastAsia="es-ES"/>
        </w:rPr>
        <w:t>a</w:t>
      </w:r>
      <w:r w:rsidRPr="00EE2FA1">
        <w:rPr>
          <w:rFonts w:ascii="Times New Roman" w:eastAsia="Calibri" w:hAnsi="Times New Roman" w:cs="Times New Roman"/>
          <w:sz w:val="28"/>
          <w:szCs w:val="28"/>
          <w:lang w:eastAsia="es-ES"/>
        </w:rPr>
        <w:t xml:space="preserve"> un nuevo pronunciamiento</w:t>
      </w:r>
      <w:r w:rsidRPr="00EE2FA1">
        <w:rPr>
          <w:rFonts w:ascii="Times New Roman" w:eastAsia="Calibri" w:hAnsi="Times New Roman" w:cs="Times New Roman"/>
          <w:sz w:val="28"/>
          <w:szCs w:val="28"/>
          <w:lang w:eastAsia="es-ES"/>
        </w:rPr>
        <w:t xml:space="preserve"> sobre el particular</w:t>
      </w:r>
      <w:r w:rsidRPr="00EE2FA1">
        <w:rPr>
          <w:rFonts w:ascii="Times New Roman" w:eastAsia="Calibri" w:hAnsi="Times New Roman" w:cs="Times New Roman"/>
          <w:sz w:val="28"/>
          <w:szCs w:val="28"/>
          <w:lang w:eastAsia="es-ES"/>
        </w:rPr>
        <w:t>.</w:t>
      </w:r>
    </w:p>
    <w:p w:rsidR="0065617F" w:rsidRPr="00EE2FA1" w:rsidRDefault="00EE2FA1" w:rsidP="00C833B9">
      <w:pPr>
        <w:pStyle w:val="Prrafodelista"/>
        <w:tabs>
          <w:tab w:val="left" w:pos="426"/>
        </w:tabs>
        <w:spacing w:line="0" w:lineRule="atLeast"/>
        <w:ind w:left="0"/>
        <w:jc w:val="both"/>
        <w:rPr>
          <w:rFonts w:ascii="Times New Roman" w:hAnsi="Times New Roman" w:cs="Times New Roman"/>
          <w:iCs/>
          <w:sz w:val="28"/>
          <w:szCs w:val="28"/>
          <w:lang w:eastAsia="es-ES"/>
        </w:rPr>
      </w:pPr>
    </w:p>
    <w:p w:rsidR="00A810D0"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iCs/>
          <w:sz w:val="28"/>
          <w:szCs w:val="28"/>
          <w:lang w:eastAsia="es-ES"/>
        </w:rPr>
        <w:t>La jurisprudencia define la cosa juzgada constitucional, prevista en el artículo 243 de la Constitución, como una institución j</w:t>
      </w:r>
      <w:r w:rsidRPr="00EE2FA1">
        <w:rPr>
          <w:rFonts w:ascii="Times New Roman" w:hAnsi="Times New Roman" w:cs="Times New Roman"/>
          <w:iCs/>
          <w:sz w:val="28"/>
          <w:szCs w:val="28"/>
          <w:lang w:eastAsia="es-ES"/>
        </w:rPr>
        <w:t>urídica procesal que ampara el principio de seguridad jurídica y que garantiza la estabilidad de las decisiones adoptadas por esta corporación</w:t>
      </w:r>
      <w:r w:rsidRPr="00EE2FA1">
        <w:rPr>
          <w:rFonts w:ascii="Times New Roman" w:hAnsi="Times New Roman" w:cs="Times New Roman"/>
          <w:iCs/>
          <w:sz w:val="28"/>
          <w:szCs w:val="28"/>
          <w:vertAlign w:val="superscript"/>
          <w:lang w:eastAsia="es-ES"/>
        </w:rPr>
        <w:footnoteReference w:id="37"/>
      </w:r>
      <w:r w:rsidRPr="00EE2FA1">
        <w:rPr>
          <w:rFonts w:ascii="Times New Roman" w:hAnsi="Times New Roman" w:cs="Times New Roman"/>
          <w:iCs/>
          <w:sz w:val="28"/>
          <w:szCs w:val="28"/>
          <w:lang w:eastAsia="es-ES"/>
        </w:rPr>
        <w:t xml:space="preserve">. En virtud de ella, las decisiones adoptadas por la Corte </w:t>
      </w:r>
      <w:r w:rsidRPr="00EE2FA1">
        <w:rPr>
          <w:rFonts w:ascii="Times New Roman" w:hAnsi="Times New Roman" w:cs="Times New Roman"/>
          <w:iCs/>
          <w:sz w:val="28"/>
          <w:szCs w:val="28"/>
          <w:lang w:eastAsia="es-ES"/>
        </w:rPr>
        <w:t xml:space="preserve">Constitucional </w:t>
      </w:r>
      <w:r w:rsidRPr="00EE2FA1">
        <w:rPr>
          <w:rFonts w:ascii="Times New Roman" w:hAnsi="Times New Roman" w:cs="Times New Roman"/>
          <w:iCs/>
          <w:sz w:val="28"/>
          <w:szCs w:val="28"/>
          <w:lang w:eastAsia="es-ES"/>
        </w:rPr>
        <w:t>adquieren valor jurídico o fuerza vincu</w:t>
      </w:r>
      <w:r w:rsidRPr="00EE2FA1">
        <w:rPr>
          <w:rFonts w:ascii="Times New Roman" w:hAnsi="Times New Roman" w:cs="Times New Roman"/>
          <w:iCs/>
          <w:sz w:val="28"/>
          <w:szCs w:val="28"/>
          <w:lang w:eastAsia="es-ES"/>
        </w:rPr>
        <w:t>lante, se tornan definitivas, intangibles, incontrovertibles e inmutables y con efectos </w:t>
      </w:r>
      <w:r w:rsidRPr="00EE2FA1">
        <w:rPr>
          <w:rFonts w:ascii="Times New Roman" w:hAnsi="Times New Roman" w:cs="Times New Roman"/>
          <w:i/>
          <w:iCs/>
          <w:sz w:val="28"/>
          <w:szCs w:val="28"/>
          <w:lang w:eastAsia="es-ES"/>
        </w:rPr>
        <w:t>erga omnes</w:t>
      </w:r>
      <w:r w:rsidRPr="00EE2FA1">
        <w:rPr>
          <w:rFonts w:ascii="Times New Roman" w:hAnsi="Times New Roman" w:cs="Times New Roman"/>
          <w:iCs/>
          <w:sz w:val="28"/>
          <w:szCs w:val="28"/>
          <w:vertAlign w:val="superscript"/>
          <w:lang w:eastAsia="es-ES"/>
        </w:rPr>
        <w:footnoteReference w:id="38"/>
      </w:r>
      <w:r w:rsidRPr="00EE2FA1">
        <w:rPr>
          <w:rFonts w:ascii="Times New Roman" w:hAnsi="Times New Roman" w:cs="Times New Roman"/>
          <w:iCs/>
          <w:sz w:val="28"/>
          <w:szCs w:val="28"/>
          <w:lang w:eastAsia="es-ES"/>
        </w:rPr>
        <w:t xml:space="preserve">. Este tribunal se ha referido reiteradamente a la finalidad, funciones y consecuencias de la cosa juzgada, así como a las distintas modalidades que puede </w:t>
      </w:r>
      <w:r w:rsidRPr="00EE2FA1">
        <w:rPr>
          <w:rFonts w:ascii="Times New Roman" w:hAnsi="Times New Roman" w:cs="Times New Roman"/>
          <w:iCs/>
          <w:sz w:val="28"/>
          <w:szCs w:val="28"/>
          <w:lang w:eastAsia="es-ES"/>
        </w:rPr>
        <w:t>presentar</w:t>
      </w:r>
      <w:bookmarkStart w:id="4" w:name="_ftnref15"/>
      <w:r w:rsidRPr="00EE2FA1">
        <w:rPr>
          <w:rFonts w:ascii="Times New Roman" w:hAnsi="Times New Roman" w:cs="Times New Roman"/>
          <w:iCs/>
          <w:sz w:val="28"/>
          <w:szCs w:val="28"/>
          <w:vertAlign w:val="superscript"/>
          <w:lang w:eastAsia="es-ES"/>
        </w:rPr>
        <w:footnoteReference w:id="39"/>
      </w:r>
      <w:bookmarkEnd w:id="4"/>
      <w:r w:rsidRPr="00EE2FA1">
        <w:rPr>
          <w:rFonts w:ascii="Times New Roman" w:hAnsi="Times New Roman" w:cs="Times New Roman"/>
          <w:iCs/>
          <w:sz w:val="28"/>
          <w:szCs w:val="28"/>
          <w:lang w:eastAsia="es-ES"/>
        </w:rPr>
        <w:t>. Para efectos de esta providencia, se aludirá a la distinción entre la cosa juzgada absoluta y la cosa juzgada relativa.</w:t>
      </w:r>
    </w:p>
    <w:p w:rsidR="00B918E0"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B918E0"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Sobre esta clasificación, la jurisprudencia ha señalado que existe </w:t>
      </w:r>
      <w:r w:rsidRPr="00EE2FA1">
        <w:rPr>
          <w:rFonts w:ascii="Times New Roman" w:hAnsi="Times New Roman" w:cs="Times New Roman"/>
          <w:i/>
          <w:iCs/>
          <w:sz w:val="28"/>
          <w:szCs w:val="28"/>
        </w:rPr>
        <w:t>cosa juzgada absoluta</w:t>
      </w:r>
      <w:r w:rsidRPr="00EE2FA1">
        <w:rPr>
          <w:rFonts w:ascii="Times New Roman" w:hAnsi="Times New Roman" w:cs="Times New Roman"/>
          <w:sz w:val="28"/>
          <w:szCs w:val="28"/>
        </w:rPr>
        <w:t> cuando una sentencia de la Corte r</w:t>
      </w:r>
      <w:r w:rsidRPr="00EE2FA1">
        <w:rPr>
          <w:rFonts w:ascii="Times New Roman" w:hAnsi="Times New Roman" w:cs="Times New Roman"/>
          <w:sz w:val="28"/>
          <w:szCs w:val="28"/>
        </w:rPr>
        <w:t>esolvió definitivamente la constitucionalidad de una norma</w:t>
      </w:r>
      <w:r w:rsidRPr="00EE2FA1">
        <w:rPr>
          <w:rStyle w:val="Refdenotaalpie"/>
          <w:rFonts w:ascii="Times New Roman" w:hAnsi="Times New Roman" w:cs="Times New Roman"/>
          <w:sz w:val="28"/>
          <w:szCs w:val="28"/>
        </w:rPr>
        <w:footnoteReference w:id="40"/>
      </w:r>
      <w:r w:rsidRPr="00EE2FA1">
        <w:rPr>
          <w:rFonts w:ascii="Times New Roman" w:hAnsi="Times New Roman" w:cs="Times New Roman"/>
          <w:sz w:val="28"/>
          <w:szCs w:val="28"/>
        </w:rPr>
        <w:t>, por lo que el alcance del pronunciamiento no está limitado y se entiende que la disposición fue examinada frente a todo el texto constitucional</w:t>
      </w:r>
      <w:r w:rsidRPr="00EE2FA1">
        <w:rPr>
          <w:rStyle w:val="Refdenotaalpie"/>
          <w:rFonts w:ascii="Times New Roman" w:hAnsi="Times New Roman" w:cs="Times New Roman"/>
          <w:sz w:val="28"/>
          <w:szCs w:val="28"/>
        </w:rPr>
        <w:footnoteReference w:id="41"/>
      </w:r>
      <w:r w:rsidRPr="00EE2FA1">
        <w:rPr>
          <w:rFonts w:ascii="Times New Roman" w:hAnsi="Times New Roman" w:cs="Times New Roman"/>
          <w:sz w:val="28"/>
          <w:szCs w:val="28"/>
        </w:rPr>
        <w:t>. La corporación ha resaltado que este tipo de cosa</w:t>
      </w:r>
      <w:r w:rsidRPr="00EE2FA1">
        <w:rPr>
          <w:rFonts w:ascii="Times New Roman" w:hAnsi="Times New Roman" w:cs="Times New Roman"/>
          <w:sz w:val="28"/>
          <w:szCs w:val="28"/>
        </w:rPr>
        <w:t xml:space="preserve"> juzgada cobra mayor relevancia en decisiones de inexequibilidad “por cuanto en estos casos las normas analizadas y encontradas contrarias a la Carta Política son expulsadas del ordenamiento jurídico, no pudiendo sobre ellas volver a presentarse demanda de</w:t>
      </w:r>
      <w:r w:rsidRPr="00EE2FA1">
        <w:rPr>
          <w:rFonts w:ascii="Times New Roman" w:hAnsi="Times New Roman" w:cs="Times New Roman"/>
          <w:sz w:val="28"/>
          <w:szCs w:val="28"/>
        </w:rPr>
        <w:t xml:space="preserve"> inconstitucionalidad o ser objeto de nueva discusión o debate”</w:t>
      </w:r>
      <w:bookmarkStart w:id="5" w:name="_ftnref10"/>
      <w:r w:rsidRPr="00EE2FA1">
        <w:rPr>
          <w:rStyle w:val="Refdenotaalpie"/>
          <w:rFonts w:ascii="Times New Roman" w:hAnsi="Times New Roman" w:cs="Times New Roman"/>
          <w:sz w:val="28"/>
          <w:szCs w:val="28"/>
        </w:rPr>
        <w:footnoteReference w:id="42"/>
      </w:r>
      <w:bookmarkEnd w:id="5"/>
      <w:r w:rsidRPr="00EE2FA1">
        <w:rPr>
          <w:rFonts w:ascii="Times New Roman" w:hAnsi="Times New Roman" w:cs="Times New Roman"/>
          <w:sz w:val="28"/>
          <w:szCs w:val="28"/>
        </w:rPr>
        <w:t>. En este sentido, cuando la norma es declarada inconstitucional, la cosa juzgada que recae sobre ese mismo texto normativo será siempre absoluta, por cuanto el retiro del ordenamiento jurídic</w:t>
      </w:r>
      <w:r w:rsidRPr="00EE2FA1">
        <w:rPr>
          <w:rFonts w:ascii="Times New Roman" w:hAnsi="Times New Roman" w:cs="Times New Roman"/>
          <w:sz w:val="28"/>
          <w:szCs w:val="28"/>
        </w:rPr>
        <w:t>o se hace con independencia del cargo o los cargos que prosperaron</w:t>
      </w:r>
      <w:bookmarkStart w:id="6" w:name="_ftnref11"/>
      <w:r w:rsidRPr="00EE2FA1">
        <w:rPr>
          <w:rStyle w:val="Refdenotaalpie"/>
          <w:rFonts w:ascii="Times New Roman" w:hAnsi="Times New Roman" w:cs="Times New Roman"/>
          <w:sz w:val="28"/>
          <w:szCs w:val="28"/>
        </w:rPr>
        <w:footnoteReference w:id="43"/>
      </w:r>
      <w:bookmarkEnd w:id="6"/>
      <w:r w:rsidRPr="00EE2FA1">
        <w:rPr>
          <w:rFonts w:ascii="Times New Roman" w:hAnsi="Times New Roman" w:cs="Times New Roman"/>
          <w:sz w:val="28"/>
          <w:szCs w:val="28"/>
        </w:rPr>
        <w:t>.</w:t>
      </w:r>
    </w:p>
    <w:p w:rsidR="00A61C75"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AC098A"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En contraste, se predica la </w:t>
      </w:r>
      <w:r w:rsidRPr="00EE2FA1">
        <w:rPr>
          <w:rFonts w:ascii="Times New Roman" w:eastAsia="Calibri" w:hAnsi="Times New Roman" w:cs="Times New Roman"/>
          <w:i/>
          <w:iCs/>
          <w:sz w:val="28"/>
          <w:szCs w:val="28"/>
          <w:lang w:eastAsia="es-ES"/>
        </w:rPr>
        <w:t>cosa juzgada relativa</w:t>
      </w:r>
      <w:r w:rsidRPr="00EE2FA1">
        <w:rPr>
          <w:rFonts w:ascii="Times New Roman" w:eastAsia="Calibri" w:hAnsi="Times New Roman" w:cs="Times New Roman"/>
          <w:sz w:val="28"/>
          <w:szCs w:val="28"/>
          <w:lang w:eastAsia="es-ES"/>
        </w:rPr>
        <w:t> cuando el análisis realizado por la Corte se circunscribe a un determinado cargo o problema jurídico, de forma explícita o implícita</w:t>
      </w:r>
      <w:bookmarkStart w:id="7" w:name="_ftnref18"/>
      <w:r w:rsidRPr="00EE2FA1">
        <w:rPr>
          <w:rFonts w:ascii="Times New Roman" w:eastAsia="Calibri" w:hAnsi="Times New Roman" w:cs="Times New Roman"/>
          <w:sz w:val="28"/>
          <w:szCs w:val="28"/>
          <w:vertAlign w:val="superscript"/>
          <w:lang w:eastAsia="es-ES"/>
        </w:rPr>
        <w:footnoteReference w:id="44"/>
      </w:r>
      <w:bookmarkEnd w:id="7"/>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Mientras que, en la cosa juzgada absoluta, como regla general, la decisión adoptada conlleva la imposibilidad de volver a examinar cualquier cargo contra la norma, ante la existencia de cosa juzgada relativa, la Corte puede conocer otras demandas, siempre </w:t>
      </w:r>
      <w:r w:rsidRPr="00EE2FA1">
        <w:rPr>
          <w:rFonts w:ascii="Times New Roman" w:eastAsia="Calibri" w:hAnsi="Times New Roman" w:cs="Times New Roman"/>
          <w:sz w:val="28"/>
          <w:szCs w:val="28"/>
          <w:lang w:eastAsia="es-ES"/>
        </w:rPr>
        <w:t>y cuando se propongan cargos nuevos o que no hayan sido resueltos previamente</w:t>
      </w:r>
      <w:bookmarkStart w:id="8" w:name="_ftnref19"/>
      <w:r w:rsidRPr="00EE2FA1">
        <w:rPr>
          <w:rFonts w:ascii="Times New Roman" w:eastAsia="Calibri" w:hAnsi="Times New Roman" w:cs="Times New Roman"/>
          <w:sz w:val="28"/>
          <w:szCs w:val="28"/>
          <w:vertAlign w:val="superscript"/>
          <w:lang w:eastAsia="es-ES"/>
        </w:rPr>
        <w:footnoteReference w:id="45"/>
      </w:r>
      <w:bookmarkEnd w:id="8"/>
      <w:r w:rsidRPr="00EE2FA1">
        <w:rPr>
          <w:rFonts w:ascii="Times New Roman" w:eastAsia="Calibri" w:hAnsi="Times New Roman" w:cs="Times New Roman"/>
          <w:sz w:val="28"/>
          <w:szCs w:val="28"/>
          <w:lang w:eastAsia="es-ES"/>
        </w:rPr>
        <w:t>.</w:t>
      </w:r>
    </w:p>
    <w:p w:rsidR="00FC75AA" w:rsidRPr="00EE2FA1" w:rsidRDefault="00EE2FA1" w:rsidP="00FC75AA">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AC098A"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i/>
          <w:iCs/>
          <w:sz w:val="28"/>
          <w:szCs w:val="28"/>
        </w:rPr>
        <w:t>Configuración de la cosa juzgada absoluta</w:t>
      </w:r>
      <w:r w:rsidRPr="00EE2FA1">
        <w:rPr>
          <w:rFonts w:ascii="Times New Roman" w:hAnsi="Times New Roman" w:cs="Times New Roman"/>
          <w:sz w:val="28"/>
          <w:szCs w:val="28"/>
        </w:rPr>
        <w:t xml:space="preserve">. La Sala constata que esta operó en relación con el parágrafo 1.° </w:t>
      </w:r>
      <w:r w:rsidRPr="00EE2FA1">
        <w:rPr>
          <w:rFonts w:ascii="Times New Roman" w:hAnsi="Times New Roman" w:cs="Times New Roman"/>
          <w:sz w:val="28"/>
          <w:szCs w:val="28"/>
        </w:rPr>
        <w:t>d</w:t>
      </w:r>
      <w:r w:rsidRPr="00EE2FA1">
        <w:rPr>
          <w:rFonts w:ascii="Times New Roman" w:hAnsi="Times New Roman" w:cs="Times New Roman"/>
          <w:sz w:val="28"/>
          <w:szCs w:val="28"/>
        </w:rPr>
        <w:t xml:space="preserve">el artículo 19 de la Ley 2277 de 2022. Al respecto, la Sentencia </w:t>
      </w:r>
      <w:r w:rsidRPr="00EE2FA1">
        <w:rPr>
          <w:rFonts w:ascii="Times New Roman" w:hAnsi="Times New Roman" w:cs="Times New Roman"/>
          <w:sz w:val="28"/>
          <w:szCs w:val="28"/>
        </w:rPr>
        <w:t>C-489 de 2023</w:t>
      </w:r>
      <w:r w:rsidRPr="00EE2FA1">
        <w:rPr>
          <w:rStyle w:val="Refdenotaalpie"/>
          <w:rFonts w:ascii="Times New Roman" w:hAnsi="Times New Roman" w:cs="Times New Roman"/>
          <w:sz w:val="28"/>
          <w:szCs w:val="28"/>
        </w:rPr>
        <w:footnoteReference w:id="46"/>
      </w:r>
      <w:r w:rsidRPr="00EE2FA1">
        <w:rPr>
          <w:rFonts w:ascii="Times New Roman" w:hAnsi="Times New Roman" w:cs="Times New Roman"/>
          <w:sz w:val="28"/>
          <w:szCs w:val="28"/>
        </w:rPr>
        <w:t xml:space="preserve"> declaró su inexequibilidad, con fundamento en que la prohibición de la deducción</w:t>
      </w:r>
      <w:r w:rsidRPr="00EE2FA1">
        <w:rPr>
          <w:rFonts w:ascii="Times New Roman" w:hAnsi="Times New Roman" w:cs="Times New Roman"/>
          <w:sz w:val="28"/>
          <w:szCs w:val="28"/>
        </w:rPr>
        <w:t xml:space="preserve"> de las regalías</w:t>
      </w:r>
      <w:r w:rsidRPr="00EE2FA1">
        <w:rPr>
          <w:rFonts w:ascii="Times New Roman" w:hAnsi="Times New Roman" w:cs="Times New Roman"/>
          <w:sz w:val="28"/>
          <w:szCs w:val="28"/>
        </w:rPr>
        <w:t xml:space="preserve"> de la base gravable del impuesto sobre la renta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por la explotación de recursos naturales no renovables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desconoce la capacidad contributiva de </w:t>
      </w:r>
      <w:r w:rsidRPr="00EE2FA1">
        <w:rPr>
          <w:rFonts w:ascii="Times New Roman" w:hAnsi="Times New Roman" w:cs="Times New Roman"/>
          <w:sz w:val="28"/>
          <w:szCs w:val="28"/>
        </w:rPr>
        <w:t xml:space="preserve">los sujetos obligados y viola la prohibición de establecer impuestos confiscatorios. En ese sentido, concluyó </w:t>
      </w:r>
      <w:r w:rsidRPr="00EE2FA1">
        <w:rPr>
          <w:rFonts w:ascii="Times New Roman" w:hAnsi="Times New Roman" w:cs="Times New Roman"/>
          <w:sz w:val="28"/>
          <w:szCs w:val="28"/>
        </w:rPr>
        <w:t xml:space="preserve">que hubo </w:t>
      </w:r>
      <w:r w:rsidRPr="00EE2FA1">
        <w:rPr>
          <w:rFonts w:ascii="Times New Roman" w:hAnsi="Times New Roman" w:cs="Times New Roman"/>
          <w:sz w:val="28"/>
          <w:szCs w:val="28"/>
        </w:rPr>
        <w:t>violación de los principios de equidad y justicia tributaria.</w:t>
      </w:r>
    </w:p>
    <w:p w:rsidR="007F37F7"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7D5F94" w:rsidRPr="00EE2FA1" w:rsidRDefault="00EE2FA1" w:rsidP="007D5F94">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La declaratoria de inexequibilidad descrita configura, entonces, el fenóme</w:t>
      </w:r>
      <w:r w:rsidRPr="00EE2FA1">
        <w:rPr>
          <w:rFonts w:ascii="Times New Roman" w:eastAsia="Calibri" w:hAnsi="Times New Roman" w:cs="Times New Roman"/>
          <w:sz w:val="28"/>
          <w:szCs w:val="28"/>
          <w:lang w:eastAsia="es-ES"/>
        </w:rPr>
        <w:t xml:space="preserve">no de la cosa juzgada absoluta. En </w:t>
      </w:r>
      <w:r w:rsidRPr="00EE2FA1">
        <w:rPr>
          <w:rFonts w:ascii="Times New Roman" w:eastAsia="Calibri" w:hAnsi="Times New Roman" w:cs="Times New Roman"/>
          <w:sz w:val="28"/>
          <w:szCs w:val="28"/>
          <w:lang w:eastAsia="es-ES"/>
        </w:rPr>
        <w:t>efecto</w:t>
      </w:r>
      <w:r w:rsidRPr="00EE2FA1">
        <w:rPr>
          <w:rFonts w:ascii="Times New Roman" w:eastAsia="Calibri" w:hAnsi="Times New Roman" w:cs="Times New Roman"/>
          <w:sz w:val="28"/>
          <w:szCs w:val="28"/>
          <w:lang w:eastAsia="es-ES"/>
        </w:rPr>
        <w:t xml:space="preserve">, el parágrafo 1.° </w:t>
      </w:r>
      <w:r w:rsidRPr="00EE2FA1">
        <w:rPr>
          <w:rFonts w:ascii="Times New Roman" w:eastAsia="Calibri" w:hAnsi="Times New Roman" w:cs="Times New Roman"/>
          <w:sz w:val="28"/>
          <w:szCs w:val="28"/>
          <w:lang w:eastAsia="es-ES"/>
        </w:rPr>
        <w:t xml:space="preserve">del </w:t>
      </w:r>
      <w:r w:rsidRPr="00EE2FA1">
        <w:rPr>
          <w:rFonts w:ascii="Times New Roman" w:eastAsia="Calibri" w:hAnsi="Times New Roman" w:cs="Times New Roman"/>
          <w:sz w:val="28"/>
          <w:szCs w:val="28"/>
          <w:lang w:eastAsia="es-ES"/>
        </w:rPr>
        <w:t xml:space="preserve">artículo 19 de la Ley 2277 de 2022, </w:t>
      </w:r>
      <w:r w:rsidRPr="00EE2FA1">
        <w:rPr>
          <w:rFonts w:ascii="Times New Roman" w:eastAsia="Calibri" w:hAnsi="Times New Roman" w:cs="Times New Roman"/>
          <w:sz w:val="28"/>
          <w:szCs w:val="28"/>
          <w:lang w:eastAsia="es-ES"/>
        </w:rPr>
        <w:t>fue</w:t>
      </w:r>
      <w:r w:rsidRPr="00EE2FA1">
        <w:rPr>
          <w:rFonts w:ascii="Times New Roman" w:eastAsia="Calibri" w:hAnsi="Times New Roman" w:cs="Times New Roman"/>
          <w:sz w:val="28"/>
          <w:szCs w:val="28"/>
          <w:lang w:eastAsia="es-ES"/>
        </w:rPr>
        <w:t xml:space="preserve"> expulsado del ordenamiento jurídico</w:t>
      </w:r>
      <w:r w:rsidRPr="00EE2FA1">
        <w:rPr>
          <w:rFonts w:ascii="Times New Roman" w:eastAsia="Calibri" w:hAnsi="Times New Roman" w:cs="Times New Roman"/>
          <w:sz w:val="28"/>
          <w:szCs w:val="28"/>
          <w:lang w:eastAsia="es-ES"/>
        </w:rPr>
        <w:t xml:space="preserve"> con base en cargos de mérito, con una decisión con efectos inmediatos,</w:t>
      </w:r>
      <w:r w:rsidRPr="00EE2FA1">
        <w:rPr>
          <w:rFonts w:ascii="Times New Roman" w:eastAsia="Calibri" w:hAnsi="Times New Roman" w:cs="Times New Roman"/>
          <w:sz w:val="28"/>
          <w:szCs w:val="28"/>
          <w:lang w:eastAsia="es-ES"/>
        </w:rPr>
        <w:t xml:space="preserve"> y está cerrada la posibilidad de que este sea objeto de un nuevo pronunciamiento.</w:t>
      </w:r>
      <w:r w:rsidRPr="00EE2FA1">
        <w:rPr>
          <w:rFonts w:ascii="Times New Roman" w:eastAsia="Calibri" w:hAnsi="Times New Roman" w:cs="Times New Roman"/>
          <w:sz w:val="28"/>
          <w:szCs w:val="28"/>
          <w:lang w:eastAsia="es-ES"/>
        </w:rPr>
        <w:t xml:space="preserve"> En la Sentencia C-036 de 2024, la Corte también arribó a la misma conclusión de la siguiente manera: </w:t>
      </w:r>
    </w:p>
    <w:p w:rsidR="007D5F94" w:rsidRPr="00EE2FA1" w:rsidRDefault="00EE2FA1" w:rsidP="007D5F94">
      <w:pPr>
        <w:pStyle w:val="Prrafodelista"/>
        <w:rPr>
          <w:rFonts w:ascii="Times New Roman" w:eastAsia="Calibri" w:hAnsi="Times New Roman" w:cs="Times New Roman"/>
          <w:sz w:val="28"/>
          <w:szCs w:val="28"/>
          <w:lang w:eastAsia="es-ES"/>
        </w:rPr>
      </w:pPr>
    </w:p>
    <w:p w:rsidR="007D5F94" w:rsidRPr="00EE2FA1" w:rsidRDefault="00EE2FA1" w:rsidP="007D5F94">
      <w:pPr>
        <w:pStyle w:val="Prrafodelista"/>
        <w:tabs>
          <w:tab w:val="left" w:pos="426"/>
        </w:tabs>
        <w:spacing w:line="0" w:lineRule="atLeast"/>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 xml:space="preserve">“En relación con esta última disposición (artículo 19, Parágrafo </w:t>
      </w:r>
      <w:r w:rsidRPr="00EE2FA1">
        <w:rPr>
          <w:rFonts w:ascii="Times New Roman" w:eastAsia="Calibri" w:hAnsi="Times New Roman" w:cs="Times New Roman"/>
          <w:sz w:val="28"/>
          <w:lang w:eastAsia="es-ES"/>
        </w:rPr>
        <w:t>1o), la Corte Constitucional declaró estarse a lo resuelto en la Sentencia C-489 de 2023, en virtud de la configuración de la cosa juzgada respecto de dicha disposición, por cuanto en esa providencia la Corte declaró su inexequibilidad. En consecuencia</w:t>
      </w:r>
      <w:r w:rsidRPr="00EE2FA1">
        <w:rPr>
          <w:rFonts w:ascii="Times New Roman" w:eastAsia="Calibri" w:hAnsi="Times New Roman" w:cs="Times New Roman"/>
          <w:sz w:val="28"/>
          <w:lang w:eastAsia="es-ES"/>
        </w:rPr>
        <w:t>, dado que en la actualidad el aludido parágrafo ya no forma parte del ordenamiento jurídico no es posible examinar su constitucionalidad.”</w:t>
      </w:r>
      <w:r w:rsidRPr="00EE2FA1">
        <w:rPr>
          <w:rStyle w:val="Refdenotaalpie"/>
          <w:rFonts w:ascii="Times New Roman" w:eastAsia="Calibri" w:hAnsi="Times New Roman" w:cs="Times New Roman"/>
          <w:sz w:val="28"/>
          <w:lang w:eastAsia="es-ES"/>
        </w:rPr>
        <w:footnoteReference w:id="47"/>
      </w:r>
    </w:p>
    <w:p w:rsidR="007D5F94" w:rsidRPr="00EE2FA1" w:rsidRDefault="00EE2FA1" w:rsidP="007D5F94">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 </w:t>
      </w:r>
    </w:p>
    <w:p w:rsidR="007F37F7"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Así las cosas, la Corte declarará estarse a lo resuelto en la Sentencia C-489 de 2023 en relación con </w:t>
      </w:r>
      <w:r w:rsidRPr="00EE2FA1">
        <w:rPr>
          <w:rFonts w:ascii="Times New Roman" w:eastAsia="Calibri" w:hAnsi="Times New Roman" w:cs="Times New Roman"/>
          <w:sz w:val="28"/>
          <w:szCs w:val="28"/>
          <w:lang w:eastAsia="es-ES"/>
        </w:rPr>
        <w:t>este apar</w:t>
      </w:r>
      <w:r w:rsidRPr="00EE2FA1">
        <w:rPr>
          <w:rFonts w:ascii="Times New Roman" w:eastAsia="Calibri" w:hAnsi="Times New Roman" w:cs="Times New Roman"/>
          <w:sz w:val="28"/>
          <w:szCs w:val="28"/>
          <w:lang w:eastAsia="es-ES"/>
        </w:rPr>
        <w:t xml:space="preserve">tado del </w:t>
      </w:r>
      <w:r w:rsidRPr="00EE2FA1">
        <w:rPr>
          <w:rFonts w:ascii="Times New Roman" w:eastAsia="Calibri" w:hAnsi="Times New Roman" w:cs="Times New Roman"/>
          <w:sz w:val="28"/>
          <w:szCs w:val="28"/>
          <w:lang w:eastAsia="es-ES"/>
        </w:rPr>
        <w:t>precepto acusado</w:t>
      </w:r>
      <w:r w:rsidRPr="00EE2FA1">
        <w:rPr>
          <w:rFonts w:ascii="Times New Roman" w:eastAsia="Calibri" w:hAnsi="Times New Roman" w:cs="Times New Roman"/>
          <w:sz w:val="28"/>
          <w:szCs w:val="28"/>
          <w:lang w:eastAsia="es-ES"/>
        </w:rPr>
        <w:t xml:space="preserve">, por lo cual </w:t>
      </w:r>
      <w:r w:rsidRPr="00EE2FA1">
        <w:rPr>
          <w:rFonts w:ascii="Times New Roman" w:eastAsia="Calibri" w:hAnsi="Times New Roman" w:cs="Times New Roman"/>
          <w:sz w:val="28"/>
          <w:szCs w:val="28"/>
          <w:lang w:eastAsia="es-ES"/>
        </w:rPr>
        <w:t xml:space="preserve">el examen de los cargos </w:t>
      </w:r>
      <w:r w:rsidRPr="00EE2FA1">
        <w:rPr>
          <w:rFonts w:ascii="Times New Roman" w:eastAsia="Calibri" w:hAnsi="Times New Roman" w:cs="Times New Roman"/>
          <w:sz w:val="28"/>
          <w:szCs w:val="28"/>
          <w:lang w:eastAsia="es-ES"/>
        </w:rPr>
        <w:t xml:space="preserve">por vicios de procedimiento </w:t>
      </w:r>
      <w:r w:rsidRPr="00EE2FA1">
        <w:rPr>
          <w:rFonts w:ascii="Times New Roman" w:eastAsia="Calibri" w:hAnsi="Times New Roman" w:cs="Times New Roman"/>
          <w:sz w:val="28"/>
          <w:szCs w:val="28"/>
          <w:lang w:eastAsia="es-ES"/>
        </w:rPr>
        <w:t>en la presente providencia no incluirá el</w:t>
      </w:r>
      <w:r w:rsidRPr="00EE2FA1">
        <w:rPr>
          <w:rFonts w:ascii="Times New Roman" w:eastAsia="Calibri" w:hAnsi="Times New Roman" w:cs="Times New Roman"/>
          <w:sz w:val="28"/>
          <w:szCs w:val="28"/>
          <w:lang w:eastAsia="es-ES"/>
        </w:rPr>
        <w:t xml:space="preserve"> análisis sobre el</w:t>
      </w:r>
      <w:r w:rsidRPr="00EE2FA1">
        <w:rPr>
          <w:rFonts w:ascii="Times New Roman" w:eastAsia="Calibri" w:hAnsi="Times New Roman" w:cs="Times New Roman"/>
          <w:sz w:val="28"/>
          <w:szCs w:val="28"/>
          <w:lang w:eastAsia="es-ES"/>
        </w:rPr>
        <w:t xml:space="preserve"> citado parágrafo 1°</w:t>
      </w:r>
      <w:r w:rsidRPr="00EE2FA1">
        <w:rPr>
          <w:rFonts w:ascii="Times New Roman" w:eastAsia="Calibri" w:hAnsi="Times New Roman" w:cs="Times New Roman"/>
          <w:sz w:val="28"/>
          <w:szCs w:val="28"/>
          <w:lang w:eastAsia="es-ES"/>
        </w:rPr>
        <w:t>, pero s</w:t>
      </w:r>
      <w:r w:rsidRPr="00EE2FA1">
        <w:rPr>
          <w:rFonts w:ascii="Times New Roman" w:eastAsia="Calibri" w:hAnsi="Times New Roman" w:cs="Times New Roman"/>
          <w:sz w:val="28"/>
          <w:szCs w:val="28"/>
          <w:lang w:eastAsia="es-ES"/>
        </w:rPr>
        <w:t>í</w:t>
      </w:r>
      <w:r w:rsidRPr="00EE2FA1">
        <w:rPr>
          <w:rFonts w:ascii="Times New Roman" w:eastAsia="Calibri" w:hAnsi="Times New Roman" w:cs="Times New Roman"/>
          <w:sz w:val="28"/>
          <w:szCs w:val="28"/>
          <w:lang w:eastAsia="es-ES"/>
        </w:rPr>
        <w:t xml:space="preserve"> versará sobre el resto del artículo 19 de la Ley 2277 de 2022. </w:t>
      </w:r>
    </w:p>
    <w:p w:rsidR="00352D09"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352D09" w:rsidRPr="00EE2FA1" w:rsidRDefault="00EE2FA1" w:rsidP="00C833B9">
      <w:pPr>
        <w:pStyle w:val="Prrafodelista"/>
        <w:tabs>
          <w:tab w:val="left" w:pos="426"/>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Metodología</w:t>
      </w:r>
      <w:r w:rsidRPr="00EE2FA1">
        <w:rPr>
          <w:rFonts w:ascii="Times New Roman" w:eastAsia="Calibri" w:hAnsi="Times New Roman" w:cs="Times New Roman"/>
          <w:b/>
          <w:bCs/>
          <w:sz w:val="28"/>
          <w:szCs w:val="28"/>
          <w:lang w:eastAsia="es-ES"/>
        </w:rPr>
        <w:t xml:space="preserve"> de la decisión</w:t>
      </w:r>
    </w:p>
    <w:p w:rsidR="00352D09"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525121"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Sala </w:t>
      </w:r>
      <w:r w:rsidRPr="00EE2FA1">
        <w:rPr>
          <w:rFonts w:ascii="Times New Roman" w:eastAsia="Calibri" w:hAnsi="Times New Roman" w:cs="Times New Roman"/>
          <w:sz w:val="28"/>
          <w:szCs w:val="28"/>
          <w:lang w:eastAsia="es-ES"/>
        </w:rPr>
        <w:t>procederá al</w:t>
      </w:r>
      <w:r w:rsidRPr="00EE2FA1">
        <w:rPr>
          <w:rFonts w:ascii="Times New Roman" w:eastAsia="Calibri" w:hAnsi="Times New Roman" w:cs="Times New Roman"/>
          <w:sz w:val="28"/>
          <w:szCs w:val="28"/>
          <w:lang w:eastAsia="es-ES"/>
        </w:rPr>
        <w:t xml:space="preserve"> examen de constitucionalidad de cada uno de los cargos </w:t>
      </w:r>
      <w:r w:rsidRPr="00EE2FA1">
        <w:rPr>
          <w:rFonts w:ascii="Times New Roman" w:eastAsia="Calibri" w:hAnsi="Times New Roman" w:cs="Times New Roman"/>
          <w:sz w:val="28"/>
          <w:szCs w:val="28"/>
          <w:lang w:eastAsia="es-ES"/>
        </w:rPr>
        <w:t xml:space="preserve">formulados por la accionante. Para tal efecto, adelantará su examen </w:t>
      </w:r>
      <w:r w:rsidRPr="00EE2FA1">
        <w:rPr>
          <w:rFonts w:ascii="Times New Roman" w:eastAsia="Calibri" w:hAnsi="Times New Roman" w:cs="Times New Roman"/>
          <w:sz w:val="28"/>
          <w:szCs w:val="28"/>
          <w:lang w:eastAsia="es-ES"/>
        </w:rPr>
        <w:t xml:space="preserve">según su naturaleza, </w:t>
      </w:r>
      <w:r w:rsidRPr="00EE2FA1">
        <w:rPr>
          <w:rFonts w:ascii="Times New Roman" w:eastAsia="Calibri" w:hAnsi="Times New Roman" w:cs="Times New Roman"/>
          <w:sz w:val="28"/>
          <w:szCs w:val="28"/>
          <w:lang w:eastAsia="es-ES"/>
        </w:rPr>
        <w:t xml:space="preserve">de manera individual y en el orden propuesto por la demanda. </w:t>
      </w:r>
    </w:p>
    <w:p w:rsidR="00202DD0"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525121" w:rsidRPr="00EE2FA1" w:rsidRDefault="00EE2FA1" w:rsidP="00C833B9">
      <w:pPr>
        <w:tabs>
          <w:tab w:val="left" w:pos="284"/>
        </w:tabs>
        <w:spacing w:line="0" w:lineRule="atLeast"/>
        <w:contextualSpacing/>
        <w:jc w:val="both"/>
        <w:rPr>
          <w:rFonts w:ascii="Times New Roman" w:eastAsiaTheme="minorHAnsi" w:hAnsi="Times New Roman" w:cs="Times New Roman"/>
          <w:b/>
          <w:bCs/>
          <w:sz w:val="28"/>
          <w:szCs w:val="28"/>
          <w:lang w:eastAsia="en-US"/>
        </w:rPr>
      </w:pPr>
      <w:r w:rsidRPr="00EE2FA1">
        <w:rPr>
          <w:rFonts w:ascii="Times New Roman" w:hAnsi="Times New Roman" w:cs="Times New Roman"/>
          <w:b/>
          <w:bCs/>
          <w:sz w:val="28"/>
          <w:szCs w:val="28"/>
        </w:rPr>
        <w:t xml:space="preserve">A. </w:t>
      </w:r>
      <w:r w:rsidRPr="00EE2FA1">
        <w:rPr>
          <w:rFonts w:ascii="Times New Roman" w:hAnsi="Times New Roman" w:cs="Times New Roman"/>
          <w:b/>
          <w:bCs/>
          <w:sz w:val="28"/>
          <w:szCs w:val="28"/>
        </w:rPr>
        <w:t xml:space="preserve">Cargos </w:t>
      </w:r>
      <w:r w:rsidRPr="00EE2FA1">
        <w:rPr>
          <w:rFonts w:ascii="Times New Roman" w:hAnsi="Times New Roman" w:cs="Times New Roman"/>
          <w:b/>
          <w:bCs/>
          <w:sz w:val="28"/>
          <w:szCs w:val="28"/>
        </w:rPr>
        <w:t>por vicios de procedimiento</w:t>
      </w:r>
    </w:p>
    <w:p w:rsidR="00525121" w:rsidRPr="00EE2FA1" w:rsidRDefault="00EE2FA1" w:rsidP="00C833B9">
      <w:pPr>
        <w:pStyle w:val="Prrafodelista"/>
        <w:tabs>
          <w:tab w:val="left" w:pos="426"/>
        </w:tabs>
        <w:spacing w:line="0" w:lineRule="atLeast"/>
        <w:ind w:left="0"/>
        <w:jc w:val="both"/>
        <w:rPr>
          <w:rFonts w:ascii="Times New Roman" w:eastAsia="Calibri" w:hAnsi="Times New Roman" w:cs="Times New Roman"/>
          <w:b/>
          <w:bCs/>
          <w:sz w:val="28"/>
          <w:szCs w:val="28"/>
          <w:lang w:eastAsia="es-ES"/>
        </w:rPr>
      </w:pPr>
    </w:p>
    <w:p w:rsidR="00525121" w:rsidRPr="00EE2FA1" w:rsidRDefault="00EE2FA1" w:rsidP="00C833B9">
      <w:pPr>
        <w:pStyle w:val="Prrafodelista"/>
        <w:tabs>
          <w:tab w:val="left" w:pos="426"/>
        </w:tabs>
        <w:spacing w:line="0" w:lineRule="atLeast"/>
        <w:ind w:left="0"/>
        <w:jc w:val="both"/>
        <w:rPr>
          <w:rFonts w:ascii="Times New Roman" w:hAnsi="Times New Roman" w:cs="Times New Roman"/>
          <w:b/>
          <w:bCs/>
          <w:sz w:val="28"/>
          <w:szCs w:val="28"/>
        </w:rPr>
      </w:pPr>
      <w:r w:rsidRPr="00EE2FA1">
        <w:rPr>
          <w:rFonts w:ascii="Times New Roman" w:eastAsia="Calibri" w:hAnsi="Times New Roman" w:cs="Times New Roman"/>
          <w:b/>
          <w:bCs/>
          <w:sz w:val="28"/>
          <w:szCs w:val="28"/>
          <w:lang w:eastAsia="es-ES"/>
        </w:rPr>
        <w:t xml:space="preserve">Primer cargo. </w:t>
      </w:r>
      <w:r w:rsidRPr="00EE2FA1">
        <w:rPr>
          <w:rFonts w:ascii="Times New Roman" w:hAnsi="Times New Roman" w:cs="Times New Roman"/>
          <w:b/>
          <w:bCs/>
          <w:sz w:val="28"/>
          <w:szCs w:val="28"/>
        </w:rPr>
        <w:t xml:space="preserve">La ponencia de archivo no fue votada por la </w:t>
      </w:r>
      <w:r w:rsidRPr="00EE2FA1">
        <w:rPr>
          <w:rFonts w:ascii="Times New Roman" w:hAnsi="Times New Roman" w:cs="Times New Roman"/>
          <w:b/>
          <w:bCs/>
          <w:sz w:val="28"/>
          <w:szCs w:val="28"/>
        </w:rPr>
        <w:t>Comisión</w:t>
      </w:r>
      <w:r w:rsidRPr="00EE2FA1">
        <w:rPr>
          <w:rFonts w:ascii="Times New Roman" w:hAnsi="Times New Roman" w:cs="Times New Roman"/>
          <w:b/>
          <w:bCs/>
          <w:sz w:val="28"/>
          <w:szCs w:val="28"/>
        </w:rPr>
        <w:t xml:space="preserve"> Tercera del Senado, lo que vulnera el </w:t>
      </w:r>
      <w:r w:rsidRPr="00EE2FA1">
        <w:rPr>
          <w:rFonts w:ascii="Times New Roman" w:hAnsi="Times New Roman" w:cs="Times New Roman"/>
          <w:b/>
          <w:bCs/>
          <w:sz w:val="28"/>
          <w:szCs w:val="28"/>
        </w:rPr>
        <w:t>artículo</w:t>
      </w:r>
      <w:r w:rsidRPr="00EE2FA1">
        <w:rPr>
          <w:rFonts w:ascii="Times New Roman" w:hAnsi="Times New Roman" w:cs="Times New Roman"/>
          <w:b/>
          <w:bCs/>
          <w:sz w:val="28"/>
          <w:szCs w:val="28"/>
        </w:rPr>
        <w:t xml:space="preserve"> 157 de la </w:t>
      </w:r>
      <w:r w:rsidRPr="00EE2FA1">
        <w:rPr>
          <w:rFonts w:ascii="Times New Roman" w:hAnsi="Times New Roman" w:cs="Times New Roman"/>
          <w:b/>
          <w:bCs/>
          <w:sz w:val="28"/>
          <w:szCs w:val="28"/>
        </w:rPr>
        <w:t>Constitución</w:t>
      </w:r>
      <w:r w:rsidRPr="00EE2FA1">
        <w:rPr>
          <w:rFonts w:ascii="Times New Roman" w:hAnsi="Times New Roman" w:cs="Times New Roman"/>
          <w:b/>
          <w:bCs/>
          <w:sz w:val="28"/>
          <w:szCs w:val="28"/>
        </w:rPr>
        <w:t xml:space="preserve"> y los </w:t>
      </w:r>
      <w:r w:rsidRPr="00EE2FA1">
        <w:rPr>
          <w:rFonts w:ascii="Times New Roman" w:hAnsi="Times New Roman" w:cs="Times New Roman"/>
          <w:b/>
          <w:bCs/>
          <w:sz w:val="28"/>
          <w:szCs w:val="28"/>
        </w:rPr>
        <w:t>artículos</w:t>
      </w:r>
      <w:r w:rsidRPr="00EE2FA1">
        <w:rPr>
          <w:rFonts w:ascii="Times New Roman" w:hAnsi="Times New Roman" w:cs="Times New Roman"/>
          <w:b/>
          <w:bCs/>
          <w:sz w:val="28"/>
          <w:szCs w:val="28"/>
        </w:rPr>
        <w:t xml:space="preserve"> 157 y 173 de la Ley 5</w:t>
      </w:r>
      <w:r w:rsidRPr="00EE2FA1">
        <w:rPr>
          <w:rFonts w:ascii="Times New Roman" w:hAnsi="Times New Roman" w:cs="Times New Roman"/>
          <w:b/>
          <w:bCs/>
          <w:sz w:val="28"/>
          <w:szCs w:val="28"/>
        </w:rPr>
        <w:t>ª</w:t>
      </w:r>
      <w:r w:rsidRPr="00EE2FA1">
        <w:rPr>
          <w:rFonts w:ascii="Times New Roman" w:hAnsi="Times New Roman" w:cs="Times New Roman"/>
          <w:b/>
          <w:bCs/>
          <w:sz w:val="28"/>
          <w:szCs w:val="28"/>
        </w:rPr>
        <w:t xml:space="preserve"> de 1992</w:t>
      </w:r>
    </w:p>
    <w:p w:rsidR="00525121"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896155"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Argumentos de la demanda</w:t>
      </w:r>
      <w:r w:rsidRPr="00EE2FA1">
        <w:rPr>
          <w:rFonts w:ascii="Times New Roman" w:eastAsia="Calibri" w:hAnsi="Times New Roman" w:cs="Times New Roman"/>
          <w:sz w:val="28"/>
          <w:szCs w:val="28"/>
          <w:lang w:eastAsia="es-ES"/>
        </w:rPr>
        <w:t xml:space="preserve">. La </w:t>
      </w:r>
      <w:r w:rsidRPr="00EE2FA1">
        <w:rPr>
          <w:rFonts w:ascii="Times New Roman" w:hAnsi="Times New Roman" w:cs="Times New Roman"/>
          <w:sz w:val="28"/>
          <w:szCs w:val="28"/>
        </w:rPr>
        <w:t xml:space="preserve">peticionaria indicó que la ponencia minoritaria que solicitaba el archivo fue presentada a las Comisiones Terceras Conjuntas de </w:t>
      </w:r>
      <w:r w:rsidRPr="00EE2FA1">
        <w:rPr>
          <w:rFonts w:ascii="Times New Roman" w:hAnsi="Times New Roman" w:cs="Times New Roman"/>
          <w:sz w:val="28"/>
          <w:szCs w:val="28"/>
        </w:rPr>
        <w:t>Cámara</w:t>
      </w:r>
      <w:r w:rsidRPr="00EE2FA1">
        <w:rPr>
          <w:rFonts w:ascii="Times New Roman" w:hAnsi="Times New Roman" w:cs="Times New Roman"/>
          <w:sz w:val="28"/>
          <w:szCs w:val="28"/>
        </w:rPr>
        <w:t xml:space="preserve"> y Senado</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En seguida, fue votada negativamente por la </w:t>
      </w:r>
      <w:r w:rsidRPr="00EE2FA1">
        <w:rPr>
          <w:rFonts w:ascii="Times New Roman" w:hAnsi="Times New Roman" w:cs="Times New Roman"/>
          <w:sz w:val="28"/>
          <w:szCs w:val="28"/>
        </w:rPr>
        <w:t>Comisión</w:t>
      </w:r>
      <w:r w:rsidRPr="00EE2FA1">
        <w:rPr>
          <w:rFonts w:ascii="Times New Roman" w:hAnsi="Times New Roman" w:cs="Times New Roman"/>
          <w:sz w:val="28"/>
          <w:szCs w:val="28"/>
        </w:rPr>
        <w:t xml:space="preserve"> Tercera de la </w:t>
      </w:r>
      <w:r w:rsidRPr="00EE2FA1">
        <w:rPr>
          <w:rFonts w:ascii="Times New Roman" w:hAnsi="Times New Roman" w:cs="Times New Roman"/>
          <w:sz w:val="28"/>
          <w:szCs w:val="28"/>
        </w:rPr>
        <w:t>Cámara</w:t>
      </w:r>
      <w:r w:rsidRPr="00EE2FA1">
        <w:rPr>
          <w:rFonts w:ascii="Times New Roman" w:hAnsi="Times New Roman" w:cs="Times New Roman"/>
          <w:sz w:val="28"/>
          <w:szCs w:val="28"/>
        </w:rPr>
        <w:t xml:space="preserve"> de Representantes, pero no fue votad</w:t>
      </w:r>
      <w:r w:rsidRPr="00EE2FA1">
        <w:rPr>
          <w:rFonts w:ascii="Times New Roman" w:hAnsi="Times New Roman" w:cs="Times New Roman"/>
          <w:sz w:val="28"/>
          <w:szCs w:val="28"/>
        </w:rPr>
        <w:t xml:space="preserve">a por la </w:t>
      </w:r>
      <w:r w:rsidRPr="00EE2FA1">
        <w:rPr>
          <w:rFonts w:ascii="Times New Roman" w:hAnsi="Times New Roman" w:cs="Times New Roman"/>
          <w:sz w:val="28"/>
          <w:szCs w:val="28"/>
        </w:rPr>
        <w:t>Comisión</w:t>
      </w:r>
      <w:r w:rsidRPr="00EE2FA1">
        <w:rPr>
          <w:rFonts w:ascii="Times New Roman" w:hAnsi="Times New Roman" w:cs="Times New Roman"/>
          <w:sz w:val="28"/>
          <w:szCs w:val="28"/>
        </w:rPr>
        <w:t xml:space="preserve"> Tercera del Senado de la </w:t>
      </w:r>
      <w:r w:rsidRPr="00EE2FA1">
        <w:rPr>
          <w:rFonts w:ascii="Times New Roman" w:hAnsi="Times New Roman" w:cs="Times New Roman"/>
          <w:sz w:val="28"/>
          <w:szCs w:val="28"/>
        </w:rPr>
        <w:t>República</w:t>
      </w:r>
      <w:r w:rsidRPr="00EE2FA1">
        <w:rPr>
          <w:rFonts w:ascii="Times New Roman" w:hAnsi="Times New Roman" w:cs="Times New Roman"/>
          <w:sz w:val="28"/>
          <w:szCs w:val="28"/>
        </w:rPr>
        <w:t xml:space="preserve">. En concreto, indica que la presidenta de las comisiones conjuntas </w:t>
      </w:r>
      <w:r w:rsidRPr="00EE2FA1">
        <w:rPr>
          <w:rFonts w:ascii="Times New Roman" w:hAnsi="Times New Roman" w:cs="Times New Roman"/>
          <w:sz w:val="28"/>
          <w:szCs w:val="28"/>
        </w:rPr>
        <w:t>pretermitió</w:t>
      </w:r>
      <w:r w:rsidRPr="00EE2FA1">
        <w:rPr>
          <w:rFonts w:ascii="Times New Roman" w:hAnsi="Times New Roman" w:cs="Times New Roman"/>
          <w:sz w:val="28"/>
          <w:szCs w:val="28"/>
        </w:rPr>
        <w:t xml:space="preserve">́ la </w:t>
      </w:r>
      <w:r w:rsidRPr="00EE2FA1">
        <w:rPr>
          <w:rFonts w:ascii="Times New Roman" w:hAnsi="Times New Roman" w:cs="Times New Roman"/>
          <w:sz w:val="28"/>
          <w:szCs w:val="28"/>
        </w:rPr>
        <w:t>votación</w:t>
      </w:r>
      <w:r w:rsidRPr="00EE2FA1">
        <w:rPr>
          <w:rFonts w:ascii="Times New Roman" w:hAnsi="Times New Roman" w:cs="Times New Roman"/>
          <w:sz w:val="28"/>
          <w:szCs w:val="28"/>
        </w:rPr>
        <w:t xml:space="preserve"> al indicar: “</w:t>
      </w:r>
      <w:r w:rsidRPr="00EE2FA1">
        <w:rPr>
          <w:rFonts w:ascii="Times New Roman" w:hAnsi="Times New Roman" w:cs="Times New Roman"/>
          <w:i/>
          <w:iCs/>
          <w:sz w:val="28"/>
          <w:szCs w:val="28"/>
        </w:rPr>
        <w:t xml:space="preserve">Negada la </w:t>
      </w:r>
      <w:r w:rsidRPr="00EE2FA1">
        <w:rPr>
          <w:rFonts w:ascii="Times New Roman" w:hAnsi="Times New Roman" w:cs="Times New Roman"/>
          <w:i/>
          <w:iCs/>
          <w:sz w:val="28"/>
          <w:szCs w:val="28"/>
        </w:rPr>
        <w:t>proposición</w:t>
      </w:r>
      <w:r w:rsidRPr="00EE2FA1">
        <w:rPr>
          <w:rFonts w:ascii="Times New Roman" w:hAnsi="Times New Roman" w:cs="Times New Roman"/>
          <w:i/>
          <w:iCs/>
          <w:sz w:val="28"/>
          <w:szCs w:val="28"/>
        </w:rPr>
        <w:t xml:space="preserve">, </w:t>
      </w:r>
      <w:r w:rsidRPr="00EE2FA1">
        <w:rPr>
          <w:rFonts w:ascii="Times New Roman" w:hAnsi="Times New Roman" w:cs="Times New Roman"/>
          <w:i/>
          <w:iCs/>
          <w:sz w:val="28"/>
          <w:szCs w:val="28"/>
        </w:rPr>
        <w:t>perdón</w:t>
      </w:r>
      <w:r w:rsidRPr="00EE2FA1">
        <w:rPr>
          <w:rFonts w:ascii="Times New Roman" w:hAnsi="Times New Roman" w:cs="Times New Roman"/>
          <w:i/>
          <w:iCs/>
          <w:sz w:val="28"/>
          <w:szCs w:val="28"/>
        </w:rPr>
        <w:t xml:space="preserve">, la ponencia, no se hace necesario que sea negada </w:t>
      </w:r>
      <w:r w:rsidRPr="00EE2FA1">
        <w:rPr>
          <w:rFonts w:ascii="Times New Roman" w:hAnsi="Times New Roman" w:cs="Times New Roman"/>
          <w:i/>
          <w:iCs/>
          <w:sz w:val="28"/>
          <w:szCs w:val="28"/>
        </w:rPr>
        <w:t>también</w:t>
      </w:r>
      <w:r w:rsidRPr="00EE2FA1">
        <w:rPr>
          <w:rFonts w:ascii="Times New Roman" w:hAnsi="Times New Roman" w:cs="Times New Roman"/>
          <w:i/>
          <w:iCs/>
          <w:sz w:val="28"/>
          <w:szCs w:val="28"/>
        </w:rPr>
        <w:t xml:space="preserve"> por la otra </w:t>
      </w:r>
      <w:r w:rsidRPr="00EE2FA1">
        <w:rPr>
          <w:rFonts w:ascii="Times New Roman" w:hAnsi="Times New Roman" w:cs="Times New Roman"/>
          <w:i/>
          <w:iCs/>
          <w:sz w:val="28"/>
          <w:szCs w:val="28"/>
        </w:rPr>
        <w:t>Cámara</w:t>
      </w:r>
      <w:r w:rsidRPr="00EE2FA1">
        <w:rPr>
          <w:rFonts w:ascii="Times New Roman" w:hAnsi="Times New Roman" w:cs="Times New Roman"/>
          <w:sz w:val="28"/>
          <w:szCs w:val="28"/>
        </w:rPr>
        <w:t>”.</w:t>
      </w:r>
    </w:p>
    <w:p w:rsidR="00232CE8" w:rsidRPr="00EE2FA1" w:rsidRDefault="00EE2FA1" w:rsidP="00334466">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896155" w:rsidRPr="00EE2FA1" w:rsidRDefault="00EE2FA1" w:rsidP="00866724">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Tal </w:t>
      </w:r>
      <w:r w:rsidRPr="00EE2FA1">
        <w:rPr>
          <w:rFonts w:ascii="Times New Roman" w:hAnsi="Times New Roman" w:cs="Times New Roman"/>
          <w:sz w:val="28"/>
          <w:szCs w:val="28"/>
        </w:rPr>
        <w:t>situación</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según</w:t>
      </w:r>
      <w:r w:rsidRPr="00EE2FA1">
        <w:rPr>
          <w:rFonts w:ascii="Times New Roman" w:hAnsi="Times New Roman" w:cs="Times New Roman"/>
          <w:sz w:val="28"/>
          <w:szCs w:val="28"/>
        </w:rPr>
        <w:t xml:space="preserve"> la demandante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desconoce el principio de consecutividad, porque el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173 de la Ley 5</w:t>
      </w:r>
      <w:r w:rsidRPr="00EE2FA1">
        <w:rPr>
          <w:rFonts w:ascii="Times New Roman" w:hAnsi="Times New Roman" w:cs="Times New Roman"/>
          <w:sz w:val="28"/>
          <w:szCs w:val="28"/>
        </w:rPr>
        <w:t>ª</w:t>
      </w:r>
      <w:r w:rsidRPr="00EE2FA1">
        <w:rPr>
          <w:rFonts w:ascii="Times New Roman" w:hAnsi="Times New Roman" w:cs="Times New Roman"/>
          <w:sz w:val="28"/>
          <w:szCs w:val="28"/>
        </w:rPr>
        <w:t xml:space="preserve"> de 1992 establece que “</w:t>
      </w:r>
      <w:r w:rsidRPr="00EE2FA1">
        <w:rPr>
          <w:rFonts w:ascii="Times New Roman" w:hAnsi="Times New Roman" w:cs="Times New Roman"/>
          <w:i/>
          <w:iCs/>
          <w:sz w:val="28"/>
          <w:szCs w:val="28"/>
        </w:rPr>
        <w:t xml:space="preserve">concluido el debate, cada </w:t>
      </w:r>
      <w:r w:rsidRPr="00EE2FA1">
        <w:rPr>
          <w:rFonts w:ascii="Times New Roman" w:hAnsi="Times New Roman" w:cs="Times New Roman"/>
          <w:i/>
          <w:iCs/>
          <w:sz w:val="28"/>
          <w:szCs w:val="28"/>
        </w:rPr>
        <w:t>Comisión</w:t>
      </w:r>
      <w:r w:rsidRPr="00EE2FA1">
        <w:rPr>
          <w:rFonts w:ascii="Times New Roman" w:hAnsi="Times New Roman" w:cs="Times New Roman"/>
          <w:i/>
          <w:iCs/>
          <w:sz w:val="28"/>
          <w:szCs w:val="28"/>
        </w:rPr>
        <w:t xml:space="preserve"> votará por separado.</w:t>
      </w:r>
      <w:r w:rsidRPr="00EE2FA1">
        <w:rPr>
          <w:rFonts w:ascii="Times New Roman" w:hAnsi="Times New Roman" w:cs="Times New Roman"/>
          <w:sz w:val="28"/>
          <w:szCs w:val="28"/>
        </w:rPr>
        <w:t xml:space="preserve">” Tal </w:t>
      </w:r>
      <w:r w:rsidRPr="00EE2FA1">
        <w:rPr>
          <w:rFonts w:ascii="Times New Roman" w:hAnsi="Times New Roman" w:cs="Times New Roman"/>
          <w:sz w:val="28"/>
          <w:szCs w:val="28"/>
        </w:rPr>
        <w:t>situación</w:t>
      </w:r>
      <w:r w:rsidRPr="00EE2FA1">
        <w:rPr>
          <w:rFonts w:ascii="Times New Roman" w:hAnsi="Times New Roman" w:cs="Times New Roman"/>
          <w:sz w:val="28"/>
          <w:szCs w:val="28"/>
        </w:rPr>
        <w:t>, en su sentir, afecta la</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formación</w:t>
      </w:r>
      <w:r w:rsidRPr="00EE2FA1">
        <w:rPr>
          <w:rFonts w:ascii="Times New Roman" w:hAnsi="Times New Roman" w:cs="Times New Roman"/>
          <w:sz w:val="28"/>
          <w:szCs w:val="28"/>
        </w:rPr>
        <w:t xml:space="preserve"> de la voluntad </w:t>
      </w:r>
      <w:r w:rsidRPr="00EE2FA1">
        <w:rPr>
          <w:rFonts w:ascii="Times New Roman" w:hAnsi="Times New Roman" w:cs="Times New Roman"/>
          <w:sz w:val="28"/>
          <w:szCs w:val="28"/>
        </w:rPr>
        <w:t>democrática</w:t>
      </w:r>
      <w:r w:rsidRPr="00EE2FA1">
        <w:rPr>
          <w:rFonts w:ascii="Times New Roman" w:hAnsi="Times New Roman" w:cs="Times New Roman"/>
          <w:sz w:val="28"/>
          <w:szCs w:val="28"/>
        </w:rPr>
        <w:t xml:space="preserve"> de las comisiones. En concreto, </w:t>
      </w:r>
      <w:r w:rsidRPr="00EE2FA1">
        <w:rPr>
          <w:rFonts w:ascii="Times New Roman" w:hAnsi="Times New Roman" w:cs="Times New Roman"/>
          <w:sz w:val="28"/>
          <w:szCs w:val="28"/>
        </w:rPr>
        <w:t>por</w:t>
      </w:r>
      <w:r w:rsidRPr="00EE2FA1">
        <w:rPr>
          <w:rFonts w:ascii="Times New Roman" w:hAnsi="Times New Roman" w:cs="Times New Roman"/>
          <w:sz w:val="28"/>
          <w:szCs w:val="28"/>
        </w:rPr>
        <w:t xml:space="preserve">que la </w:t>
      </w:r>
      <w:r w:rsidRPr="00EE2FA1">
        <w:rPr>
          <w:rFonts w:ascii="Times New Roman" w:hAnsi="Times New Roman" w:cs="Times New Roman"/>
          <w:sz w:val="28"/>
          <w:szCs w:val="28"/>
        </w:rPr>
        <w:t>Comisión</w:t>
      </w:r>
      <w:r w:rsidRPr="00EE2FA1">
        <w:rPr>
          <w:rFonts w:ascii="Times New Roman" w:hAnsi="Times New Roman" w:cs="Times New Roman"/>
          <w:sz w:val="28"/>
          <w:szCs w:val="28"/>
        </w:rPr>
        <w:t xml:space="preserve"> Tercera de Senado no tuvo la oportunidad de negar la ponencia de archivo</w:t>
      </w:r>
      <w:r w:rsidRPr="00EE2FA1">
        <w:rPr>
          <w:rStyle w:val="Refdenotaalpie"/>
          <w:rFonts w:ascii="Times New Roman" w:hAnsi="Times New Roman" w:cs="Times New Roman"/>
          <w:sz w:val="28"/>
          <w:szCs w:val="28"/>
        </w:rPr>
        <w:footnoteReference w:id="48"/>
      </w:r>
      <w:r w:rsidRPr="00EE2FA1">
        <w:rPr>
          <w:rFonts w:ascii="Times New Roman" w:hAnsi="Times New Roman" w:cs="Times New Roman"/>
          <w:sz w:val="28"/>
          <w:szCs w:val="28"/>
        </w:rPr>
        <w:t xml:space="preserve">. </w:t>
      </w:r>
    </w:p>
    <w:p w:rsidR="00BF6158" w:rsidRPr="00EE2FA1" w:rsidRDefault="00EE2FA1" w:rsidP="00BF6158">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896155"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Problema jurídico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Corresponde a la Corte estudiar si </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e</w:t>
      </w:r>
      <w:r w:rsidRPr="00EE2FA1">
        <w:rPr>
          <w:rFonts w:ascii="Times New Roman" w:eastAsia="Calibri" w:hAnsi="Times New Roman" w:cs="Times New Roman"/>
          <w:sz w:val="28"/>
          <w:szCs w:val="28"/>
          <w:lang w:eastAsia="es-ES"/>
        </w:rPr>
        <w:t xml:space="preserve">l trámite legislativo que dio </w:t>
      </w:r>
      <w:r w:rsidRPr="00EE2FA1">
        <w:rPr>
          <w:rFonts w:ascii="Times New Roman" w:eastAsia="Calibri" w:hAnsi="Times New Roman" w:cs="Times New Roman"/>
          <w:sz w:val="28"/>
          <w:szCs w:val="28"/>
          <w:lang w:eastAsia="es-ES"/>
        </w:rPr>
        <w:t>lugar a la expedición del parágrafo 3 (parcial) del artículo 10</w:t>
      </w:r>
      <w:r w:rsidRPr="00EE2FA1">
        <w:rPr>
          <w:rFonts w:ascii="Times New Roman" w:eastAsia="Calibri" w:hAnsi="Times New Roman" w:cs="Times New Roman"/>
          <w:sz w:val="28"/>
          <w:szCs w:val="28"/>
          <w:lang w:eastAsia="es-ES"/>
        </w:rPr>
        <w:t xml:space="preserve"> y del artículo 19</w:t>
      </w:r>
      <w:r w:rsidRPr="00EE2FA1">
        <w:rPr>
          <w:rFonts w:ascii="Times New Roman" w:eastAsia="Calibri" w:hAnsi="Times New Roman" w:cs="Times New Roman"/>
          <w:sz w:val="28"/>
          <w:szCs w:val="28"/>
          <w:lang w:eastAsia="es-ES"/>
        </w:rPr>
        <w:t xml:space="preserve"> de la Ley 2277 de 2022</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desconoció el artículo 157 de la Constitución y los artículos 157 y 173 de la Ley 5ª de 1992</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porque en primer debate en comisiones conjuntas la ponenc</w:t>
      </w:r>
      <w:r w:rsidRPr="00EE2FA1">
        <w:rPr>
          <w:rFonts w:ascii="Times New Roman" w:eastAsia="Calibri" w:hAnsi="Times New Roman" w:cs="Times New Roman"/>
          <w:sz w:val="28"/>
          <w:szCs w:val="28"/>
          <w:lang w:eastAsia="es-ES"/>
        </w:rPr>
        <w:t>ia minoritaria de archivo</w:t>
      </w:r>
      <w:r w:rsidRPr="00EE2FA1">
        <w:rPr>
          <w:rFonts w:ascii="Times New Roman" w:eastAsia="Calibri" w:hAnsi="Times New Roman" w:cs="Times New Roman"/>
          <w:sz w:val="28"/>
          <w:szCs w:val="28"/>
          <w:lang w:eastAsia="es-ES"/>
        </w:rPr>
        <w:t xml:space="preserve"> del proyecto</w:t>
      </w:r>
      <w:r w:rsidRPr="00EE2FA1">
        <w:rPr>
          <w:rFonts w:ascii="Times New Roman" w:eastAsia="Calibri" w:hAnsi="Times New Roman" w:cs="Times New Roman"/>
          <w:sz w:val="28"/>
          <w:szCs w:val="28"/>
          <w:lang w:eastAsia="es-ES"/>
        </w:rPr>
        <w:t xml:space="preserve"> fue debatida y negada en la Comisión Tercera de la Cámara de Representantes y no fue votada en la comisión respectiva de Senado?</w:t>
      </w:r>
    </w:p>
    <w:p w:rsidR="00896155"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9C722C"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Metodología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Para dar respuesta al problema jurídico planteado, la Sala abordará los si</w:t>
      </w:r>
      <w:r w:rsidRPr="00EE2FA1">
        <w:rPr>
          <w:rFonts w:ascii="Times New Roman" w:eastAsia="Calibri" w:hAnsi="Times New Roman" w:cs="Times New Roman"/>
          <w:sz w:val="28"/>
          <w:szCs w:val="28"/>
          <w:lang w:eastAsia="es-ES"/>
        </w:rPr>
        <w:t>guientes temas: i)</w:t>
      </w:r>
      <w:r w:rsidRPr="00EE2FA1">
        <w:rPr>
          <w:rFonts w:ascii="Times New Roman" w:eastAsia="Calibri" w:hAnsi="Times New Roman" w:cs="Times New Roman"/>
          <w:sz w:val="28"/>
          <w:szCs w:val="28"/>
          <w:lang w:eastAsia="es-ES"/>
        </w:rPr>
        <w:t xml:space="preserve"> los</w:t>
      </w:r>
      <w:r w:rsidRPr="00EE2FA1">
        <w:rPr>
          <w:rFonts w:ascii="Times New Roman" w:eastAsia="Calibri" w:hAnsi="Times New Roman" w:cs="Times New Roman"/>
          <w:sz w:val="28"/>
          <w:szCs w:val="28"/>
          <w:lang w:eastAsia="es-ES"/>
        </w:rPr>
        <w:t xml:space="preserve"> parámetros y</w:t>
      </w:r>
      <w:r w:rsidRPr="00EE2FA1">
        <w:rPr>
          <w:rFonts w:ascii="Times New Roman" w:eastAsia="Calibri" w:hAnsi="Times New Roman" w:cs="Times New Roman"/>
          <w:sz w:val="28"/>
          <w:szCs w:val="28"/>
          <w:lang w:eastAsia="es-ES"/>
        </w:rPr>
        <w:t xml:space="preserve"> principios orientadores del trámite legislativo; ii)</w:t>
      </w:r>
      <w:r w:rsidRPr="00EE2FA1">
        <w:rPr>
          <w:rFonts w:ascii="Times New Roman" w:eastAsia="Calibri" w:hAnsi="Times New Roman" w:cs="Times New Roman"/>
          <w:sz w:val="28"/>
          <w:szCs w:val="28"/>
          <w:lang w:eastAsia="es-ES"/>
        </w:rPr>
        <w:t xml:space="preserve"> las sesiones conjuntas de las comisiones permanentes homólogas de una y otra cámara; </w:t>
      </w:r>
      <w:r w:rsidRPr="00EE2FA1">
        <w:rPr>
          <w:rFonts w:ascii="Times New Roman" w:eastAsia="Calibri" w:hAnsi="Times New Roman" w:cs="Times New Roman"/>
          <w:sz w:val="28"/>
          <w:szCs w:val="28"/>
          <w:lang w:eastAsia="es-ES"/>
        </w:rPr>
        <w:t>ii</w:t>
      </w:r>
      <w:r w:rsidRPr="00EE2FA1">
        <w:rPr>
          <w:rFonts w:ascii="Times New Roman" w:eastAsia="Calibri" w:hAnsi="Times New Roman" w:cs="Times New Roman"/>
          <w:sz w:val="28"/>
          <w:szCs w:val="28"/>
          <w:lang w:eastAsia="es-ES"/>
        </w:rPr>
        <w:t>i</w:t>
      </w:r>
      <w:r w:rsidRPr="00EE2FA1">
        <w:rPr>
          <w:rFonts w:ascii="Times New Roman" w:eastAsia="Calibri" w:hAnsi="Times New Roman" w:cs="Times New Roman"/>
          <w:sz w:val="28"/>
          <w:szCs w:val="28"/>
          <w:lang w:eastAsia="es-ES"/>
        </w:rPr>
        <w:t>) la</w:t>
      </w:r>
      <w:r w:rsidRPr="00EE2FA1">
        <w:rPr>
          <w:rFonts w:ascii="Times New Roman" w:eastAsia="Calibri" w:hAnsi="Times New Roman" w:cs="Times New Roman"/>
          <w:sz w:val="28"/>
          <w:szCs w:val="28"/>
          <w:lang w:eastAsia="es-ES"/>
        </w:rPr>
        <w:t xml:space="preserve"> votación negativa de un</w:t>
      </w:r>
      <w:r w:rsidRPr="00EE2FA1">
        <w:rPr>
          <w:rFonts w:ascii="Times New Roman" w:eastAsia="Calibri" w:hAnsi="Times New Roman" w:cs="Times New Roman"/>
          <w:sz w:val="28"/>
          <w:szCs w:val="28"/>
          <w:lang w:eastAsia="es-ES"/>
        </w:rPr>
        <w:t xml:space="preserve">a ponencia </w:t>
      </w:r>
      <w:r w:rsidRPr="00EE2FA1">
        <w:rPr>
          <w:rFonts w:ascii="Times New Roman" w:eastAsia="Calibri" w:hAnsi="Times New Roman" w:cs="Times New Roman"/>
          <w:sz w:val="28"/>
          <w:szCs w:val="28"/>
          <w:lang w:eastAsia="es-ES"/>
        </w:rPr>
        <w:t xml:space="preserve">y </w:t>
      </w:r>
      <w:r w:rsidRPr="00EE2FA1">
        <w:rPr>
          <w:rFonts w:ascii="Times New Roman" w:eastAsia="Calibri" w:hAnsi="Times New Roman" w:cs="Times New Roman"/>
          <w:sz w:val="28"/>
          <w:szCs w:val="28"/>
          <w:lang w:eastAsia="es-ES"/>
        </w:rPr>
        <w:t>i</w:t>
      </w:r>
      <w:r w:rsidRPr="00EE2FA1">
        <w:rPr>
          <w:rFonts w:ascii="Times New Roman" w:eastAsia="Calibri" w:hAnsi="Times New Roman" w:cs="Times New Roman"/>
          <w:sz w:val="28"/>
          <w:szCs w:val="28"/>
          <w:lang w:eastAsia="es-ES"/>
        </w:rPr>
        <w:t>v</w:t>
      </w:r>
      <w:r w:rsidRPr="00EE2FA1">
        <w:rPr>
          <w:rFonts w:ascii="Times New Roman" w:eastAsia="Calibri" w:hAnsi="Times New Roman" w:cs="Times New Roman"/>
          <w:sz w:val="28"/>
          <w:szCs w:val="28"/>
          <w:lang w:eastAsia="es-ES"/>
        </w:rPr>
        <w:t>) la resolución del caso concreto.</w:t>
      </w:r>
    </w:p>
    <w:p w:rsidR="00183DC3" w:rsidRPr="00EE2FA1" w:rsidRDefault="00EE2FA1" w:rsidP="00C833B9">
      <w:pPr>
        <w:pStyle w:val="Prrafodelista"/>
        <w:tabs>
          <w:tab w:val="left" w:pos="426"/>
        </w:tabs>
        <w:spacing w:line="0" w:lineRule="atLeast"/>
        <w:ind w:left="0"/>
        <w:jc w:val="both"/>
        <w:rPr>
          <w:rFonts w:ascii="Times New Roman" w:eastAsia="Calibri" w:hAnsi="Times New Roman" w:cs="Times New Roman"/>
          <w:i/>
          <w:iCs/>
          <w:sz w:val="28"/>
          <w:szCs w:val="28"/>
          <w:lang w:eastAsia="es-ES"/>
        </w:rPr>
      </w:pPr>
    </w:p>
    <w:p w:rsidR="00183DC3" w:rsidRPr="00EE2FA1" w:rsidRDefault="00EE2FA1" w:rsidP="00C833B9">
      <w:pPr>
        <w:pStyle w:val="Prrafodelista"/>
        <w:tabs>
          <w:tab w:val="left" w:pos="426"/>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 xml:space="preserve">Los </w:t>
      </w:r>
      <w:r w:rsidRPr="00EE2FA1">
        <w:rPr>
          <w:rFonts w:ascii="Times New Roman" w:eastAsia="Calibri" w:hAnsi="Times New Roman" w:cs="Times New Roman"/>
          <w:b/>
          <w:bCs/>
          <w:sz w:val="28"/>
          <w:szCs w:val="28"/>
          <w:lang w:eastAsia="es-ES"/>
        </w:rPr>
        <w:t xml:space="preserve">parámetros y </w:t>
      </w:r>
      <w:r w:rsidRPr="00EE2FA1">
        <w:rPr>
          <w:rFonts w:ascii="Times New Roman" w:eastAsia="Calibri" w:hAnsi="Times New Roman" w:cs="Times New Roman"/>
          <w:b/>
          <w:bCs/>
          <w:sz w:val="28"/>
          <w:szCs w:val="28"/>
          <w:lang w:eastAsia="es-ES"/>
        </w:rPr>
        <w:t>principios orientadores del trámite legislativo</w:t>
      </w:r>
    </w:p>
    <w:p w:rsidR="00183DC3"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544456"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Esta corporación ha decantado los principios orientadores del trámite legislativo. La Sentencia C-168 de 2012</w:t>
      </w:r>
      <w:r w:rsidRPr="00EE2FA1">
        <w:rPr>
          <w:rStyle w:val="Refdenotaalpie"/>
          <w:rFonts w:ascii="Times New Roman" w:eastAsia="Calibri" w:hAnsi="Times New Roman" w:cs="Times New Roman"/>
          <w:sz w:val="28"/>
          <w:szCs w:val="28"/>
          <w:lang w:eastAsia="es-ES"/>
        </w:rPr>
        <w:footnoteReference w:id="49"/>
      </w:r>
      <w:r w:rsidRPr="00EE2FA1">
        <w:rPr>
          <w:rFonts w:ascii="Times New Roman" w:eastAsia="Calibri" w:hAnsi="Times New Roman" w:cs="Times New Roman"/>
          <w:sz w:val="28"/>
          <w:szCs w:val="28"/>
          <w:lang w:eastAsia="es-ES"/>
        </w:rPr>
        <w:t xml:space="preserve"> expuso los parámetros y principios </w:t>
      </w:r>
      <w:r w:rsidRPr="00EE2FA1">
        <w:rPr>
          <w:rFonts w:ascii="Times New Roman" w:eastAsia="Calibri" w:hAnsi="Times New Roman" w:cs="Times New Roman"/>
          <w:sz w:val="28"/>
          <w:szCs w:val="28"/>
          <w:lang w:eastAsia="es-ES"/>
        </w:rPr>
        <w:t>que</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guían</w:t>
      </w:r>
      <w:r w:rsidRPr="00EE2FA1">
        <w:rPr>
          <w:rFonts w:ascii="Times New Roman" w:eastAsia="Calibri" w:hAnsi="Times New Roman" w:cs="Times New Roman"/>
          <w:sz w:val="28"/>
          <w:szCs w:val="28"/>
          <w:lang w:eastAsia="es-ES"/>
        </w:rPr>
        <w:t xml:space="preserve"> la labor legislativa. En tal sentido, </w:t>
      </w:r>
      <w:r w:rsidRPr="00EE2FA1">
        <w:rPr>
          <w:rFonts w:ascii="Times New Roman" w:hAnsi="Times New Roman" w:cs="Times New Roman"/>
          <w:sz w:val="28"/>
          <w:szCs w:val="28"/>
          <w:lang w:val="es-ES"/>
        </w:rPr>
        <w:t>la Ley 5ª de 1992</w:t>
      </w:r>
      <w:r w:rsidRPr="00EE2FA1">
        <w:rPr>
          <w:rFonts w:ascii="Times New Roman" w:hAnsi="Times New Roman" w:cs="Times New Roman"/>
          <w:sz w:val="28"/>
          <w:szCs w:val="28"/>
          <w:lang w:val="es-ES"/>
        </w:rPr>
        <w:t xml:space="preserve"> prevé lo siguiente: i)</w:t>
      </w:r>
      <w:r w:rsidRPr="00EE2FA1">
        <w:rPr>
          <w:rFonts w:ascii="Times New Roman" w:hAnsi="Times New Roman" w:cs="Times New Roman"/>
          <w:sz w:val="28"/>
          <w:szCs w:val="28"/>
          <w:lang w:val="es-ES"/>
        </w:rPr>
        <w:t xml:space="preserve"> la definición legal de debate (artículo 94, inciso 1º,); </w:t>
      </w:r>
      <w:r w:rsidRPr="00EE2FA1">
        <w:rPr>
          <w:rFonts w:ascii="Times New Roman" w:hAnsi="Times New Roman" w:cs="Times New Roman"/>
          <w:sz w:val="28"/>
          <w:szCs w:val="28"/>
          <w:lang w:val="es-ES"/>
        </w:rPr>
        <w:t xml:space="preserve">ii) </w:t>
      </w:r>
      <w:r w:rsidRPr="00EE2FA1">
        <w:rPr>
          <w:rFonts w:ascii="Times New Roman" w:hAnsi="Times New Roman" w:cs="Times New Roman"/>
          <w:sz w:val="28"/>
          <w:szCs w:val="28"/>
          <w:lang w:val="es-ES"/>
        </w:rPr>
        <w:t xml:space="preserve">el momento de iniciación y de terminación del debate (artículos 94, inciso 2º, 157 y 176); </w:t>
      </w:r>
      <w:r w:rsidRPr="00EE2FA1">
        <w:rPr>
          <w:rFonts w:ascii="Times New Roman" w:hAnsi="Times New Roman" w:cs="Times New Roman"/>
          <w:sz w:val="28"/>
          <w:szCs w:val="28"/>
          <w:lang w:val="es-ES"/>
        </w:rPr>
        <w:t xml:space="preserve">iii) </w:t>
      </w:r>
      <w:r w:rsidRPr="00EE2FA1">
        <w:rPr>
          <w:rFonts w:ascii="Times New Roman" w:hAnsi="Times New Roman" w:cs="Times New Roman"/>
          <w:sz w:val="28"/>
          <w:szCs w:val="28"/>
          <w:lang w:val="es-ES"/>
        </w:rPr>
        <w:t>el quórum deliberat</w:t>
      </w:r>
      <w:r w:rsidRPr="00EE2FA1">
        <w:rPr>
          <w:rFonts w:ascii="Times New Roman" w:hAnsi="Times New Roman" w:cs="Times New Roman"/>
          <w:sz w:val="28"/>
          <w:szCs w:val="28"/>
          <w:lang w:val="es-ES"/>
        </w:rPr>
        <w:t xml:space="preserve">orio y decisorio (artículos 95, y 117 a 119); </w:t>
      </w:r>
      <w:r w:rsidRPr="00EE2FA1">
        <w:rPr>
          <w:rFonts w:ascii="Times New Roman" w:hAnsi="Times New Roman" w:cs="Times New Roman"/>
          <w:sz w:val="28"/>
          <w:szCs w:val="28"/>
          <w:lang w:val="es-ES"/>
        </w:rPr>
        <w:t xml:space="preserve">iv) </w:t>
      </w:r>
      <w:r w:rsidRPr="00EE2FA1">
        <w:rPr>
          <w:rFonts w:ascii="Times New Roman" w:hAnsi="Times New Roman" w:cs="Times New Roman"/>
          <w:sz w:val="28"/>
          <w:szCs w:val="28"/>
          <w:lang w:val="es-ES"/>
        </w:rPr>
        <w:t xml:space="preserve">las reglas generales que rigen la intervención de los congresistas en el debate de proyectos de ley y de actos legislativos (artículos 96 a 105); </w:t>
      </w:r>
      <w:r w:rsidRPr="00EE2FA1">
        <w:rPr>
          <w:rFonts w:ascii="Times New Roman" w:hAnsi="Times New Roman" w:cs="Times New Roman"/>
          <w:sz w:val="28"/>
          <w:szCs w:val="28"/>
          <w:lang w:val="es-ES"/>
        </w:rPr>
        <w:t xml:space="preserve">v) </w:t>
      </w:r>
      <w:r w:rsidRPr="00EE2FA1">
        <w:rPr>
          <w:rFonts w:ascii="Times New Roman" w:hAnsi="Times New Roman" w:cs="Times New Roman"/>
          <w:sz w:val="28"/>
          <w:szCs w:val="28"/>
          <w:lang w:val="es-ES"/>
        </w:rPr>
        <w:t>el trámite de las ponencias (artículos 150, 153, 156, 157</w:t>
      </w:r>
      <w:r w:rsidRPr="00EE2FA1">
        <w:rPr>
          <w:rFonts w:ascii="Times New Roman" w:hAnsi="Times New Roman" w:cs="Times New Roman"/>
          <w:sz w:val="28"/>
          <w:szCs w:val="28"/>
          <w:lang w:val="es-ES"/>
        </w:rPr>
        <w:t xml:space="preserve">, 171, 174, 175 y 176); </w:t>
      </w:r>
      <w:r w:rsidRPr="00EE2FA1">
        <w:rPr>
          <w:rFonts w:ascii="Times New Roman" w:hAnsi="Times New Roman" w:cs="Times New Roman"/>
          <w:sz w:val="28"/>
          <w:szCs w:val="28"/>
          <w:lang w:val="es-ES"/>
        </w:rPr>
        <w:t xml:space="preserve">vi) </w:t>
      </w:r>
      <w:r w:rsidRPr="00EE2FA1">
        <w:rPr>
          <w:rFonts w:ascii="Times New Roman" w:hAnsi="Times New Roman" w:cs="Times New Roman"/>
          <w:sz w:val="28"/>
          <w:szCs w:val="28"/>
          <w:lang w:val="es-ES"/>
        </w:rPr>
        <w:t xml:space="preserve">el trámite de las proposiciones (112 a 115) ; </w:t>
      </w:r>
      <w:r w:rsidRPr="00EE2FA1">
        <w:rPr>
          <w:rFonts w:ascii="Times New Roman" w:hAnsi="Times New Roman" w:cs="Times New Roman"/>
          <w:sz w:val="28"/>
          <w:szCs w:val="28"/>
          <w:lang w:val="es-ES"/>
        </w:rPr>
        <w:t xml:space="preserve">vii) </w:t>
      </w:r>
      <w:r w:rsidRPr="00EE2FA1">
        <w:rPr>
          <w:rFonts w:ascii="Times New Roman" w:hAnsi="Times New Roman" w:cs="Times New Roman"/>
          <w:sz w:val="28"/>
          <w:szCs w:val="28"/>
          <w:lang w:val="es-ES"/>
        </w:rPr>
        <w:t>las enmiendas a los proyectos  (</w:t>
      </w:r>
      <w:r w:rsidRPr="00EE2FA1">
        <w:rPr>
          <w:rFonts w:ascii="Times New Roman" w:hAnsi="Times New Roman" w:cs="Times New Roman"/>
          <w:sz w:val="28"/>
          <w:szCs w:val="28"/>
          <w:lang w:val="es-ES"/>
        </w:rPr>
        <w:t xml:space="preserve">artículos </w:t>
      </w:r>
      <w:r w:rsidRPr="00EE2FA1">
        <w:rPr>
          <w:rFonts w:ascii="Times New Roman" w:hAnsi="Times New Roman" w:cs="Times New Roman"/>
          <w:sz w:val="28"/>
          <w:szCs w:val="28"/>
          <w:lang w:val="es-ES"/>
        </w:rPr>
        <w:t>160, 161, 162, 177, 178 y 179) o</w:t>
      </w:r>
      <w:r w:rsidRPr="00EE2FA1">
        <w:rPr>
          <w:rFonts w:ascii="Times New Roman" w:hAnsi="Times New Roman" w:cs="Times New Roman"/>
          <w:sz w:val="28"/>
          <w:szCs w:val="28"/>
          <w:lang w:val="es-ES"/>
        </w:rPr>
        <w:t xml:space="preserve"> viii)</w:t>
      </w:r>
      <w:r w:rsidRPr="00EE2FA1">
        <w:rPr>
          <w:rFonts w:ascii="Times New Roman" w:hAnsi="Times New Roman" w:cs="Times New Roman"/>
          <w:sz w:val="28"/>
          <w:szCs w:val="28"/>
          <w:lang w:val="es-ES"/>
        </w:rPr>
        <w:t xml:space="preserve"> la forma de conciliar las diferencias entre lo aprobado en una y otra Cámara, en los términos de</w:t>
      </w:r>
      <w:r w:rsidRPr="00EE2FA1">
        <w:rPr>
          <w:rFonts w:ascii="Times New Roman" w:hAnsi="Times New Roman" w:cs="Times New Roman"/>
          <w:sz w:val="28"/>
          <w:szCs w:val="28"/>
          <w:lang w:val="es-ES"/>
        </w:rPr>
        <w:t>l artículo 161 de la Constitución (</w:t>
      </w:r>
      <w:r w:rsidRPr="00EE2FA1">
        <w:rPr>
          <w:rFonts w:ascii="Times New Roman" w:hAnsi="Times New Roman" w:cs="Times New Roman"/>
          <w:sz w:val="28"/>
          <w:szCs w:val="28"/>
          <w:lang w:val="es-ES"/>
        </w:rPr>
        <w:t xml:space="preserve">artículos </w:t>
      </w:r>
      <w:r w:rsidRPr="00EE2FA1">
        <w:rPr>
          <w:rFonts w:ascii="Times New Roman" w:hAnsi="Times New Roman" w:cs="Times New Roman"/>
          <w:sz w:val="28"/>
          <w:szCs w:val="28"/>
          <w:lang w:val="es-ES"/>
        </w:rPr>
        <w:t>186 a 189)</w:t>
      </w:r>
      <w:r w:rsidRPr="00EE2FA1">
        <w:rPr>
          <w:rStyle w:val="Refdenotaalpie"/>
          <w:rFonts w:ascii="Times New Roman" w:hAnsi="Times New Roman" w:cs="Times New Roman"/>
          <w:sz w:val="28"/>
          <w:szCs w:val="28"/>
          <w:lang w:val="es-ES"/>
        </w:rPr>
        <w:footnoteReference w:id="50"/>
      </w:r>
      <w:r w:rsidRPr="00EE2FA1">
        <w:rPr>
          <w:rFonts w:ascii="Times New Roman" w:hAnsi="Times New Roman" w:cs="Times New Roman"/>
          <w:sz w:val="28"/>
          <w:szCs w:val="28"/>
          <w:lang w:val="es-ES"/>
        </w:rPr>
        <w:t>.</w:t>
      </w:r>
    </w:p>
    <w:p w:rsidR="00202DD0" w:rsidRPr="00EE2FA1" w:rsidRDefault="00EE2FA1" w:rsidP="00202DD0">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CD06C1"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Las </w:t>
      </w:r>
      <w:r w:rsidRPr="00EE2FA1">
        <w:rPr>
          <w:rFonts w:ascii="Times New Roman" w:eastAsia="Calibri" w:hAnsi="Times New Roman" w:cs="Times New Roman"/>
          <w:sz w:val="28"/>
          <w:szCs w:val="28"/>
          <w:lang w:eastAsia="es-ES"/>
        </w:rPr>
        <w:t>reglas constitucionales y legales</w:t>
      </w:r>
      <w:r w:rsidRPr="00EE2FA1">
        <w:rPr>
          <w:rFonts w:ascii="Times New Roman" w:eastAsia="Calibri" w:hAnsi="Times New Roman" w:cs="Times New Roman"/>
          <w:sz w:val="28"/>
          <w:szCs w:val="28"/>
          <w:lang w:eastAsia="es-ES"/>
        </w:rPr>
        <w:t xml:space="preserve"> sobre la materia</w:t>
      </w:r>
      <w:r w:rsidRPr="00EE2FA1">
        <w:rPr>
          <w:rFonts w:ascii="Times New Roman" w:eastAsia="Calibri" w:hAnsi="Times New Roman" w:cs="Times New Roman"/>
          <w:sz w:val="28"/>
          <w:szCs w:val="28"/>
          <w:lang w:eastAsia="es-ES"/>
        </w:rPr>
        <w:t xml:space="preserve"> buscan asegurar que el debate se cumpla en debida forma y concretan principios relacionados con: i) </w:t>
      </w:r>
      <w:r w:rsidRPr="00EE2FA1">
        <w:rPr>
          <w:rFonts w:ascii="Times New Roman" w:hAnsi="Times New Roman" w:cs="Times New Roman"/>
          <w:sz w:val="28"/>
          <w:szCs w:val="28"/>
          <w:lang w:val="es-ES"/>
        </w:rPr>
        <w:t xml:space="preserve">la garantía para la formación y expresión </w:t>
      </w:r>
      <w:r w:rsidRPr="00EE2FA1">
        <w:rPr>
          <w:rFonts w:ascii="Times New Roman" w:hAnsi="Times New Roman" w:cs="Times New Roman"/>
          <w:sz w:val="28"/>
          <w:szCs w:val="28"/>
          <w:lang w:val="es-ES"/>
        </w:rPr>
        <w:t>de la voluntad legislativa de manera libre e ilustrada;</w:t>
      </w:r>
      <w:r w:rsidRPr="00EE2FA1">
        <w:rPr>
          <w:rFonts w:ascii="Times New Roman" w:hAnsi="Times New Roman" w:cs="Times New Roman"/>
          <w:sz w:val="28"/>
          <w:szCs w:val="28"/>
          <w:lang w:val="es-ES"/>
        </w:rPr>
        <w:t xml:space="preserve"> ii)</w:t>
      </w:r>
      <w:r w:rsidRPr="00EE2FA1">
        <w:rPr>
          <w:rFonts w:ascii="Times New Roman" w:hAnsi="Times New Roman" w:cs="Times New Roman"/>
          <w:sz w:val="28"/>
          <w:szCs w:val="28"/>
          <w:lang w:val="es-ES"/>
        </w:rPr>
        <w:t xml:space="preserve"> el respeto, tanto de la regla mayoritaria, como de los derechos de las minorías;</w:t>
      </w:r>
      <w:r w:rsidRPr="00EE2FA1">
        <w:rPr>
          <w:rFonts w:ascii="Times New Roman" w:hAnsi="Times New Roman" w:cs="Times New Roman"/>
          <w:sz w:val="28"/>
          <w:szCs w:val="28"/>
          <w:lang w:val="es-ES"/>
        </w:rPr>
        <w:t xml:space="preserve"> iii)</w:t>
      </w:r>
      <w:r w:rsidRPr="00EE2FA1">
        <w:rPr>
          <w:rFonts w:ascii="Times New Roman" w:hAnsi="Times New Roman" w:cs="Times New Roman"/>
          <w:sz w:val="28"/>
          <w:szCs w:val="28"/>
          <w:lang w:val="es-ES"/>
        </w:rPr>
        <w:t xml:space="preserve"> la suficiencia de las oportunidades deliberativas;</w:t>
      </w:r>
      <w:r w:rsidRPr="00EE2FA1">
        <w:rPr>
          <w:rFonts w:ascii="Times New Roman" w:hAnsi="Times New Roman" w:cs="Times New Roman"/>
          <w:sz w:val="28"/>
          <w:szCs w:val="28"/>
          <w:lang w:val="es-ES"/>
        </w:rPr>
        <w:t xml:space="preserve"> iv)</w:t>
      </w:r>
      <w:r w:rsidRPr="00EE2FA1">
        <w:rPr>
          <w:rFonts w:ascii="Times New Roman" w:hAnsi="Times New Roman" w:cs="Times New Roman"/>
          <w:sz w:val="28"/>
          <w:szCs w:val="28"/>
          <w:lang w:val="es-ES"/>
        </w:rPr>
        <w:t xml:space="preserve"> la publicidad de los asuntos debatidos, no solo como pr</w:t>
      </w:r>
      <w:r w:rsidRPr="00EE2FA1">
        <w:rPr>
          <w:rFonts w:ascii="Times New Roman" w:hAnsi="Times New Roman" w:cs="Times New Roman"/>
          <w:sz w:val="28"/>
          <w:szCs w:val="28"/>
          <w:lang w:val="es-ES"/>
        </w:rPr>
        <w:t>esupuesto para el debate entre los congresistas, sino como derecho de la ciudadanía general, o el respeto de la función representativa y deliberativa que cumplen los congresistas</w:t>
      </w:r>
      <w:r w:rsidRPr="00EE2FA1">
        <w:rPr>
          <w:rStyle w:val="Refdenotaalpie"/>
          <w:rFonts w:ascii="Times New Roman" w:hAnsi="Times New Roman" w:cs="Times New Roman"/>
          <w:sz w:val="28"/>
          <w:szCs w:val="28"/>
          <w:lang w:val="es-ES"/>
        </w:rPr>
        <w:footnoteReference w:id="51"/>
      </w:r>
      <w:r w:rsidRPr="00EE2FA1">
        <w:rPr>
          <w:rFonts w:ascii="Times New Roman" w:hAnsi="Times New Roman" w:cs="Times New Roman"/>
          <w:sz w:val="28"/>
          <w:szCs w:val="28"/>
          <w:lang w:val="es-ES"/>
        </w:rPr>
        <w:t xml:space="preserve">. </w:t>
      </w:r>
    </w:p>
    <w:p w:rsidR="008B59BB"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CD06C1"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De otra parte, la Ley 5ª de 1992 consagra los principios que deben teners</w:t>
      </w:r>
      <w:r w:rsidRPr="00EE2FA1">
        <w:rPr>
          <w:rFonts w:ascii="Times New Roman" w:eastAsia="Calibri" w:hAnsi="Times New Roman" w:cs="Times New Roman"/>
          <w:sz w:val="28"/>
          <w:szCs w:val="28"/>
          <w:lang w:eastAsia="es-ES"/>
        </w:rPr>
        <w:t>e en cuenta para la interpretación y aplicación del reglamento del Congreso</w:t>
      </w:r>
      <w:r w:rsidRPr="00EE2FA1">
        <w:rPr>
          <w:rFonts w:ascii="Times New Roman" w:hAnsi="Times New Roman" w:cs="Times New Roman"/>
          <w:sz w:val="28"/>
          <w:szCs w:val="28"/>
          <w:vertAlign w:val="superscript"/>
        </w:rPr>
        <w:footnoteReference w:id="52"/>
      </w:r>
      <w:r w:rsidRPr="00EE2FA1">
        <w:rPr>
          <w:rFonts w:ascii="Times New Roman" w:eastAsia="Calibri" w:hAnsi="Times New Roman" w:cs="Times New Roman"/>
          <w:sz w:val="28"/>
          <w:szCs w:val="28"/>
          <w:lang w:eastAsia="es-ES"/>
        </w:rPr>
        <w:t>. Esta Corte ha entendido aquellos de la siguiente manera: “</w:t>
      </w:r>
      <w:r w:rsidRPr="00EE2FA1">
        <w:rPr>
          <w:rFonts w:ascii="Times New Roman" w:hAnsi="Times New Roman" w:cs="Times New Roman"/>
          <w:sz w:val="28"/>
          <w:szCs w:val="28"/>
        </w:rPr>
        <w:t xml:space="preserve">en primer lugar, que sus normas, sin perjuicio de la corrección formal de los procedimientos, </w:t>
      </w:r>
      <w:r w:rsidRPr="00EE2FA1">
        <w:rPr>
          <w:rFonts w:ascii="Times New Roman" w:hAnsi="Times New Roman" w:cs="Times New Roman"/>
          <w:sz w:val="28"/>
          <w:szCs w:val="28"/>
        </w:rPr>
        <w:t>‘</w:t>
      </w:r>
      <w:r w:rsidRPr="00EE2FA1">
        <w:rPr>
          <w:rFonts w:ascii="Times New Roman" w:hAnsi="Times New Roman" w:cs="Times New Roman"/>
          <w:sz w:val="28"/>
          <w:szCs w:val="28"/>
        </w:rPr>
        <w:t>(…) deben servir para imp</w:t>
      </w:r>
      <w:r w:rsidRPr="00EE2FA1">
        <w:rPr>
          <w:rFonts w:ascii="Times New Roman" w:hAnsi="Times New Roman" w:cs="Times New Roman"/>
          <w:sz w:val="28"/>
          <w:szCs w:val="28"/>
        </w:rPr>
        <w:t>ulsar eficazmente el desarrollo de las labores de todo orden del Congreso</w:t>
      </w:r>
      <w:r w:rsidRPr="00EE2FA1">
        <w:rPr>
          <w:rFonts w:ascii="Times New Roman" w:hAnsi="Times New Roman" w:cs="Times New Roman"/>
          <w:sz w:val="28"/>
          <w:szCs w:val="28"/>
        </w:rPr>
        <w:t>’</w:t>
      </w:r>
      <w:r w:rsidRPr="00EE2FA1">
        <w:rPr>
          <w:rFonts w:ascii="Times New Roman" w:hAnsi="Times New Roman" w:cs="Times New Roman"/>
          <w:sz w:val="28"/>
          <w:szCs w:val="28"/>
        </w:rPr>
        <w:t>.</w:t>
      </w:r>
      <w:r w:rsidRPr="00EE2FA1">
        <w:rPr>
          <w:rFonts w:ascii="Times New Roman" w:hAnsi="Times New Roman" w:cs="Times New Roman"/>
          <w:sz w:val="28"/>
          <w:szCs w:val="28"/>
        </w:rPr>
        <w:t>”</w:t>
      </w:r>
      <w:r w:rsidRPr="00EE2FA1">
        <w:rPr>
          <w:rStyle w:val="Refdenotaalpie"/>
          <w:rFonts w:ascii="Times New Roman" w:hAnsi="Times New Roman" w:cs="Times New Roman"/>
          <w:sz w:val="28"/>
          <w:szCs w:val="28"/>
        </w:rPr>
        <w:footnoteReference w:id="53"/>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En esa misma línea se encuentra el </w:t>
      </w:r>
      <w:r w:rsidRPr="00EE2FA1">
        <w:rPr>
          <w:rFonts w:ascii="Times New Roman" w:hAnsi="Times New Roman" w:cs="Times New Roman"/>
          <w:sz w:val="28"/>
          <w:szCs w:val="28"/>
        </w:rPr>
        <w:t>principio</w:t>
      </w:r>
      <w:r w:rsidRPr="00EE2FA1">
        <w:rPr>
          <w:rFonts w:ascii="Times New Roman" w:hAnsi="Times New Roman" w:cs="Times New Roman"/>
          <w:sz w:val="28"/>
          <w:szCs w:val="28"/>
        </w:rPr>
        <w:t xml:space="preserve"> de corrección formal de los procedimientos. El objetivo de dicho postulado es el de</w:t>
      </w:r>
      <w:r w:rsidRPr="00EE2FA1">
        <w:rPr>
          <w:rFonts w:ascii="Times New Roman" w:hAnsi="Times New Roman" w:cs="Times New Roman"/>
          <w:sz w:val="28"/>
          <w:szCs w:val="28"/>
        </w:rPr>
        <w:t xml:space="preserve"> “(…) subsanar los vicios de procedimiento que sea</w:t>
      </w:r>
      <w:r w:rsidRPr="00EE2FA1">
        <w:rPr>
          <w:rFonts w:ascii="Times New Roman" w:hAnsi="Times New Roman" w:cs="Times New Roman"/>
          <w:sz w:val="28"/>
          <w:szCs w:val="28"/>
        </w:rPr>
        <w:t>n corregibles, en el entendido que así se garantiza no sólo la constitucionalidad del proceso de formación de las leyes, sino también los derechos de las mayorías y las minorías y el ordenado adelantamiento de las discusiones y votaciones.”</w:t>
      </w:r>
      <w:r w:rsidRPr="00EE2FA1">
        <w:rPr>
          <w:rStyle w:val="Refdenotaalpie"/>
          <w:rFonts w:ascii="Times New Roman" w:hAnsi="Times New Roman" w:cs="Times New Roman"/>
          <w:sz w:val="28"/>
          <w:szCs w:val="28"/>
        </w:rPr>
        <w:footnoteReference w:id="54"/>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Seguidamente, </w:t>
      </w:r>
      <w:r w:rsidRPr="00EE2FA1">
        <w:rPr>
          <w:rFonts w:ascii="Times New Roman" w:hAnsi="Times New Roman" w:cs="Times New Roman"/>
          <w:sz w:val="28"/>
          <w:szCs w:val="28"/>
        </w:rPr>
        <w:t>está</w:t>
      </w:r>
      <w:r w:rsidRPr="00EE2FA1">
        <w:rPr>
          <w:rFonts w:ascii="Times New Roman" w:hAnsi="Times New Roman" w:cs="Times New Roman"/>
          <w:sz w:val="28"/>
          <w:szCs w:val="28"/>
        </w:rPr>
        <w:t xml:space="preserve"> consagrada</w:t>
      </w:r>
      <w:r w:rsidRPr="00EE2FA1">
        <w:rPr>
          <w:rFonts w:ascii="Times New Roman" w:hAnsi="Times New Roman" w:cs="Times New Roman"/>
          <w:sz w:val="28"/>
          <w:szCs w:val="28"/>
        </w:rPr>
        <w:t xml:space="preserve"> la regla de las mayorías orientada a que la aplicación del reglamento se haga “(…) en forma tal que toda decisión refleje la voluntad de las mayorías presentes en la respectiva sesión y consulte, en todo momento, la justicia y el bien común</w:t>
      </w:r>
      <w:r w:rsidRPr="00EE2FA1">
        <w:rPr>
          <w:rFonts w:ascii="Times New Roman" w:hAnsi="Times New Roman" w:cs="Times New Roman"/>
          <w:sz w:val="28"/>
          <w:szCs w:val="28"/>
        </w:rPr>
        <w:t>.”</w:t>
      </w:r>
      <w:r w:rsidRPr="00EE2FA1">
        <w:rPr>
          <w:rStyle w:val="Refdenotaalpie"/>
          <w:rFonts w:ascii="Times New Roman" w:hAnsi="Times New Roman" w:cs="Times New Roman"/>
          <w:sz w:val="28"/>
          <w:szCs w:val="28"/>
        </w:rPr>
        <w:footnoteReference w:id="55"/>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Finalmente, la norma alude a la regla de las minorías, según la cual el reglamento garantiza el derecho constitucional de éstas a ser representadas, a participar y a expresarse</w:t>
      </w:r>
      <w:r w:rsidRPr="00EE2FA1">
        <w:rPr>
          <w:rStyle w:val="Refdenotaalpie"/>
          <w:rFonts w:ascii="Times New Roman" w:hAnsi="Times New Roman" w:cs="Times New Roman"/>
          <w:sz w:val="28"/>
          <w:szCs w:val="28"/>
        </w:rPr>
        <w:footnoteReference w:id="56"/>
      </w:r>
      <w:r w:rsidRPr="00EE2FA1">
        <w:rPr>
          <w:rFonts w:ascii="Times New Roman" w:hAnsi="Times New Roman" w:cs="Times New Roman"/>
          <w:sz w:val="28"/>
          <w:szCs w:val="28"/>
        </w:rPr>
        <w:t xml:space="preserve">.  </w:t>
      </w:r>
    </w:p>
    <w:p w:rsidR="00522643"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A94869"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eastAsia="Calibri" w:hAnsi="Times New Roman" w:cs="Times New Roman"/>
          <w:i/>
          <w:iCs/>
          <w:sz w:val="28"/>
          <w:szCs w:val="28"/>
          <w:lang w:eastAsia="es-ES"/>
        </w:rPr>
        <w:t>Los parámetros y principios que orientan el debate</w:t>
      </w:r>
      <w:r w:rsidRPr="00EE2FA1">
        <w:rPr>
          <w:rFonts w:ascii="Times New Roman" w:eastAsia="Calibri" w:hAnsi="Times New Roman" w:cs="Times New Roman"/>
          <w:sz w:val="28"/>
          <w:szCs w:val="28"/>
          <w:lang w:eastAsia="es-ES"/>
        </w:rPr>
        <w:t>. Esta corporación h</w:t>
      </w:r>
      <w:r w:rsidRPr="00EE2FA1">
        <w:rPr>
          <w:rFonts w:ascii="Times New Roman" w:eastAsia="Calibri" w:hAnsi="Times New Roman" w:cs="Times New Roman"/>
          <w:sz w:val="28"/>
          <w:szCs w:val="28"/>
          <w:lang w:eastAsia="es-ES"/>
        </w:rPr>
        <w:t xml:space="preserve">a precisado que la expresión “debate” es un instrumento para la configuración de la voluntad legislativa. En tal sentido, ha </w:t>
      </w:r>
      <w:r w:rsidRPr="00EE2FA1">
        <w:rPr>
          <w:rFonts w:ascii="Times New Roman" w:eastAsia="Calibri" w:hAnsi="Times New Roman" w:cs="Times New Roman"/>
          <w:sz w:val="28"/>
          <w:szCs w:val="28"/>
          <w:lang w:eastAsia="es-ES"/>
        </w:rPr>
        <w:t xml:space="preserve">señalado </w:t>
      </w:r>
      <w:r w:rsidRPr="00EE2FA1">
        <w:rPr>
          <w:rFonts w:ascii="Times New Roman" w:eastAsia="Calibri" w:hAnsi="Times New Roman" w:cs="Times New Roman"/>
          <w:sz w:val="28"/>
          <w:szCs w:val="28"/>
          <w:lang w:eastAsia="es-ES"/>
        </w:rPr>
        <w:t>que es propio del debate parlamentario</w:t>
      </w:r>
      <w:r w:rsidRPr="00EE2FA1">
        <w:rPr>
          <w:rFonts w:ascii="Times New Roman" w:hAnsi="Times New Roman" w:cs="Times New Roman"/>
          <w:sz w:val="28"/>
          <w:szCs w:val="28"/>
          <w:lang w:val="es-ES"/>
        </w:rPr>
        <w:t xml:space="preserve"> “(…) la exposición de ideas, criterios y conceptos diversos y hasta contrarios</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y l</w:t>
      </w:r>
      <w:r w:rsidRPr="00EE2FA1">
        <w:rPr>
          <w:rFonts w:ascii="Times New Roman" w:hAnsi="Times New Roman" w:cs="Times New Roman"/>
          <w:sz w:val="28"/>
          <w:szCs w:val="28"/>
          <w:lang w:val="es-ES"/>
        </w:rPr>
        <w:t>a confrontación seria y respetuosa entre ellos; el examen de las distintas posibilidades y la consideración colectiva, razonada y fundada, acerca de las repercusiones que habrá de tener la decisión puesta en tela de juicio (...)”</w:t>
      </w:r>
      <w:r w:rsidRPr="00EE2FA1">
        <w:rPr>
          <w:rFonts w:ascii="Times New Roman" w:hAnsi="Times New Roman" w:cs="Times New Roman"/>
          <w:bCs/>
          <w:sz w:val="28"/>
          <w:szCs w:val="28"/>
          <w:vertAlign w:val="superscript"/>
          <w:lang w:val="es-ES"/>
        </w:rPr>
        <w:footnoteReference w:id="57"/>
      </w:r>
      <w:r w:rsidRPr="00EE2FA1">
        <w:rPr>
          <w:rFonts w:ascii="Times New Roman" w:hAnsi="Times New Roman" w:cs="Times New Roman"/>
          <w:sz w:val="28"/>
          <w:szCs w:val="28"/>
          <w:lang w:val="es-ES"/>
        </w:rPr>
        <w:t>”</w:t>
      </w:r>
      <w:r w:rsidRPr="00EE2FA1">
        <w:rPr>
          <w:rStyle w:val="Refdenotaalpie"/>
          <w:rFonts w:ascii="Times New Roman" w:hAnsi="Times New Roman" w:cs="Times New Roman"/>
          <w:sz w:val="28"/>
          <w:szCs w:val="28"/>
          <w:lang w:val="es-ES"/>
        </w:rPr>
        <w:footnoteReference w:id="58"/>
      </w:r>
      <w:r w:rsidRPr="00EE2FA1">
        <w:rPr>
          <w:rFonts w:ascii="Times New Roman" w:hAnsi="Times New Roman" w:cs="Times New Roman"/>
          <w:sz w:val="28"/>
          <w:szCs w:val="28"/>
          <w:lang w:val="es-ES"/>
        </w:rPr>
        <w:t>.</w:t>
      </w:r>
    </w:p>
    <w:p w:rsidR="00A94869" w:rsidRPr="00EE2FA1" w:rsidRDefault="00EE2FA1" w:rsidP="00C833B9">
      <w:pPr>
        <w:pStyle w:val="Prrafodelista"/>
        <w:tabs>
          <w:tab w:val="left" w:pos="426"/>
        </w:tabs>
        <w:spacing w:line="0" w:lineRule="atLeast"/>
        <w:ind w:left="0"/>
        <w:jc w:val="both"/>
        <w:rPr>
          <w:rFonts w:ascii="Times New Roman" w:hAnsi="Times New Roman" w:cs="Times New Roman"/>
          <w:sz w:val="28"/>
          <w:szCs w:val="28"/>
          <w:lang w:val="es-ES"/>
        </w:rPr>
      </w:pPr>
    </w:p>
    <w:p w:rsidR="004B794C"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En la Sentencia C-473</w:t>
      </w:r>
      <w:r w:rsidRPr="00EE2FA1">
        <w:rPr>
          <w:rFonts w:ascii="Times New Roman" w:hAnsi="Times New Roman" w:cs="Times New Roman"/>
          <w:sz w:val="28"/>
          <w:szCs w:val="28"/>
          <w:lang w:val="es-ES"/>
        </w:rPr>
        <w:t xml:space="preserve"> de 2004, la Corte expuso las normas del reglamento del Congreso</w:t>
      </w:r>
      <w:r w:rsidRPr="00EE2FA1">
        <w:rPr>
          <w:rFonts w:ascii="Times New Roman" w:hAnsi="Times New Roman" w:cs="Times New Roman"/>
          <w:sz w:val="28"/>
          <w:szCs w:val="28"/>
          <w:lang w:val="es-ES"/>
        </w:rPr>
        <w:t>, en particular el artículo 157 de la Ley 5ª de 1992,</w:t>
      </w:r>
      <w:r w:rsidRPr="00EE2FA1">
        <w:rPr>
          <w:rFonts w:ascii="Times New Roman" w:hAnsi="Times New Roman" w:cs="Times New Roman"/>
          <w:sz w:val="28"/>
          <w:szCs w:val="28"/>
          <w:lang w:val="es-ES"/>
        </w:rPr>
        <w:t xml:space="preserve"> que regulan el desarrollo del debate legislativo de la siguiente manera: </w:t>
      </w:r>
    </w:p>
    <w:p w:rsidR="004B794C" w:rsidRPr="00EE2FA1" w:rsidRDefault="00EE2FA1" w:rsidP="00C833B9">
      <w:pPr>
        <w:pStyle w:val="Prrafodelista"/>
        <w:tabs>
          <w:tab w:val="left" w:pos="426"/>
        </w:tabs>
        <w:spacing w:line="0" w:lineRule="atLeast"/>
        <w:ind w:left="0"/>
        <w:jc w:val="both"/>
        <w:rPr>
          <w:rFonts w:ascii="Times New Roman" w:hAnsi="Times New Roman" w:cs="Times New Roman"/>
          <w:sz w:val="28"/>
          <w:szCs w:val="28"/>
          <w:lang w:val="es-ES"/>
        </w:rPr>
      </w:pPr>
    </w:p>
    <w:p w:rsidR="00CD06C1" w:rsidRPr="00EE2FA1" w:rsidRDefault="00EE2FA1" w:rsidP="002C3BB2">
      <w:pPr>
        <w:pStyle w:val="Prrafodelista"/>
        <w:spacing w:line="0" w:lineRule="atLeast"/>
        <w:ind w:left="567"/>
        <w:jc w:val="both"/>
        <w:rPr>
          <w:rFonts w:ascii="Times New Roman" w:hAnsi="Times New Roman" w:cs="Times New Roman"/>
          <w:sz w:val="28"/>
          <w:lang w:val="es-ES"/>
        </w:rPr>
      </w:pPr>
      <w:r w:rsidRPr="00EE2FA1">
        <w:rPr>
          <w:rFonts w:ascii="Times New Roman" w:hAnsi="Times New Roman" w:cs="Times New Roman"/>
          <w:sz w:val="28"/>
          <w:lang w:val="es-ES"/>
        </w:rPr>
        <w:t>“En el caso del debate que realizan las comisiones constitucion</w:t>
      </w:r>
      <w:r w:rsidRPr="00EE2FA1">
        <w:rPr>
          <w:rFonts w:ascii="Times New Roman" w:hAnsi="Times New Roman" w:cs="Times New Roman"/>
          <w:sz w:val="28"/>
          <w:lang w:val="es-ES"/>
        </w:rPr>
        <w:t>ales permanentes, según el artículo 157</w:t>
      </w:r>
      <w:r w:rsidRPr="00EE2FA1">
        <w:rPr>
          <w:rFonts w:ascii="Times New Roman" w:hAnsi="Times New Roman" w:cs="Times New Roman"/>
          <w:bCs/>
          <w:sz w:val="28"/>
          <w:vertAlign w:val="superscript"/>
          <w:lang w:val="es-ES"/>
        </w:rPr>
        <w:footnoteReference w:id="59"/>
      </w:r>
      <w:r w:rsidRPr="00EE2FA1">
        <w:rPr>
          <w:rFonts w:ascii="Times New Roman" w:hAnsi="Times New Roman" w:cs="Times New Roman"/>
          <w:sz w:val="28"/>
          <w:lang w:val="es-ES"/>
        </w:rPr>
        <w:t xml:space="preserve"> de la Ley 5ª de 1992, éste tiene lugar, por regla general, después de la publicación del informe de ponencia y, excepcionalmente </w:t>
      </w:r>
      <w:r w:rsidRPr="00EE2FA1">
        <w:rPr>
          <w:rFonts w:ascii="Times New Roman" w:hAnsi="Times New Roman" w:cs="Times New Roman"/>
          <w:sz w:val="28"/>
          <w:lang w:val="es-ES"/>
        </w:rPr>
        <w:noBreakHyphen/>
        <w:t>tal como lo autoriza el artículo 156</w:t>
      </w:r>
      <w:r w:rsidRPr="00EE2FA1">
        <w:rPr>
          <w:rFonts w:ascii="Times New Roman" w:hAnsi="Times New Roman" w:cs="Times New Roman"/>
          <w:bCs/>
          <w:sz w:val="28"/>
          <w:vertAlign w:val="superscript"/>
          <w:lang w:val="es-ES"/>
        </w:rPr>
        <w:footnoteReference w:id="60"/>
      </w:r>
      <w:r w:rsidRPr="00EE2FA1">
        <w:rPr>
          <w:rFonts w:ascii="Times New Roman" w:hAnsi="Times New Roman" w:cs="Times New Roman"/>
          <w:sz w:val="28"/>
          <w:lang w:val="es-ES"/>
        </w:rPr>
        <w:t xml:space="preserve"> de la misma Ley</w:t>
      </w:r>
      <w:r w:rsidRPr="00EE2FA1">
        <w:rPr>
          <w:rFonts w:ascii="Times New Roman" w:hAnsi="Times New Roman" w:cs="Times New Roman"/>
          <w:sz w:val="28"/>
          <w:lang w:val="es-ES"/>
        </w:rPr>
        <w:noBreakHyphen/>
        <w:t xml:space="preserve"> antes de su publicación, pero </w:t>
      </w:r>
      <w:r w:rsidRPr="00EE2FA1">
        <w:rPr>
          <w:rFonts w:ascii="Times New Roman" w:hAnsi="Times New Roman" w:cs="Times New Roman"/>
          <w:sz w:val="28"/>
          <w:lang w:val="es-ES"/>
        </w:rPr>
        <w:t>después de la entrega de una reproducción del informe de ponencia a los miembros de la comisión respectiva, cuando así lo haya autorizado el Presidente de la Comisión. En cuanto a la iniciación del debate de los proyectos de ley en comisiones, éste se inic</w:t>
      </w:r>
      <w:r w:rsidRPr="00EE2FA1">
        <w:rPr>
          <w:rFonts w:ascii="Times New Roman" w:hAnsi="Times New Roman" w:cs="Times New Roman"/>
          <w:sz w:val="28"/>
          <w:lang w:val="es-ES"/>
        </w:rPr>
        <w:t xml:space="preserve">ia luego de la intervención del ponente del proyecto (artículo 157, Ley 5ª de 1992). Si la proposición con la que termina el informe es que se dé primer debate al proyecto, el debate se inicia sin necesidad de votarlo. Si la proposición es para archivar o </w:t>
      </w:r>
      <w:r w:rsidRPr="00EE2FA1">
        <w:rPr>
          <w:rFonts w:ascii="Times New Roman" w:hAnsi="Times New Roman" w:cs="Times New Roman"/>
          <w:sz w:val="28"/>
          <w:lang w:val="es-ES"/>
        </w:rPr>
        <w:t>negar el proyecto, se debate primero esta propuesta y cerrado el debate, se procede a su votación (artículo 157, Ley 5ª de 1992). El debate del proyecto puede terminar, luego de transcurridas 3 horas desde su iniciación, si cualquiera de los miembros de la</w:t>
      </w:r>
      <w:r w:rsidRPr="00EE2FA1">
        <w:rPr>
          <w:rFonts w:ascii="Times New Roman" w:hAnsi="Times New Roman" w:cs="Times New Roman"/>
          <w:sz w:val="28"/>
          <w:lang w:val="es-ES"/>
        </w:rPr>
        <w:t xml:space="preserve"> respectiva corporación solicita que se declare la suficiente ilustración (artículo 108,</w:t>
      </w:r>
      <w:r w:rsidRPr="00EE2FA1">
        <w:rPr>
          <w:rFonts w:ascii="Times New Roman" w:hAnsi="Times New Roman" w:cs="Times New Roman"/>
          <w:bCs/>
          <w:sz w:val="28"/>
          <w:vertAlign w:val="superscript"/>
          <w:lang w:val="es-ES"/>
        </w:rPr>
        <w:footnoteReference w:id="61"/>
      </w:r>
      <w:r w:rsidRPr="00EE2FA1">
        <w:rPr>
          <w:rFonts w:ascii="Times New Roman" w:hAnsi="Times New Roman" w:cs="Times New Roman"/>
          <w:sz w:val="28"/>
          <w:lang w:val="es-ES"/>
        </w:rPr>
        <w:t xml:space="preserve"> Ley 5ª de 1992). El debate de artículos del proyecto también puede concluir si se solicita la declaratoria de suficiente ilustración respecto de artículos que hayan s</w:t>
      </w:r>
      <w:r w:rsidRPr="00EE2FA1">
        <w:rPr>
          <w:rFonts w:ascii="Times New Roman" w:hAnsi="Times New Roman" w:cs="Times New Roman"/>
          <w:sz w:val="28"/>
          <w:lang w:val="es-ES"/>
        </w:rPr>
        <w:t>ido discutidos en dos sesiones (artículo 164,</w:t>
      </w:r>
      <w:r w:rsidRPr="00EE2FA1">
        <w:rPr>
          <w:rFonts w:ascii="Times New Roman" w:hAnsi="Times New Roman" w:cs="Times New Roman"/>
          <w:b/>
          <w:bCs/>
          <w:sz w:val="28"/>
          <w:vertAlign w:val="superscript"/>
          <w:lang w:val="es-ES"/>
        </w:rPr>
        <w:footnoteReference w:id="62"/>
      </w:r>
      <w:r w:rsidRPr="00EE2FA1">
        <w:rPr>
          <w:rFonts w:ascii="Times New Roman" w:hAnsi="Times New Roman" w:cs="Times New Roman"/>
          <w:sz w:val="28"/>
          <w:lang w:val="es-ES"/>
        </w:rPr>
        <w:t xml:space="preserve"> Ley 5ª de 1992).</w:t>
      </w:r>
      <w:r w:rsidRPr="00EE2FA1">
        <w:rPr>
          <w:rFonts w:ascii="Times New Roman" w:hAnsi="Times New Roman" w:cs="Times New Roman"/>
          <w:sz w:val="28"/>
          <w:lang w:val="es-ES"/>
        </w:rPr>
        <w:t>”</w:t>
      </w:r>
    </w:p>
    <w:p w:rsidR="004B794C" w:rsidRPr="00EE2FA1" w:rsidRDefault="00EE2FA1" w:rsidP="00C833B9">
      <w:pPr>
        <w:pStyle w:val="Prrafodelista"/>
        <w:tabs>
          <w:tab w:val="left" w:pos="426"/>
        </w:tabs>
        <w:spacing w:line="0" w:lineRule="atLeast"/>
        <w:ind w:left="0"/>
        <w:jc w:val="both"/>
        <w:rPr>
          <w:rFonts w:ascii="Times New Roman" w:hAnsi="Times New Roman" w:cs="Times New Roman"/>
          <w:sz w:val="28"/>
          <w:szCs w:val="28"/>
          <w:lang w:val="es-ES"/>
        </w:rPr>
      </w:pPr>
    </w:p>
    <w:p w:rsidR="00CD06C1"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El principio de instrumentalidad de las formas</w:t>
      </w:r>
      <w:r w:rsidRPr="00EE2FA1">
        <w:rPr>
          <w:rFonts w:ascii="Times New Roman" w:hAnsi="Times New Roman" w:cs="Times New Roman"/>
          <w:sz w:val="28"/>
          <w:szCs w:val="28"/>
          <w:lang w:val="es-ES"/>
        </w:rPr>
        <w:t>. Esta Corte ha enfatizado en que los requisitos constitucionales y legales que regulan el trámite legislativo “</w:t>
      </w:r>
      <w:r w:rsidRPr="00EE2FA1">
        <w:rPr>
          <w:rFonts w:ascii="Times New Roman" w:hAnsi="Times New Roman" w:cs="Times New Roman"/>
          <w:sz w:val="28"/>
          <w:szCs w:val="28"/>
          <w:lang w:val="es-ES"/>
        </w:rPr>
        <w:t>no tienen como finalidad obstrui</w:t>
      </w:r>
      <w:r w:rsidRPr="00EE2FA1">
        <w:rPr>
          <w:rFonts w:ascii="Times New Roman" w:hAnsi="Times New Roman" w:cs="Times New Roman"/>
          <w:sz w:val="28"/>
          <w:szCs w:val="28"/>
          <w:lang w:val="es-ES"/>
        </w:rPr>
        <w:t>r o dificultar tal proceso, sino que deben interpretarse al servicio del fin sustantivo que cumplen, dado que éstas no tienen un valor en sí mismo.</w:t>
      </w:r>
      <w:r w:rsidRPr="00EE2FA1">
        <w:rPr>
          <w:rFonts w:ascii="Times New Roman" w:hAnsi="Times New Roman" w:cs="Times New Roman"/>
          <w:sz w:val="28"/>
          <w:szCs w:val="28"/>
          <w:lang w:val="es-ES"/>
        </w:rPr>
        <w:t>”</w:t>
      </w:r>
      <w:r w:rsidRPr="00EE2FA1">
        <w:rPr>
          <w:rStyle w:val="Refdenotaalpie"/>
          <w:rFonts w:ascii="Times New Roman" w:hAnsi="Times New Roman" w:cs="Times New Roman"/>
          <w:sz w:val="28"/>
          <w:szCs w:val="28"/>
          <w:lang w:val="es-ES"/>
        </w:rPr>
        <w:footnoteReference w:id="63"/>
      </w:r>
      <w:r w:rsidRPr="00EE2FA1">
        <w:rPr>
          <w:rFonts w:ascii="Times New Roman" w:hAnsi="Times New Roman" w:cs="Times New Roman"/>
          <w:sz w:val="28"/>
          <w:szCs w:val="28"/>
          <w:lang w:val="es-ES"/>
        </w:rPr>
        <w:t xml:space="preserve">. En efecto, la </w:t>
      </w:r>
      <w:r w:rsidRPr="00EE2FA1">
        <w:rPr>
          <w:rFonts w:ascii="Times New Roman" w:hAnsi="Times New Roman" w:cs="Times New Roman"/>
          <w:sz w:val="28"/>
          <w:szCs w:val="28"/>
          <w:lang w:val="es-ES"/>
        </w:rPr>
        <w:t>Sentencia C-055 de 1995</w:t>
      </w:r>
      <w:r w:rsidRPr="00EE2FA1">
        <w:rPr>
          <w:rStyle w:val="Refdenotaalpie"/>
          <w:rFonts w:ascii="Times New Roman" w:hAnsi="Times New Roman" w:cs="Times New Roman"/>
          <w:sz w:val="28"/>
          <w:szCs w:val="28"/>
          <w:lang w:val="es-ES"/>
        </w:rPr>
        <w:footnoteReference w:id="64"/>
      </w:r>
      <w:r w:rsidRPr="00EE2FA1">
        <w:rPr>
          <w:rFonts w:ascii="Times New Roman" w:hAnsi="Times New Roman" w:cs="Times New Roman"/>
          <w:sz w:val="28"/>
          <w:szCs w:val="28"/>
          <w:lang w:val="es-ES"/>
        </w:rPr>
        <w:t xml:space="preserve"> indicó que la</w:t>
      </w:r>
      <w:r w:rsidRPr="00EE2FA1">
        <w:rPr>
          <w:rFonts w:ascii="Times New Roman" w:hAnsi="Times New Roman" w:cs="Times New Roman"/>
          <w:sz w:val="28"/>
          <w:szCs w:val="28"/>
          <w:lang w:val="es-ES"/>
        </w:rPr>
        <w:t xml:space="preserve"> interpretación</w:t>
      </w:r>
      <w:r w:rsidRPr="00EE2FA1">
        <w:rPr>
          <w:rFonts w:ascii="Times New Roman" w:hAnsi="Times New Roman" w:cs="Times New Roman"/>
          <w:sz w:val="28"/>
          <w:szCs w:val="28"/>
          <w:lang w:val="es-ES"/>
        </w:rPr>
        <w:t xml:space="preserve"> de las </w:t>
      </w:r>
      <w:r w:rsidRPr="00EE2FA1">
        <w:rPr>
          <w:rFonts w:ascii="Times New Roman" w:hAnsi="Times New Roman" w:cs="Times New Roman"/>
          <w:sz w:val="28"/>
          <w:szCs w:val="28"/>
          <w:lang w:val="es-ES"/>
        </w:rPr>
        <w:t xml:space="preserve">mencionadas reglas no debe </w:t>
      </w:r>
      <w:r w:rsidRPr="00EE2FA1">
        <w:rPr>
          <w:rFonts w:ascii="Times New Roman" w:hAnsi="Times New Roman" w:cs="Times New Roman"/>
          <w:sz w:val="28"/>
          <w:szCs w:val="28"/>
          <w:lang w:val="es-ES"/>
        </w:rPr>
        <w:t>hacerse</w:t>
      </w:r>
      <w:r w:rsidRPr="00EE2FA1">
        <w:rPr>
          <w:rFonts w:ascii="Times New Roman" w:hAnsi="Times New Roman" w:cs="Times New Roman"/>
          <w:sz w:val="28"/>
          <w:szCs w:val="28"/>
          <w:lang w:val="es-ES"/>
        </w:rPr>
        <w:t xml:space="preserve"> “en el sentido de que su función sea la de entorpecer e impedir la expedición de leyes, o dificultar la libre discusión democrática en el seno de las corporaciones representativas, pues ello equivaldría a desconocer la primacía de lo sustancial sob</w:t>
      </w:r>
      <w:r w:rsidRPr="00EE2FA1">
        <w:rPr>
          <w:rFonts w:ascii="Times New Roman" w:hAnsi="Times New Roman" w:cs="Times New Roman"/>
          <w:sz w:val="28"/>
          <w:szCs w:val="28"/>
          <w:lang w:val="es-ES"/>
        </w:rPr>
        <w:t>re lo procedimental.”</w:t>
      </w:r>
      <w:r w:rsidRPr="00EE2FA1">
        <w:rPr>
          <w:rFonts w:ascii="Times New Roman" w:hAnsi="Times New Roman" w:cs="Times New Roman"/>
          <w:sz w:val="28"/>
          <w:szCs w:val="28"/>
          <w:vertAlign w:val="superscript"/>
          <w:lang w:val="es-ES"/>
        </w:rPr>
        <w:footnoteReference w:id="65"/>
      </w:r>
    </w:p>
    <w:p w:rsidR="00A84587" w:rsidRPr="00EE2FA1" w:rsidRDefault="00EE2FA1" w:rsidP="00C833B9">
      <w:pPr>
        <w:pStyle w:val="Prrafodelista"/>
        <w:tabs>
          <w:tab w:val="left" w:pos="426"/>
        </w:tabs>
        <w:spacing w:line="0" w:lineRule="atLeast"/>
        <w:ind w:left="0"/>
        <w:jc w:val="both"/>
        <w:rPr>
          <w:rFonts w:ascii="Times New Roman" w:hAnsi="Times New Roman" w:cs="Times New Roman"/>
          <w:sz w:val="28"/>
          <w:szCs w:val="28"/>
          <w:lang w:val="es-ES"/>
        </w:rPr>
      </w:pPr>
    </w:p>
    <w:p w:rsidR="00A84587"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De esta manera, el mencionado postulado implica que las formas procesales no tienen un valor en sí mismo y deben interpretarse al servicio de un fin sustantivo</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a partir de la valoración del contexto y </w:t>
      </w:r>
      <w:r w:rsidRPr="00EE2FA1">
        <w:rPr>
          <w:rFonts w:ascii="Times New Roman" w:hAnsi="Times New Roman" w:cs="Times New Roman"/>
          <w:sz w:val="28"/>
          <w:szCs w:val="28"/>
          <w:lang w:val="es-ES"/>
        </w:rPr>
        <w:t>d</w:t>
      </w:r>
      <w:r w:rsidRPr="00EE2FA1">
        <w:rPr>
          <w:rFonts w:ascii="Times New Roman" w:hAnsi="Times New Roman" w:cs="Times New Roman"/>
          <w:sz w:val="28"/>
          <w:szCs w:val="28"/>
          <w:lang w:val="es-ES"/>
        </w:rPr>
        <w:t>el conjunto integral del trám</w:t>
      </w:r>
      <w:r w:rsidRPr="00EE2FA1">
        <w:rPr>
          <w:rFonts w:ascii="Times New Roman" w:hAnsi="Times New Roman" w:cs="Times New Roman"/>
          <w:sz w:val="28"/>
          <w:szCs w:val="28"/>
          <w:lang w:val="es-ES"/>
        </w:rPr>
        <w:t>ite legislativo</w:t>
      </w:r>
      <w:r w:rsidRPr="00EE2FA1">
        <w:rPr>
          <w:rStyle w:val="Refdenotaalpie"/>
          <w:rFonts w:ascii="Times New Roman" w:hAnsi="Times New Roman" w:cs="Times New Roman"/>
          <w:sz w:val="28"/>
          <w:szCs w:val="28"/>
          <w:lang w:val="es-ES"/>
        </w:rPr>
        <w:footnoteReference w:id="66"/>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De aquel principio pueden identificarse las siguientes características: </w:t>
      </w:r>
      <w:r w:rsidRPr="00EE2FA1">
        <w:rPr>
          <w:rFonts w:ascii="Times New Roman" w:hAnsi="Times New Roman" w:cs="Times New Roman"/>
          <w:sz w:val="28"/>
          <w:szCs w:val="28"/>
          <w:lang w:val="es-ES"/>
        </w:rPr>
        <w:t xml:space="preserve"> </w:t>
      </w:r>
    </w:p>
    <w:p w:rsidR="00CD06C1" w:rsidRPr="00EE2FA1" w:rsidRDefault="00EE2FA1" w:rsidP="00C833B9">
      <w:pPr>
        <w:widowControl w:val="0"/>
        <w:spacing w:line="0" w:lineRule="atLeast"/>
        <w:jc w:val="both"/>
        <w:rPr>
          <w:rFonts w:ascii="Times New Roman" w:hAnsi="Times New Roman" w:cs="Times New Roman"/>
          <w:sz w:val="28"/>
          <w:szCs w:val="28"/>
          <w:lang w:val="es-ES_tradnl"/>
        </w:rPr>
      </w:pPr>
    </w:p>
    <w:p w:rsidR="00CD06C1" w:rsidRPr="00EE2FA1" w:rsidRDefault="00EE2FA1" w:rsidP="002C3BB2">
      <w:pPr>
        <w:widowControl w:val="0"/>
        <w:spacing w:line="0" w:lineRule="atLeast"/>
        <w:ind w:left="567"/>
        <w:jc w:val="both"/>
        <w:rPr>
          <w:rFonts w:ascii="Times New Roman" w:hAnsi="Times New Roman" w:cs="Times New Roman"/>
          <w:sz w:val="28"/>
          <w:lang w:val="es-ES_tradnl"/>
        </w:rPr>
      </w:pPr>
      <w:r w:rsidRPr="00EE2FA1">
        <w:rPr>
          <w:rFonts w:ascii="Times New Roman" w:hAnsi="Times New Roman" w:cs="Times New Roman"/>
          <w:sz w:val="28"/>
          <w:lang w:val="es-ES_tradnl"/>
        </w:rPr>
        <w:t>“</w:t>
      </w:r>
      <w:r w:rsidRPr="00EE2FA1">
        <w:rPr>
          <w:rFonts w:ascii="Times New Roman" w:hAnsi="Times New Roman" w:cs="Times New Roman"/>
          <w:sz w:val="28"/>
          <w:lang w:val="es-ES_tradnl"/>
        </w:rPr>
        <w:t>De un lado, la Constitución consagra un Estado social de derecho, que busca realizar ciertos principios y valores materiales (CP arts 1º y 2º), y señala explícita</w:t>
      </w:r>
      <w:r w:rsidRPr="00EE2FA1">
        <w:rPr>
          <w:rFonts w:ascii="Times New Roman" w:hAnsi="Times New Roman" w:cs="Times New Roman"/>
          <w:sz w:val="28"/>
          <w:lang w:val="es-ES_tradnl"/>
        </w:rPr>
        <w:t>mente que en los trámites procesales prevalece el derecho sustancial (CP art. 228). Por ello, esta Corte siempre ha interpretado el alcance de las normas que gobiernan la formación de las leyes teniendo en cuenta los valores materiales que esas reglas pret</w:t>
      </w:r>
      <w:r w:rsidRPr="00EE2FA1">
        <w:rPr>
          <w:rFonts w:ascii="Times New Roman" w:hAnsi="Times New Roman" w:cs="Times New Roman"/>
          <w:sz w:val="28"/>
          <w:lang w:val="es-ES_tradnl"/>
        </w:rPr>
        <w:t>enden realizar. (…)</w:t>
      </w:r>
    </w:p>
    <w:p w:rsidR="00CD06C1" w:rsidRPr="00EE2FA1" w:rsidRDefault="00EE2FA1" w:rsidP="002C3BB2">
      <w:pPr>
        <w:widowControl w:val="0"/>
        <w:spacing w:line="0" w:lineRule="atLeast"/>
        <w:ind w:left="567"/>
        <w:jc w:val="both"/>
        <w:rPr>
          <w:rFonts w:ascii="Times New Roman" w:hAnsi="Times New Roman" w:cs="Times New Roman"/>
          <w:sz w:val="28"/>
          <w:lang w:val="es-ES"/>
        </w:rPr>
      </w:pPr>
      <w:r w:rsidRPr="00EE2FA1">
        <w:rPr>
          <w:rFonts w:ascii="Times New Roman" w:hAnsi="Times New Roman" w:cs="Times New Roman"/>
          <w:sz w:val="28"/>
          <w:lang w:val="es-ES"/>
        </w:rPr>
        <w:t>Pero de otro lado, lo anterior no significa que las formas procesales en general, y las normas constitucionales que rigen la aprobación de las leyes en particular, sean irrelevantes y puedan ser ignoradas. Por el contrario, ellas son importantes y deben se</w:t>
      </w:r>
      <w:r w:rsidRPr="00EE2FA1">
        <w:rPr>
          <w:rFonts w:ascii="Times New Roman" w:hAnsi="Times New Roman" w:cs="Times New Roman"/>
          <w:sz w:val="28"/>
          <w:lang w:val="es-ES"/>
        </w:rPr>
        <w:t>r respetadas, precisamente porque protegen valores sustantivos significativos. Por ello, aunque la Constitución de 1991 flexibilizó las reglas de aprobación de las leyes, el respeto de esas normas procedimentales no ha perdido su importancia, por los valor</w:t>
      </w:r>
      <w:r w:rsidRPr="00EE2FA1">
        <w:rPr>
          <w:rFonts w:ascii="Times New Roman" w:hAnsi="Times New Roman" w:cs="Times New Roman"/>
          <w:sz w:val="28"/>
          <w:lang w:val="es-ES"/>
        </w:rPr>
        <w:t>es superiores que estas disposiciones protegen</w:t>
      </w:r>
      <w:r w:rsidRPr="00EE2FA1">
        <w:rPr>
          <w:rFonts w:ascii="Times New Roman" w:hAnsi="Times New Roman" w:cs="Times New Roman"/>
          <w:sz w:val="28"/>
          <w:lang w:val="es-ES"/>
        </w:rPr>
        <w:t>.”</w:t>
      </w:r>
      <w:r w:rsidRPr="00EE2FA1">
        <w:rPr>
          <w:rFonts w:ascii="Times New Roman" w:hAnsi="Times New Roman" w:cs="Times New Roman"/>
          <w:bCs/>
          <w:sz w:val="28"/>
          <w:vertAlign w:val="superscript"/>
          <w:lang w:val="es-ES"/>
        </w:rPr>
        <w:footnoteReference w:id="67"/>
      </w:r>
    </w:p>
    <w:p w:rsidR="00892E63" w:rsidRPr="00EE2FA1" w:rsidRDefault="00EE2FA1" w:rsidP="002C3BB2">
      <w:pPr>
        <w:widowControl w:val="0"/>
        <w:spacing w:line="0" w:lineRule="atLeast"/>
        <w:ind w:left="567"/>
        <w:jc w:val="both"/>
        <w:rPr>
          <w:rFonts w:ascii="Times New Roman" w:hAnsi="Times New Roman" w:cs="Times New Roman"/>
          <w:sz w:val="28"/>
          <w:lang w:val="es-ES"/>
        </w:rPr>
      </w:pPr>
    </w:p>
    <w:p w:rsidR="004D2738"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La necesaria diligencia</w:t>
      </w:r>
      <w:r w:rsidRPr="00EE2FA1">
        <w:rPr>
          <w:rFonts w:ascii="Times New Roman" w:hAnsi="Times New Roman" w:cs="Times New Roman"/>
          <w:i/>
          <w:iCs/>
          <w:sz w:val="28"/>
          <w:szCs w:val="28"/>
          <w:lang w:val="es-ES"/>
        </w:rPr>
        <w:t xml:space="preserve"> de los congresistas durante el trámite legislativo</w:t>
      </w:r>
      <w:r w:rsidRPr="00EE2FA1">
        <w:rPr>
          <w:rFonts w:ascii="Times New Roman" w:hAnsi="Times New Roman" w:cs="Times New Roman"/>
          <w:sz w:val="28"/>
          <w:szCs w:val="28"/>
          <w:lang w:val="es-ES"/>
        </w:rPr>
        <w:t>. La Corte Constitucional ha resaltado que el debate parlamentario se surte en un escenario deliberativo complejo y con su propia d</w:t>
      </w:r>
      <w:r w:rsidRPr="00EE2FA1">
        <w:rPr>
          <w:rFonts w:ascii="Times New Roman" w:hAnsi="Times New Roman" w:cs="Times New Roman"/>
          <w:sz w:val="28"/>
          <w:szCs w:val="28"/>
          <w:lang w:val="es-ES"/>
        </w:rPr>
        <w:t>inámica. En tal sentido, “</w:t>
      </w:r>
      <w:r w:rsidRPr="00EE2FA1">
        <w:rPr>
          <w:rFonts w:ascii="Times New Roman" w:hAnsi="Times New Roman" w:cs="Times New Roman"/>
          <w:sz w:val="28"/>
          <w:szCs w:val="28"/>
        </w:rPr>
        <w:t>exige de los participantes una actitud activa en el ejercicio de sus derechos y sus obligaciones. Éstos deben promover sus iniciativas, advertir las circunstancias que consideren susceptibles de afectar el trámite o de lesionar su</w:t>
      </w:r>
      <w:r w:rsidRPr="00EE2FA1">
        <w:rPr>
          <w:rFonts w:ascii="Times New Roman" w:hAnsi="Times New Roman" w:cs="Times New Roman"/>
          <w:sz w:val="28"/>
          <w:szCs w:val="28"/>
        </w:rPr>
        <w:t xml:space="preserve"> derecho de participación y emplear, con un mínimo de diligencia y vigor, las herramientas que el ordenamiento jurídico pone a su alcance en el escenario político de los debates.</w:t>
      </w:r>
      <w:r w:rsidRPr="00EE2FA1">
        <w:rPr>
          <w:rFonts w:ascii="Times New Roman" w:hAnsi="Times New Roman" w:cs="Times New Roman"/>
          <w:sz w:val="28"/>
          <w:szCs w:val="28"/>
        </w:rPr>
        <w:t>”</w:t>
      </w:r>
      <w:r w:rsidRPr="00EE2FA1">
        <w:rPr>
          <w:rStyle w:val="Refdenotaalpie"/>
          <w:rFonts w:ascii="Times New Roman" w:hAnsi="Times New Roman" w:cs="Times New Roman"/>
          <w:sz w:val="28"/>
          <w:szCs w:val="28"/>
        </w:rPr>
        <w:footnoteReference w:id="68"/>
      </w:r>
      <w:r w:rsidRPr="00EE2FA1">
        <w:rPr>
          <w:rFonts w:ascii="Times New Roman" w:hAnsi="Times New Roman" w:cs="Times New Roman"/>
          <w:sz w:val="28"/>
          <w:szCs w:val="28"/>
        </w:rPr>
        <w:t xml:space="preserve"> De acuerdo con lo expuesto, esta </w:t>
      </w:r>
      <w:r w:rsidRPr="00EE2FA1">
        <w:rPr>
          <w:rFonts w:ascii="Times New Roman" w:hAnsi="Times New Roman" w:cs="Times New Roman"/>
          <w:sz w:val="28"/>
          <w:szCs w:val="28"/>
        </w:rPr>
        <w:t xml:space="preserve">corporación </w:t>
      </w:r>
      <w:r w:rsidRPr="00EE2FA1">
        <w:rPr>
          <w:rFonts w:ascii="Times New Roman" w:hAnsi="Times New Roman" w:cs="Times New Roman"/>
          <w:sz w:val="28"/>
          <w:szCs w:val="28"/>
        </w:rPr>
        <w:t>ha indicado que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No es de rec</w:t>
      </w:r>
      <w:r w:rsidRPr="00EE2FA1">
        <w:rPr>
          <w:rFonts w:ascii="Times New Roman" w:hAnsi="Times New Roman" w:cs="Times New Roman"/>
          <w:sz w:val="28"/>
          <w:szCs w:val="28"/>
        </w:rPr>
        <w:t>ibo la actitud deliberadamente pasiva orientada a pre-constituir un vicio, como tampoco es admisible la omisión negligente de quien, por cualquier razón no justificada, se margina del debate y solo cuando éste ha concluido, después de la votación, presenta</w:t>
      </w:r>
      <w:r w:rsidRPr="00EE2FA1">
        <w:rPr>
          <w:rFonts w:ascii="Times New Roman" w:hAnsi="Times New Roman" w:cs="Times New Roman"/>
          <w:sz w:val="28"/>
          <w:szCs w:val="28"/>
        </w:rPr>
        <w:t xml:space="preserve"> objeciones que, oportunamente puestas a consideración de la corporación, a través de los mecanismos procedimentales específicamente previstos para el efecto, habrían permitido evitar o subsanar determinadas irregularidades de trámite. Quien debiendo actua</w:t>
      </w:r>
      <w:r w:rsidRPr="00EE2FA1">
        <w:rPr>
          <w:rFonts w:ascii="Times New Roman" w:hAnsi="Times New Roman" w:cs="Times New Roman"/>
          <w:sz w:val="28"/>
          <w:szCs w:val="28"/>
        </w:rPr>
        <w:t>r y teniendo la posibilidad de hacerlo se abstiene, no puede pretender luego suplir su omisión trasladando la controversia, que debió surtirse en el curso del debate legislativo, a la instancia del control de constitucionalidad.</w:t>
      </w:r>
      <w:r w:rsidRPr="00EE2FA1">
        <w:rPr>
          <w:rFonts w:ascii="Times New Roman" w:hAnsi="Times New Roman" w:cs="Times New Roman"/>
          <w:sz w:val="28"/>
          <w:szCs w:val="28"/>
        </w:rPr>
        <w:t>”</w:t>
      </w:r>
      <w:r w:rsidRPr="00EE2FA1">
        <w:rPr>
          <w:rStyle w:val="Refdenotaalpie"/>
          <w:rFonts w:ascii="Times New Roman" w:hAnsi="Times New Roman" w:cs="Times New Roman"/>
          <w:sz w:val="28"/>
          <w:szCs w:val="28"/>
        </w:rPr>
        <w:footnoteReference w:id="69"/>
      </w:r>
    </w:p>
    <w:p w:rsidR="004D2738" w:rsidRPr="00EE2FA1" w:rsidRDefault="00EE2FA1" w:rsidP="00C833B9">
      <w:pPr>
        <w:pStyle w:val="Prrafodelista"/>
        <w:tabs>
          <w:tab w:val="left" w:pos="426"/>
        </w:tabs>
        <w:spacing w:line="0" w:lineRule="atLeast"/>
        <w:ind w:left="0"/>
        <w:jc w:val="both"/>
        <w:rPr>
          <w:rFonts w:ascii="Times New Roman" w:hAnsi="Times New Roman" w:cs="Times New Roman"/>
          <w:sz w:val="28"/>
          <w:szCs w:val="28"/>
          <w:lang w:val="es-ES"/>
        </w:rPr>
      </w:pPr>
    </w:p>
    <w:p w:rsidR="00A53E31" w:rsidRPr="00EE2FA1" w:rsidRDefault="00EE2FA1" w:rsidP="00A53E31">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 xml:space="preserve">Principio de </w:t>
      </w:r>
      <w:r w:rsidRPr="00EE2FA1">
        <w:rPr>
          <w:rFonts w:ascii="Times New Roman" w:hAnsi="Times New Roman" w:cs="Times New Roman"/>
          <w:i/>
          <w:iCs/>
          <w:sz w:val="28"/>
          <w:szCs w:val="28"/>
          <w:lang w:val="es-ES"/>
        </w:rPr>
        <w:t>razonabilidad</w:t>
      </w:r>
      <w:r w:rsidRPr="00EE2FA1">
        <w:rPr>
          <w:rFonts w:ascii="Times New Roman" w:hAnsi="Times New Roman" w:cs="Times New Roman"/>
          <w:sz w:val="28"/>
          <w:szCs w:val="28"/>
          <w:lang w:val="es-ES"/>
        </w:rPr>
        <w:t xml:space="preserve">. La razonabilidad en el trámite legislativo ha sido utilizada como parámetro por la Corte en el estudio de la constitucionalidad de diferentes normas, así como para establecer el alcance de las </w:t>
      </w:r>
      <w:r w:rsidRPr="00EE2FA1">
        <w:rPr>
          <w:rFonts w:ascii="Times New Roman" w:hAnsi="Times New Roman" w:cs="Times New Roman"/>
          <w:sz w:val="28"/>
          <w:szCs w:val="28"/>
          <w:lang w:val="es-ES"/>
        </w:rPr>
        <w:t xml:space="preserve">regulaciones </w:t>
      </w:r>
      <w:r w:rsidRPr="00EE2FA1">
        <w:rPr>
          <w:rFonts w:ascii="Times New Roman" w:hAnsi="Times New Roman" w:cs="Times New Roman"/>
          <w:sz w:val="28"/>
          <w:szCs w:val="28"/>
          <w:lang w:val="es-ES"/>
        </w:rPr>
        <w:t>que direccionan el trámite legislat</w:t>
      </w:r>
      <w:r w:rsidRPr="00EE2FA1">
        <w:rPr>
          <w:rFonts w:ascii="Times New Roman" w:hAnsi="Times New Roman" w:cs="Times New Roman"/>
          <w:sz w:val="28"/>
          <w:szCs w:val="28"/>
          <w:lang w:val="es-ES"/>
        </w:rPr>
        <w:t>ivo. Pues, muchas veces la interpretación taxativa de las normas del trámite legislativo puede resultar extraña a un escenario político deliberativo o generar una limitación a la dinámica del proceso legislativo</w:t>
      </w:r>
      <w:r w:rsidRPr="00EE2FA1">
        <w:rPr>
          <w:rStyle w:val="Refdenotaalpie"/>
          <w:rFonts w:ascii="Times New Roman" w:hAnsi="Times New Roman" w:cs="Times New Roman"/>
          <w:sz w:val="28"/>
          <w:szCs w:val="28"/>
          <w:lang w:val="es-ES"/>
        </w:rPr>
        <w:footnoteReference w:id="70"/>
      </w:r>
      <w:r w:rsidRPr="00EE2FA1">
        <w:rPr>
          <w:rFonts w:ascii="Times New Roman" w:hAnsi="Times New Roman" w:cs="Times New Roman"/>
          <w:sz w:val="28"/>
          <w:szCs w:val="28"/>
          <w:lang w:val="es-ES"/>
        </w:rPr>
        <w:t xml:space="preserve">. </w:t>
      </w:r>
    </w:p>
    <w:p w:rsidR="0087581E" w:rsidRPr="00EE2FA1" w:rsidRDefault="00EE2FA1" w:rsidP="0087581E">
      <w:pPr>
        <w:pStyle w:val="Prrafodelista"/>
        <w:tabs>
          <w:tab w:val="left" w:pos="426"/>
        </w:tabs>
        <w:spacing w:line="0" w:lineRule="atLeast"/>
        <w:ind w:left="0"/>
        <w:jc w:val="both"/>
        <w:rPr>
          <w:rFonts w:ascii="Times New Roman" w:hAnsi="Times New Roman" w:cs="Times New Roman"/>
          <w:sz w:val="28"/>
          <w:szCs w:val="28"/>
          <w:lang w:val="es-ES"/>
        </w:rPr>
      </w:pPr>
    </w:p>
    <w:p w:rsidR="0087581E" w:rsidRPr="00EE2FA1" w:rsidRDefault="00EE2FA1" w:rsidP="0087581E">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 xml:space="preserve">Principio de </w:t>
      </w:r>
      <w:r w:rsidRPr="00EE2FA1">
        <w:rPr>
          <w:rFonts w:ascii="Times New Roman" w:hAnsi="Times New Roman" w:cs="Times New Roman"/>
          <w:i/>
          <w:iCs/>
          <w:sz w:val="28"/>
          <w:szCs w:val="28"/>
          <w:lang w:val="es-ES"/>
        </w:rPr>
        <w:t>eficiencia</w:t>
      </w:r>
      <w:r w:rsidRPr="00EE2FA1">
        <w:rPr>
          <w:rFonts w:ascii="Times New Roman" w:hAnsi="Times New Roman" w:cs="Times New Roman"/>
          <w:sz w:val="28"/>
          <w:szCs w:val="28"/>
          <w:lang w:val="es-ES"/>
        </w:rPr>
        <w:t>. La jurisprudenc</w:t>
      </w:r>
      <w:r w:rsidRPr="00EE2FA1">
        <w:rPr>
          <w:rFonts w:ascii="Times New Roman" w:hAnsi="Times New Roman" w:cs="Times New Roman"/>
          <w:sz w:val="28"/>
          <w:szCs w:val="28"/>
          <w:lang w:val="es-ES"/>
        </w:rPr>
        <w:t xml:space="preserve">ia </w:t>
      </w:r>
      <w:r w:rsidRPr="00EE2FA1">
        <w:rPr>
          <w:rFonts w:ascii="Times New Roman" w:hAnsi="Times New Roman" w:cs="Times New Roman"/>
          <w:sz w:val="28"/>
          <w:szCs w:val="28"/>
          <w:lang w:val="es-ES"/>
        </w:rPr>
        <w:t>constitucional</w:t>
      </w:r>
      <w:r w:rsidRPr="00EE2FA1">
        <w:rPr>
          <w:rFonts w:ascii="Times New Roman" w:hAnsi="Times New Roman" w:cs="Times New Roman"/>
          <w:sz w:val="28"/>
          <w:szCs w:val="28"/>
          <w:lang w:val="es-ES"/>
        </w:rPr>
        <w:t xml:space="preserve"> ha establecido que, en virtud del principio de eficiencia, la administración pública tiene el deber de maximizar el rendimiento o los resultados con costos menores</w:t>
      </w:r>
      <w:r w:rsidRPr="00EE2FA1">
        <w:rPr>
          <w:rStyle w:val="Refdenotaalpie"/>
          <w:rFonts w:ascii="Times New Roman" w:hAnsi="Times New Roman" w:cs="Times New Roman"/>
          <w:sz w:val="28"/>
          <w:szCs w:val="28"/>
          <w:lang w:val="es-ES"/>
        </w:rPr>
        <w:footnoteReference w:id="71"/>
      </w:r>
      <w:r w:rsidRPr="00EE2FA1">
        <w:rPr>
          <w:rFonts w:ascii="Times New Roman" w:hAnsi="Times New Roman" w:cs="Times New Roman"/>
          <w:sz w:val="28"/>
          <w:szCs w:val="28"/>
          <w:lang w:val="es-ES"/>
        </w:rPr>
        <w:t>. Por lo que se deben elegir los medios más adecuados para el cumplimiento</w:t>
      </w:r>
      <w:r w:rsidRPr="00EE2FA1">
        <w:rPr>
          <w:rFonts w:ascii="Times New Roman" w:hAnsi="Times New Roman" w:cs="Times New Roman"/>
          <w:sz w:val="28"/>
          <w:szCs w:val="28"/>
          <w:lang w:val="es-ES"/>
        </w:rPr>
        <w:t xml:space="preserve"> de los objetivos</w:t>
      </w:r>
      <w:r w:rsidRPr="00EE2FA1">
        <w:rPr>
          <w:rStyle w:val="Refdenotaalpie"/>
          <w:rFonts w:ascii="Times New Roman" w:hAnsi="Times New Roman" w:cs="Times New Roman"/>
          <w:sz w:val="28"/>
          <w:szCs w:val="28"/>
          <w:lang w:val="es-ES"/>
        </w:rPr>
        <w:footnoteReference w:id="72"/>
      </w:r>
      <w:r w:rsidRPr="00EE2FA1">
        <w:rPr>
          <w:rFonts w:ascii="Times New Roman" w:hAnsi="Times New Roman" w:cs="Times New Roman"/>
          <w:sz w:val="28"/>
          <w:szCs w:val="28"/>
          <w:lang w:val="es-ES"/>
        </w:rPr>
        <w:t xml:space="preserve">. El principio de eficiencia también aplica para el trámite legislativo, </w:t>
      </w:r>
      <w:r w:rsidRPr="00EE2FA1">
        <w:rPr>
          <w:rFonts w:ascii="Times New Roman" w:hAnsi="Times New Roman" w:cs="Times New Roman"/>
          <w:sz w:val="28"/>
          <w:szCs w:val="28"/>
          <w:lang w:val="es-ES"/>
        </w:rPr>
        <w:t>por lo que</w:t>
      </w:r>
      <w:r w:rsidRPr="00EE2FA1">
        <w:rPr>
          <w:rFonts w:ascii="Times New Roman" w:hAnsi="Times New Roman" w:cs="Times New Roman"/>
          <w:sz w:val="28"/>
          <w:szCs w:val="28"/>
          <w:lang w:val="es-ES"/>
        </w:rPr>
        <w:t xml:space="preserve"> esta corporación ha indicado que este principio se materializa en actividades como la distribución del trabajo legislativo y la asignación de materias a l</w:t>
      </w:r>
      <w:r w:rsidRPr="00EE2FA1">
        <w:rPr>
          <w:rFonts w:ascii="Times New Roman" w:hAnsi="Times New Roman" w:cs="Times New Roman"/>
          <w:sz w:val="28"/>
          <w:szCs w:val="28"/>
          <w:lang w:val="es-ES"/>
        </w:rPr>
        <w:t>as diferentes comisiones de las cámaras del Congreso de la República</w:t>
      </w:r>
      <w:r w:rsidRPr="00EE2FA1">
        <w:rPr>
          <w:rStyle w:val="Refdenotaalpie"/>
          <w:rFonts w:ascii="Times New Roman" w:hAnsi="Times New Roman" w:cs="Times New Roman"/>
          <w:sz w:val="28"/>
          <w:szCs w:val="28"/>
          <w:lang w:val="es-ES"/>
        </w:rPr>
        <w:footnoteReference w:id="73"/>
      </w:r>
      <w:r w:rsidRPr="00EE2FA1">
        <w:rPr>
          <w:rFonts w:ascii="Times New Roman" w:hAnsi="Times New Roman" w:cs="Times New Roman"/>
          <w:sz w:val="28"/>
          <w:szCs w:val="28"/>
          <w:lang w:val="es-ES"/>
        </w:rPr>
        <w:t xml:space="preserve">. </w:t>
      </w:r>
    </w:p>
    <w:p w:rsidR="0087581E" w:rsidRPr="00EE2FA1" w:rsidRDefault="00EE2FA1" w:rsidP="0087581E">
      <w:pPr>
        <w:pStyle w:val="Prrafodelista"/>
        <w:tabs>
          <w:tab w:val="left" w:pos="426"/>
        </w:tabs>
        <w:spacing w:line="0" w:lineRule="atLeast"/>
        <w:ind w:left="0"/>
        <w:jc w:val="both"/>
        <w:rPr>
          <w:rFonts w:ascii="Times New Roman" w:hAnsi="Times New Roman" w:cs="Times New Roman"/>
          <w:sz w:val="28"/>
          <w:szCs w:val="28"/>
          <w:lang w:val="es-ES"/>
        </w:rPr>
      </w:pPr>
    </w:p>
    <w:p w:rsidR="0087581E" w:rsidRPr="00EE2FA1" w:rsidRDefault="00EE2FA1" w:rsidP="0087581E">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La Corte</w:t>
      </w:r>
      <w:r w:rsidRPr="00EE2FA1">
        <w:rPr>
          <w:rFonts w:ascii="Times New Roman" w:hAnsi="Times New Roman" w:cs="Times New Roman"/>
          <w:sz w:val="28"/>
          <w:szCs w:val="28"/>
          <w:lang w:val="es-ES"/>
        </w:rPr>
        <w:t xml:space="preserve"> Constitucional</w:t>
      </w:r>
      <w:r w:rsidRPr="00EE2FA1">
        <w:rPr>
          <w:rFonts w:ascii="Times New Roman" w:hAnsi="Times New Roman" w:cs="Times New Roman"/>
          <w:sz w:val="28"/>
          <w:szCs w:val="28"/>
          <w:lang w:val="es-ES"/>
        </w:rPr>
        <w:t xml:space="preserve"> ha considerado que la asignación de competencias dentro del Congreso “obedece a importantes razones que buscan racionalizar y facilitar el trabajo legislativo,</w:t>
      </w:r>
      <w:r w:rsidRPr="00EE2FA1">
        <w:rPr>
          <w:rFonts w:ascii="Times New Roman" w:hAnsi="Times New Roman" w:cs="Times New Roman"/>
          <w:sz w:val="28"/>
          <w:szCs w:val="28"/>
          <w:lang w:val="es-ES"/>
        </w:rPr>
        <w:t xml:space="preserve"> a fin de que este órgano funcione de manera eficiente y sus actividades se sujeten a los principios de publicidad y participación democrática”</w:t>
      </w:r>
      <w:r w:rsidRPr="00EE2FA1">
        <w:rPr>
          <w:rStyle w:val="Refdenotaalpie"/>
          <w:rFonts w:ascii="Times New Roman" w:hAnsi="Times New Roman" w:cs="Times New Roman"/>
          <w:sz w:val="28"/>
          <w:szCs w:val="28"/>
          <w:lang w:val="es-ES"/>
        </w:rPr>
        <w:footnoteReference w:id="74"/>
      </w:r>
      <w:r w:rsidRPr="00EE2FA1">
        <w:rPr>
          <w:rFonts w:ascii="Times New Roman" w:hAnsi="Times New Roman" w:cs="Times New Roman"/>
          <w:sz w:val="28"/>
          <w:szCs w:val="28"/>
          <w:lang w:val="es-ES"/>
        </w:rPr>
        <w:t>.</w:t>
      </w:r>
    </w:p>
    <w:p w:rsidR="0087581E" w:rsidRPr="00EE2FA1" w:rsidRDefault="00EE2FA1" w:rsidP="0087581E">
      <w:pPr>
        <w:pStyle w:val="Prrafodelista"/>
        <w:tabs>
          <w:tab w:val="left" w:pos="426"/>
        </w:tabs>
        <w:spacing w:line="0" w:lineRule="atLeast"/>
        <w:ind w:left="0"/>
        <w:jc w:val="both"/>
        <w:rPr>
          <w:rFonts w:ascii="Times New Roman" w:hAnsi="Times New Roman" w:cs="Times New Roman"/>
          <w:sz w:val="28"/>
          <w:szCs w:val="28"/>
          <w:lang w:val="es-ES"/>
        </w:rPr>
      </w:pPr>
    </w:p>
    <w:p w:rsidR="00FD7DD7" w:rsidRPr="00EE2FA1" w:rsidRDefault="00EE2FA1" w:rsidP="0087581E">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En Sentencia C-540 de 2001</w:t>
      </w:r>
      <w:r w:rsidRPr="00EE2FA1">
        <w:rPr>
          <w:rStyle w:val="Refdenotaalpie"/>
          <w:rFonts w:ascii="Times New Roman" w:hAnsi="Times New Roman" w:cs="Times New Roman"/>
          <w:sz w:val="28"/>
          <w:szCs w:val="28"/>
          <w:lang w:val="es-ES"/>
        </w:rPr>
        <w:footnoteReference w:id="75"/>
      </w:r>
      <w:r w:rsidRPr="00EE2FA1">
        <w:rPr>
          <w:rFonts w:ascii="Times New Roman" w:hAnsi="Times New Roman" w:cs="Times New Roman"/>
          <w:sz w:val="28"/>
          <w:szCs w:val="28"/>
          <w:lang w:val="es-ES"/>
        </w:rPr>
        <w:t xml:space="preserve"> la Corte indicó que:</w:t>
      </w:r>
    </w:p>
    <w:p w:rsidR="00892E63" w:rsidRPr="00EE2FA1" w:rsidRDefault="00EE2FA1" w:rsidP="00892E63">
      <w:pPr>
        <w:pStyle w:val="Prrafodelista"/>
        <w:tabs>
          <w:tab w:val="left" w:pos="426"/>
        </w:tabs>
        <w:spacing w:line="0" w:lineRule="atLeast"/>
        <w:ind w:left="0"/>
        <w:jc w:val="both"/>
        <w:rPr>
          <w:rFonts w:ascii="Times New Roman" w:hAnsi="Times New Roman" w:cs="Times New Roman"/>
          <w:sz w:val="28"/>
          <w:szCs w:val="28"/>
          <w:lang w:val="es-ES"/>
        </w:rPr>
      </w:pPr>
    </w:p>
    <w:p w:rsidR="0087581E" w:rsidRPr="00EE2FA1" w:rsidRDefault="00EE2FA1" w:rsidP="0021133B">
      <w:pPr>
        <w:pStyle w:val="Prrafodelista"/>
        <w:spacing w:line="0" w:lineRule="atLeast"/>
        <w:ind w:left="567"/>
        <w:jc w:val="both"/>
        <w:rPr>
          <w:rFonts w:ascii="Times New Roman" w:hAnsi="Times New Roman" w:cs="Times New Roman"/>
          <w:sz w:val="28"/>
          <w:lang w:val="es-ES"/>
        </w:rPr>
      </w:pPr>
      <w:r w:rsidRPr="00EE2FA1">
        <w:rPr>
          <w:rFonts w:ascii="Times New Roman" w:hAnsi="Times New Roman" w:cs="Times New Roman"/>
          <w:sz w:val="28"/>
          <w:szCs w:val="28"/>
          <w:lang w:val="es-ES"/>
        </w:rPr>
        <w:t xml:space="preserve"> </w:t>
      </w:r>
      <w:r w:rsidRPr="00EE2FA1">
        <w:rPr>
          <w:rFonts w:ascii="Times New Roman" w:hAnsi="Times New Roman" w:cs="Times New Roman"/>
          <w:sz w:val="28"/>
          <w:lang w:val="es-ES"/>
        </w:rPr>
        <w:t>“la distribución de trabajo durante el trámite de un proyecto de ley en el Congreso de la República obedece a varios criterios confluyentes, relacionados con la especialización del trabajo legislativo y con la distribución racional de las actividades a car</w:t>
      </w:r>
      <w:r w:rsidRPr="00EE2FA1">
        <w:rPr>
          <w:rFonts w:ascii="Times New Roman" w:hAnsi="Times New Roman" w:cs="Times New Roman"/>
          <w:sz w:val="28"/>
          <w:lang w:val="es-ES"/>
        </w:rPr>
        <w:t>go del Congreso, los cuales están adicionados con la regla de la publicidad de las actuaciones y deliberaciones en el trámite y aprobación de los proyectos de ley. Estos elementos tienen como común denominador el procurar la consecución de los fines esenci</w:t>
      </w:r>
      <w:r w:rsidRPr="00EE2FA1">
        <w:rPr>
          <w:rFonts w:ascii="Times New Roman" w:hAnsi="Times New Roman" w:cs="Times New Roman"/>
          <w:sz w:val="28"/>
          <w:lang w:val="es-ES"/>
        </w:rPr>
        <w:t>ales del Estado, entre los cuales se destaca el de “facilitar la participación de todos en las decisiones que los afectan y en la vida económica, política, administrativa y cultural de la Nación” (C.P., art. 2°), además de facilitar y organizar el cumplimi</w:t>
      </w:r>
      <w:r w:rsidRPr="00EE2FA1">
        <w:rPr>
          <w:rFonts w:ascii="Times New Roman" w:hAnsi="Times New Roman" w:cs="Times New Roman"/>
          <w:sz w:val="28"/>
          <w:lang w:val="es-ES"/>
        </w:rPr>
        <w:t xml:space="preserve">ento eficiente de las funciones del Congreso, dentro de un régimen jurídico, democrático y participativo (C.P., Preámbulo y arts. 1°, 114, 159 y ss). </w:t>
      </w:r>
    </w:p>
    <w:p w:rsidR="0087581E" w:rsidRPr="00EE2FA1" w:rsidRDefault="00EE2FA1" w:rsidP="0087581E">
      <w:pPr>
        <w:pStyle w:val="Prrafodelista"/>
        <w:ind w:left="360"/>
        <w:jc w:val="both"/>
        <w:rPr>
          <w:rFonts w:ascii="Times New Roman" w:hAnsi="Times New Roman" w:cs="Times New Roman"/>
          <w:sz w:val="28"/>
          <w:szCs w:val="28"/>
          <w:lang w:val="es-ES"/>
        </w:rPr>
      </w:pPr>
    </w:p>
    <w:p w:rsidR="0087581E" w:rsidRPr="00EE2FA1" w:rsidRDefault="00EE2FA1" w:rsidP="0087581E">
      <w:pPr>
        <w:pStyle w:val="Prrafodelista"/>
        <w:numPr>
          <w:ilvl w:val="0"/>
          <w:numId w:val="1"/>
        </w:numPr>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lang w:val="es-ES"/>
        </w:rPr>
        <w:t xml:space="preserve">Esa misma </w:t>
      </w:r>
      <w:r w:rsidRPr="00EE2FA1">
        <w:rPr>
          <w:rFonts w:ascii="Times New Roman" w:hAnsi="Times New Roman" w:cs="Times New Roman"/>
          <w:sz w:val="28"/>
          <w:szCs w:val="28"/>
          <w:lang w:val="es-ES"/>
        </w:rPr>
        <w:t xml:space="preserve">sentencia </w:t>
      </w:r>
      <w:r w:rsidRPr="00EE2FA1">
        <w:rPr>
          <w:rFonts w:ascii="Times New Roman" w:hAnsi="Times New Roman" w:cs="Times New Roman"/>
          <w:sz w:val="28"/>
          <w:szCs w:val="28"/>
          <w:lang w:val="es-ES"/>
        </w:rPr>
        <w:t xml:space="preserve">señala </w:t>
      </w:r>
      <w:r w:rsidRPr="00EE2FA1">
        <w:rPr>
          <w:rFonts w:ascii="Times New Roman" w:hAnsi="Times New Roman" w:cs="Times New Roman"/>
          <w:sz w:val="28"/>
          <w:szCs w:val="28"/>
          <w:lang w:val="es-ES"/>
        </w:rPr>
        <w:t>que la existencia de diferentes comisiones al interior del Congreso de la Rep</w:t>
      </w:r>
      <w:r w:rsidRPr="00EE2FA1">
        <w:rPr>
          <w:rFonts w:ascii="Times New Roman" w:hAnsi="Times New Roman" w:cs="Times New Roman"/>
          <w:sz w:val="28"/>
          <w:szCs w:val="28"/>
          <w:lang w:val="es-ES"/>
        </w:rPr>
        <w:t>ública “permite un trámite más eficiente de las iniciativas legislativas, por cuanto los proyectos se asignarán al grupo de congresistas, en cada una de las cámaras legislativas, que cuente con mayores conocimientos sobre el tema regulado, lo cual facilita</w:t>
      </w:r>
      <w:r w:rsidRPr="00EE2FA1">
        <w:rPr>
          <w:rFonts w:ascii="Times New Roman" w:hAnsi="Times New Roman" w:cs="Times New Roman"/>
          <w:sz w:val="28"/>
          <w:szCs w:val="28"/>
          <w:lang w:val="es-ES"/>
        </w:rPr>
        <w:t xml:space="preserve"> el cumplimiento de las funciones del Congreso dentro de un régimen jurídico, democrático y participativo.”</w:t>
      </w:r>
      <w:r w:rsidRPr="00EE2FA1">
        <w:rPr>
          <w:rStyle w:val="Refdenotaalpie"/>
          <w:rFonts w:ascii="Times New Roman" w:hAnsi="Times New Roman" w:cs="Times New Roman"/>
          <w:sz w:val="28"/>
          <w:szCs w:val="28"/>
          <w:lang w:val="es-ES"/>
        </w:rPr>
        <w:footnoteReference w:id="76"/>
      </w:r>
      <w:r w:rsidRPr="00EE2FA1">
        <w:rPr>
          <w:rFonts w:ascii="Times New Roman" w:hAnsi="Times New Roman" w:cs="Times New Roman"/>
          <w:sz w:val="28"/>
          <w:szCs w:val="28"/>
          <w:lang w:val="es-ES"/>
        </w:rPr>
        <w:t xml:space="preserve">. Lo que también </w:t>
      </w:r>
      <w:r w:rsidRPr="00EE2FA1">
        <w:rPr>
          <w:rFonts w:ascii="Times New Roman" w:hAnsi="Times New Roman" w:cs="Times New Roman"/>
          <w:sz w:val="28"/>
          <w:szCs w:val="28"/>
          <w:lang w:val="es-ES"/>
        </w:rPr>
        <w:t xml:space="preserve">posibilita </w:t>
      </w:r>
      <w:r w:rsidRPr="00EE2FA1">
        <w:rPr>
          <w:rFonts w:ascii="Times New Roman" w:hAnsi="Times New Roman" w:cs="Times New Roman"/>
          <w:sz w:val="28"/>
          <w:szCs w:val="28"/>
          <w:lang w:val="es-ES"/>
        </w:rPr>
        <w:t>la realización de debates más especializados que favorecen el proceso legislativo, pues “los congresistas que hagan part</w:t>
      </w:r>
      <w:r w:rsidRPr="00EE2FA1">
        <w:rPr>
          <w:rFonts w:ascii="Times New Roman" w:hAnsi="Times New Roman" w:cs="Times New Roman"/>
          <w:sz w:val="28"/>
          <w:szCs w:val="28"/>
          <w:lang w:val="es-ES"/>
        </w:rPr>
        <w:t>e de cada una de las comisiones laborarán sobre materias de su interés, que guarden relación con su área de formación o experiencia laboral.”</w:t>
      </w:r>
      <w:r w:rsidRPr="00EE2FA1">
        <w:rPr>
          <w:rStyle w:val="Refdenotaalpie"/>
          <w:rFonts w:ascii="Times New Roman" w:hAnsi="Times New Roman" w:cs="Times New Roman"/>
          <w:sz w:val="28"/>
          <w:szCs w:val="28"/>
          <w:lang w:val="es-ES"/>
        </w:rPr>
        <w:footnoteReference w:id="77"/>
      </w:r>
    </w:p>
    <w:p w:rsidR="0087581E" w:rsidRPr="00EE2FA1" w:rsidRDefault="00EE2FA1" w:rsidP="003554B9">
      <w:pPr>
        <w:pStyle w:val="Prrafodelista"/>
        <w:spacing w:line="0" w:lineRule="atLeast"/>
        <w:ind w:left="0"/>
        <w:jc w:val="both"/>
        <w:rPr>
          <w:rFonts w:ascii="Times New Roman" w:hAnsi="Times New Roman" w:cs="Times New Roman"/>
          <w:sz w:val="28"/>
          <w:szCs w:val="28"/>
          <w:lang w:val="es-ES"/>
        </w:rPr>
      </w:pPr>
    </w:p>
    <w:p w:rsidR="003554B9" w:rsidRPr="00EE2FA1" w:rsidRDefault="00EE2FA1" w:rsidP="003554B9">
      <w:pPr>
        <w:pStyle w:val="Prrafodelista"/>
        <w:numPr>
          <w:ilvl w:val="0"/>
          <w:numId w:val="1"/>
        </w:numPr>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i/>
          <w:iCs/>
          <w:sz w:val="28"/>
          <w:szCs w:val="28"/>
          <w:lang w:val="es-ES"/>
        </w:rPr>
        <w:t>Principio de celeridad</w:t>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Está</w:t>
      </w:r>
      <w:r w:rsidRPr="00EE2FA1">
        <w:rPr>
          <w:rFonts w:ascii="Times New Roman" w:hAnsi="Times New Roman" w:cs="Times New Roman"/>
          <w:sz w:val="28"/>
          <w:szCs w:val="28"/>
          <w:lang w:val="es-ES"/>
        </w:rPr>
        <w:t xml:space="preserve"> contenido en el artículo 2.1 de la Ley 5ª de 1992 y se refiere a que “</w:t>
      </w:r>
      <w:r w:rsidRPr="00EE2FA1">
        <w:rPr>
          <w:rFonts w:ascii="Times New Roman" w:hAnsi="Times New Roman" w:cs="Times New Roman"/>
          <w:sz w:val="28"/>
          <w:szCs w:val="28"/>
        </w:rPr>
        <w:t>g</w:t>
      </w:r>
      <w:r w:rsidRPr="00EE2FA1">
        <w:rPr>
          <w:rFonts w:ascii="Times New Roman" w:hAnsi="Times New Roman" w:cs="Times New Roman"/>
          <w:sz w:val="28"/>
          <w:szCs w:val="28"/>
        </w:rPr>
        <w:t xml:space="preserve">uardada la </w:t>
      </w:r>
      <w:r w:rsidRPr="00EE2FA1">
        <w:rPr>
          <w:rFonts w:ascii="Times New Roman" w:hAnsi="Times New Roman" w:cs="Times New Roman"/>
          <w:sz w:val="28"/>
          <w:szCs w:val="28"/>
        </w:rPr>
        <w:t>corrección formal de los procedimientos, las normas del Reglamento deben servir para impulsar eficazmente el desarrollo de las labores de todo orden del Congreso.”</w:t>
      </w:r>
    </w:p>
    <w:p w:rsidR="0087581E" w:rsidRPr="00EE2FA1" w:rsidRDefault="00EE2FA1" w:rsidP="00C833B9">
      <w:pPr>
        <w:pStyle w:val="Prrafodelista"/>
        <w:tabs>
          <w:tab w:val="left" w:pos="426"/>
        </w:tabs>
        <w:spacing w:line="0" w:lineRule="atLeast"/>
        <w:ind w:left="0"/>
        <w:jc w:val="both"/>
        <w:rPr>
          <w:rFonts w:ascii="Times New Roman" w:eastAsia="Calibri" w:hAnsi="Times New Roman" w:cs="Times New Roman"/>
          <w:i/>
          <w:iCs/>
          <w:sz w:val="28"/>
          <w:szCs w:val="28"/>
          <w:lang w:eastAsia="es-ES"/>
        </w:rPr>
      </w:pPr>
    </w:p>
    <w:p w:rsidR="009C722C" w:rsidRPr="00EE2FA1" w:rsidRDefault="00EE2FA1" w:rsidP="00C833B9">
      <w:pPr>
        <w:pStyle w:val="Prrafodelista"/>
        <w:tabs>
          <w:tab w:val="left" w:pos="426"/>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Las sesiones conjuntas de las comisiones permanentes homólogas de una y otra cámara</w:t>
      </w:r>
    </w:p>
    <w:p w:rsidR="009C722C"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01ADE"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val="es-ES"/>
        </w:rPr>
        <w:t>El art</w:t>
      </w:r>
      <w:r w:rsidRPr="00EE2FA1">
        <w:rPr>
          <w:rFonts w:ascii="Times New Roman" w:hAnsi="Times New Roman" w:cs="Times New Roman"/>
          <w:sz w:val="28"/>
          <w:szCs w:val="28"/>
          <w:lang w:val="es-ES"/>
        </w:rPr>
        <w:t>ículo 157</w:t>
      </w:r>
      <w:r w:rsidRPr="00EE2FA1">
        <w:rPr>
          <w:rFonts w:ascii="Times New Roman" w:hAnsi="Times New Roman" w:cs="Times New Roman"/>
          <w:sz w:val="28"/>
          <w:szCs w:val="28"/>
          <w:vertAlign w:val="superscript"/>
        </w:rPr>
        <w:footnoteReference w:id="78"/>
      </w:r>
      <w:r w:rsidRPr="00EE2FA1">
        <w:rPr>
          <w:rFonts w:ascii="Times New Roman" w:hAnsi="Times New Roman" w:cs="Times New Roman"/>
          <w:sz w:val="28"/>
          <w:szCs w:val="28"/>
          <w:lang w:val="es-ES"/>
        </w:rPr>
        <w:t xml:space="preserve"> superior establece los requisitos para que un proyecto se convierta en ley de la República. En relación con la interpretación del anterior artículo, la Corte ha sostenido que “éste impone una condición necesaria para que un proyecto se convierta</w:t>
      </w:r>
      <w:r w:rsidRPr="00EE2FA1">
        <w:rPr>
          <w:rFonts w:ascii="Times New Roman" w:hAnsi="Times New Roman" w:cs="Times New Roman"/>
          <w:sz w:val="28"/>
          <w:szCs w:val="28"/>
          <w:lang w:val="es-ES"/>
        </w:rPr>
        <w:t xml:space="preserve"> en ley, cual es la que el mismo surta un total de cuatro debates, que además deben darse completos e integrales para que lo aprobado o improbado tenga plena validez.”</w:t>
      </w:r>
      <w:r w:rsidRPr="00EE2FA1">
        <w:rPr>
          <w:rFonts w:ascii="Times New Roman" w:hAnsi="Times New Roman" w:cs="Times New Roman"/>
          <w:sz w:val="28"/>
          <w:szCs w:val="28"/>
          <w:vertAlign w:val="superscript"/>
        </w:rPr>
        <w:footnoteReference w:id="79"/>
      </w:r>
      <w:r w:rsidRPr="00EE2FA1">
        <w:rPr>
          <w:rFonts w:ascii="Times New Roman" w:hAnsi="Times New Roman" w:cs="Times New Roman"/>
          <w:sz w:val="28"/>
          <w:szCs w:val="28"/>
          <w:lang w:val="es-ES"/>
        </w:rPr>
        <w:t xml:space="preserve"> Sin embargo, existe una excepción a dicha exigencia en los casos de sesión conjunta de </w:t>
      </w:r>
      <w:r w:rsidRPr="00EE2FA1">
        <w:rPr>
          <w:rFonts w:ascii="Times New Roman" w:hAnsi="Times New Roman" w:cs="Times New Roman"/>
          <w:sz w:val="28"/>
          <w:szCs w:val="28"/>
          <w:lang w:val="es-ES"/>
        </w:rPr>
        <w:t>la</w:t>
      </w:r>
      <w:r w:rsidRPr="00EE2FA1">
        <w:rPr>
          <w:rFonts w:ascii="Times New Roman" w:hAnsi="Times New Roman" w:cs="Times New Roman"/>
          <w:sz w:val="28"/>
          <w:szCs w:val="28"/>
          <w:lang w:val="es-ES"/>
        </w:rPr>
        <w:t>s</w:t>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 xml:space="preserve">comisiones permanentes </w:t>
      </w:r>
      <w:r w:rsidRPr="00EE2FA1">
        <w:rPr>
          <w:rFonts w:ascii="Times New Roman" w:hAnsi="Times New Roman" w:cs="Times New Roman"/>
          <w:sz w:val="28"/>
          <w:szCs w:val="28"/>
          <w:lang w:val="es-ES"/>
        </w:rPr>
        <w:t>de cada Cámara</w:t>
      </w:r>
      <w:r w:rsidRPr="00EE2FA1">
        <w:rPr>
          <w:rFonts w:ascii="Times New Roman" w:hAnsi="Times New Roman" w:cs="Times New Roman"/>
          <w:sz w:val="28"/>
          <w:szCs w:val="28"/>
          <w:vertAlign w:val="superscript"/>
        </w:rPr>
        <w:footnoteReference w:id="80"/>
      </w:r>
      <w:r w:rsidRPr="00EE2FA1">
        <w:rPr>
          <w:rFonts w:ascii="Times New Roman" w:hAnsi="Times New Roman" w:cs="Times New Roman"/>
          <w:sz w:val="28"/>
          <w:szCs w:val="28"/>
          <w:lang w:val="es-ES"/>
        </w:rPr>
        <w:t>. Pues, “</w:t>
      </w:r>
      <w:r w:rsidRPr="00EE2FA1">
        <w:rPr>
          <w:rFonts w:ascii="Times New Roman" w:hAnsi="Times New Roman" w:cs="Times New Roman"/>
          <w:sz w:val="28"/>
          <w:szCs w:val="28"/>
          <w:lang w:val="es-ES"/>
        </w:rPr>
        <w:t xml:space="preserve">siendo </w:t>
      </w:r>
      <w:r w:rsidRPr="00EE2FA1">
        <w:rPr>
          <w:rFonts w:ascii="Times New Roman" w:hAnsi="Times New Roman" w:cs="Times New Roman"/>
          <w:sz w:val="28"/>
          <w:szCs w:val="28"/>
          <w:lang w:val="es-ES"/>
        </w:rPr>
        <w:t>el nuestro un sistema bicameral en el que las dos Cámaras legislativas tienen idéntico poder y cumplen funciones similares en cuanto se refiere al trámite de aprobación de los proyectos de ley, es c</w:t>
      </w:r>
      <w:r w:rsidRPr="00EE2FA1">
        <w:rPr>
          <w:rFonts w:ascii="Times New Roman" w:hAnsi="Times New Roman" w:cs="Times New Roman"/>
          <w:sz w:val="28"/>
          <w:szCs w:val="28"/>
          <w:lang w:val="es-ES"/>
        </w:rPr>
        <w:t xml:space="preserve">laro que cada una goza de autonomía e independencia para tramitar sus propios asuntos, por tal razón las sesiones plenarias y las que realicen las Comisiones Constitucionales Permanentes, en principio, se deben realizar en forma separada. Sin embargo, fue </w:t>
      </w:r>
      <w:r w:rsidRPr="00EE2FA1">
        <w:rPr>
          <w:rFonts w:ascii="Times New Roman" w:hAnsi="Times New Roman" w:cs="Times New Roman"/>
          <w:sz w:val="28"/>
          <w:szCs w:val="28"/>
          <w:lang w:val="es-ES"/>
        </w:rPr>
        <w:t>el mismo constituyente quien decidió consagrar algunas excepciones a esa regla general al autorizar las denominadas sesiones conjuntas”</w:t>
      </w:r>
      <w:r w:rsidRPr="00EE2FA1">
        <w:rPr>
          <w:rStyle w:val="Refdenotaalpie"/>
          <w:rFonts w:ascii="Times New Roman" w:hAnsi="Times New Roman" w:cs="Times New Roman"/>
          <w:sz w:val="28"/>
          <w:szCs w:val="28"/>
          <w:lang w:val="es-ES"/>
        </w:rPr>
        <w:footnoteReference w:id="81"/>
      </w:r>
      <w:r w:rsidRPr="00EE2FA1">
        <w:rPr>
          <w:rFonts w:ascii="Times New Roman" w:hAnsi="Times New Roman" w:cs="Times New Roman"/>
          <w:sz w:val="28"/>
          <w:szCs w:val="28"/>
          <w:lang w:val="es-ES"/>
        </w:rPr>
        <w:t xml:space="preserve">. </w:t>
      </w:r>
    </w:p>
    <w:p w:rsidR="00601ADE"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01ADE"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val="es-ES"/>
        </w:rPr>
        <w:t>Según lo establecido en el artículo 169 de la Ley 5</w:t>
      </w:r>
      <w:r w:rsidRPr="00EE2FA1">
        <w:rPr>
          <w:rFonts w:ascii="Times New Roman" w:hAnsi="Times New Roman" w:cs="Times New Roman"/>
          <w:sz w:val="28"/>
          <w:szCs w:val="28"/>
          <w:vertAlign w:val="superscript"/>
          <w:lang w:val="es-ES"/>
        </w:rPr>
        <w:t>a</w:t>
      </w:r>
      <w:r w:rsidRPr="00EE2FA1">
        <w:rPr>
          <w:rFonts w:ascii="Times New Roman" w:hAnsi="Times New Roman" w:cs="Times New Roman"/>
          <w:sz w:val="28"/>
          <w:szCs w:val="28"/>
          <w:lang w:val="es-ES"/>
        </w:rPr>
        <w:t xml:space="preserve"> de 1992</w:t>
      </w:r>
      <w:r w:rsidRPr="00EE2FA1">
        <w:rPr>
          <w:rFonts w:ascii="Times New Roman" w:hAnsi="Times New Roman" w:cs="Times New Roman"/>
          <w:sz w:val="28"/>
          <w:szCs w:val="28"/>
          <w:vertAlign w:val="superscript"/>
        </w:rPr>
        <w:footnoteReference w:id="82"/>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las sesiones conjuntas se presentan en</w:t>
      </w:r>
      <w:r w:rsidRPr="00EE2FA1">
        <w:rPr>
          <w:rFonts w:ascii="Times New Roman" w:hAnsi="Times New Roman" w:cs="Times New Roman"/>
          <w:sz w:val="28"/>
          <w:szCs w:val="28"/>
          <w:lang w:val="es-ES"/>
        </w:rPr>
        <w:t xml:space="preserve"> las siguientes ocasiones: (i) por disposición constitucional para dar primer debate al proyecto de presupuesto de rentas y ley de apropiaciones</w:t>
      </w:r>
      <w:r w:rsidRPr="00EE2FA1">
        <w:rPr>
          <w:rFonts w:ascii="Times New Roman" w:hAnsi="Times New Roman" w:cs="Times New Roman"/>
          <w:sz w:val="28"/>
          <w:szCs w:val="28"/>
          <w:vertAlign w:val="superscript"/>
        </w:rPr>
        <w:footnoteReference w:id="83"/>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(ii) por solicitud del </w:t>
      </w:r>
      <w:r w:rsidRPr="00EE2FA1">
        <w:rPr>
          <w:rFonts w:ascii="Times New Roman" w:hAnsi="Times New Roman" w:cs="Times New Roman"/>
          <w:sz w:val="28"/>
          <w:szCs w:val="28"/>
          <w:lang w:val="es-ES"/>
        </w:rPr>
        <w:t>gobierno</w:t>
      </w:r>
      <w:r w:rsidRPr="00EE2FA1">
        <w:rPr>
          <w:rFonts w:ascii="Times New Roman" w:hAnsi="Times New Roman" w:cs="Times New Roman"/>
          <w:sz w:val="28"/>
          <w:szCs w:val="28"/>
          <w:lang w:val="es-ES"/>
        </w:rPr>
        <w:t xml:space="preserve">, cuando el </w:t>
      </w:r>
      <w:r w:rsidRPr="00EE2FA1">
        <w:rPr>
          <w:rFonts w:ascii="Times New Roman" w:hAnsi="Times New Roman" w:cs="Times New Roman"/>
          <w:sz w:val="28"/>
          <w:szCs w:val="28"/>
          <w:lang w:val="es-ES"/>
        </w:rPr>
        <w:t>p</w:t>
      </w:r>
      <w:r w:rsidRPr="00EE2FA1">
        <w:rPr>
          <w:rFonts w:ascii="Times New Roman" w:hAnsi="Times New Roman" w:cs="Times New Roman"/>
          <w:sz w:val="28"/>
          <w:szCs w:val="28"/>
          <w:lang w:val="es-ES"/>
        </w:rPr>
        <w:t xml:space="preserve">residente de la República envía mensaje de urgencia respecto del </w:t>
      </w:r>
      <w:r w:rsidRPr="00EE2FA1">
        <w:rPr>
          <w:rFonts w:ascii="Times New Roman" w:hAnsi="Times New Roman" w:cs="Times New Roman"/>
          <w:sz w:val="28"/>
          <w:szCs w:val="28"/>
          <w:lang w:val="es-ES"/>
        </w:rPr>
        <w:t>trámite de un determinado proyecto de ley que esté siendo conocido por el Congreso</w:t>
      </w:r>
      <w:r w:rsidRPr="00EE2FA1">
        <w:rPr>
          <w:rFonts w:ascii="Times New Roman" w:hAnsi="Times New Roman" w:cs="Times New Roman"/>
          <w:sz w:val="28"/>
          <w:szCs w:val="28"/>
          <w:vertAlign w:val="superscript"/>
        </w:rPr>
        <w:footnoteReference w:id="84"/>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(iii) cuando se trata de un proyecto de ley en el que se creen nuevas rentas o modifiquen las preexistentes, para equilibrar el presupuesto de gastos</w:t>
      </w:r>
      <w:r w:rsidRPr="00EE2FA1">
        <w:rPr>
          <w:rStyle w:val="Refdenotaalpie"/>
          <w:rFonts w:ascii="Times New Roman" w:hAnsi="Times New Roman" w:cs="Times New Roman"/>
          <w:sz w:val="28"/>
          <w:szCs w:val="28"/>
          <w:lang w:val="es-ES"/>
        </w:rPr>
        <w:footnoteReference w:id="85"/>
      </w:r>
      <w:r w:rsidRPr="00EE2FA1">
        <w:rPr>
          <w:rFonts w:ascii="Times New Roman" w:hAnsi="Times New Roman" w:cs="Times New Roman"/>
          <w:sz w:val="28"/>
          <w:szCs w:val="28"/>
          <w:lang w:val="es-ES"/>
        </w:rPr>
        <w:t xml:space="preserve"> y (iv) cuando se tra</w:t>
      </w:r>
      <w:r w:rsidRPr="00EE2FA1">
        <w:rPr>
          <w:rFonts w:ascii="Times New Roman" w:hAnsi="Times New Roman" w:cs="Times New Roman"/>
          <w:sz w:val="28"/>
          <w:szCs w:val="28"/>
          <w:lang w:val="es-ES"/>
        </w:rPr>
        <w:t>ta del Plan Nacional de Desarrollo</w:t>
      </w:r>
      <w:r w:rsidRPr="00EE2FA1">
        <w:rPr>
          <w:rStyle w:val="Refdenotaalpie"/>
          <w:rFonts w:ascii="Times New Roman" w:hAnsi="Times New Roman" w:cs="Times New Roman"/>
          <w:sz w:val="28"/>
          <w:szCs w:val="28"/>
          <w:lang w:val="es-ES"/>
        </w:rPr>
        <w:footnoteReference w:id="86"/>
      </w:r>
      <w:r w:rsidRPr="00EE2FA1">
        <w:rPr>
          <w:rFonts w:ascii="Times New Roman" w:hAnsi="Times New Roman" w:cs="Times New Roman"/>
          <w:sz w:val="28"/>
          <w:szCs w:val="28"/>
          <w:lang w:val="es-ES"/>
        </w:rPr>
        <w:t xml:space="preserve">.  </w:t>
      </w:r>
    </w:p>
    <w:p w:rsidR="00601ADE"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EC2A10"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De esta manera, </w:t>
      </w:r>
      <w:r w:rsidRPr="00EE2FA1">
        <w:rPr>
          <w:rFonts w:ascii="Times New Roman" w:hAnsi="Times New Roman" w:cs="Times New Roman"/>
          <w:sz w:val="28"/>
          <w:szCs w:val="28"/>
        </w:rPr>
        <w:t xml:space="preserve">ante la conformación de sesiones </w:t>
      </w:r>
      <w:r w:rsidRPr="00EE2FA1">
        <w:rPr>
          <w:rFonts w:ascii="Times New Roman" w:hAnsi="Times New Roman" w:cs="Times New Roman"/>
          <w:sz w:val="28"/>
          <w:szCs w:val="28"/>
          <w:lang w:val="es-ES"/>
        </w:rPr>
        <w:t>conjuntas, los cuatro debates quedan reducidos a tres, pero “todos y cada uno de ellos debe surtirse en forma completa e integral, con el fin de que el contenido norma</w:t>
      </w:r>
      <w:r w:rsidRPr="00EE2FA1">
        <w:rPr>
          <w:rFonts w:ascii="Times New Roman" w:hAnsi="Times New Roman" w:cs="Times New Roman"/>
          <w:sz w:val="28"/>
          <w:szCs w:val="28"/>
          <w:lang w:val="es-ES"/>
        </w:rPr>
        <w:t xml:space="preserve">tivo que ha sido sometido al trámite legislativo especial pueda entenderse válidamente </w:t>
      </w:r>
      <w:r w:rsidRPr="00EE2FA1">
        <w:rPr>
          <w:rFonts w:ascii="Times New Roman" w:hAnsi="Times New Roman" w:cs="Times New Roman"/>
          <w:sz w:val="28"/>
          <w:szCs w:val="28"/>
          <w:lang w:val="es-ES"/>
        </w:rPr>
        <w:t>a</w:t>
      </w:r>
      <w:r w:rsidRPr="00EE2FA1">
        <w:rPr>
          <w:rFonts w:ascii="Times New Roman" w:hAnsi="Times New Roman" w:cs="Times New Roman"/>
          <w:sz w:val="28"/>
          <w:szCs w:val="28"/>
          <w:lang w:val="es-ES"/>
        </w:rPr>
        <w:t>probado”</w:t>
      </w:r>
      <w:r w:rsidRPr="00EE2FA1">
        <w:rPr>
          <w:rFonts w:ascii="Times New Roman" w:hAnsi="Times New Roman" w:cs="Times New Roman"/>
          <w:sz w:val="28"/>
          <w:szCs w:val="28"/>
          <w:vertAlign w:val="superscript"/>
        </w:rPr>
        <w:footnoteReference w:id="87"/>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Sobre el procedimiento del debate</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el artículo 171 de la Ley 5</w:t>
      </w:r>
      <w:r w:rsidRPr="00EE2FA1">
        <w:rPr>
          <w:rFonts w:ascii="Times New Roman" w:hAnsi="Times New Roman" w:cs="Times New Roman"/>
          <w:sz w:val="28"/>
          <w:szCs w:val="28"/>
          <w:vertAlign w:val="superscript"/>
          <w:lang w:val="es-ES"/>
        </w:rPr>
        <w:t>a</w:t>
      </w:r>
      <w:r w:rsidRPr="00EE2FA1">
        <w:rPr>
          <w:rFonts w:ascii="Times New Roman" w:hAnsi="Times New Roman" w:cs="Times New Roman"/>
          <w:sz w:val="28"/>
          <w:szCs w:val="28"/>
          <w:lang w:val="es-ES"/>
        </w:rPr>
        <w:t xml:space="preserve"> de 1992 indica que se presenta una ponencia conjunta</w:t>
      </w:r>
      <w:r w:rsidRPr="00EE2FA1">
        <w:rPr>
          <w:rFonts w:ascii="Times New Roman" w:hAnsi="Times New Roman" w:cs="Times New Roman"/>
          <w:sz w:val="28"/>
          <w:szCs w:val="28"/>
          <w:lang w:val="es-ES"/>
        </w:rPr>
        <w:t xml:space="preserve"> sobre el proyecto de ley</w:t>
      </w:r>
      <w:r w:rsidRPr="00EE2FA1">
        <w:rPr>
          <w:rFonts w:ascii="Times New Roman" w:hAnsi="Times New Roman" w:cs="Times New Roman"/>
          <w:sz w:val="28"/>
          <w:szCs w:val="28"/>
          <w:lang w:val="es-ES"/>
        </w:rPr>
        <w:t xml:space="preserve"> y, de no ser posible, el informe radicado en el primer orden será la base</w:t>
      </w:r>
      <w:r w:rsidRPr="00EE2FA1">
        <w:rPr>
          <w:rFonts w:ascii="Times New Roman" w:hAnsi="Times New Roman" w:cs="Times New Roman"/>
          <w:sz w:val="28"/>
          <w:szCs w:val="28"/>
          <w:lang w:val="es-ES"/>
        </w:rPr>
        <w:t xml:space="preserve"> de discusión</w:t>
      </w:r>
      <w:r w:rsidRPr="00EE2FA1">
        <w:rPr>
          <w:rFonts w:ascii="Times New Roman" w:hAnsi="Times New Roman" w:cs="Times New Roman"/>
          <w:sz w:val="28"/>
          <w:szCs w:val="28"/>
          <w:lang w:val="es-ES"/>
        </w:rPr>
        <w:t>. Lo que implica “por ejemplo, decidir adoptar una determinada ponencia y a partir de ella, presentar y tramitar las proposiciones relativas a la otra ponencia que no fu</w:t>
      </w:r>
      <w:r w:rsidRPr="00EE2FA1">
        <w:rPr>
          <w:rFonts w:ascii="Times New Roman" w:hAnsi="Times New Roman" w:cs="Times New Roman"/>
          <w:sz w:val="28"/>
          <w:szCs w:val="28"/>
          <w:lang w:val="es-ES"/>
        </w:rPr>
        <w:t>e acogida. En este caso la negativa de una ponencia no implica negativa sobre el articulado sino la decisión de resolver sobre otra y tramitar el proyecto con base en ella, sin perjuicio de que se pudiera someter a consideración de los legisladores, vía pr</w:t>
      </w:r>
      <w:r w:rsidRPr="00EE2FA1">
        <w:rPr>
          <w:rFonts w:ascii="Times New Roman" w:hAnsi="Times New Roman" w:cs="Times New Roman"/>
          <w:sz w:val="28"/>
          <w:szCs w:val="28"/>
          <w:lang w:val="es-ES"/>
        </w:rPr>
        <w:t>oposición, modificaciones al articulado que estuviesen contenidos en la ponencia negada.”</w:t>
      </w:r>
      <w:r w:rsidRPr="00EE2FA1">
        <w:rPr>
          <w:rFonts w:ascii="Times New Roman" w:hAnsi="Times New Roman" w:cs="Times New Roman"/>
          <w:sz w:val="28"/>
          <w:szCs w:val="28"/>
          <w:vertAlign w:val="superscript"/>
        </w:rPr>
        <w:footnoteReference w:id="88"/>
      </w:r>
    </w:p>
    <w:p w:rsidR="00601ADE" w:rsidRPr="00EE2FA1" w:rsidRDefault="00EE2FA1" w:rsidP="00EE60D4">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val="es-ES"/>
        </w:rPr>
        <w:t xml:space="preserve">Ahora, aunque se presente una única ponencia y se realice la discusión por el cuerpo conjunto de comisiones, la votación tiene lugar en cada comisión de manera </w:t>
      </w:r>
      <w:r w:rsidRPr="00EE2FA1">
        <w:rPr>
          <w:rFonts w:ascii="Times New Roman" w:hAnsi="Times New Roman" w:cs="Times New Roman"/>
          <w:sz w:val="28"/>
          <w:szCs w:val="28"/>
          <w:lang w:val="es-ES"/>
        </w:rPr>
        <w:t>separada, como se establece en el artículo 173 de la Ley 5</w:t>
      </w:r>
      <w:r w:rsidRPr="00EE2FA1">
        <w:rPr>
          <w:rFonts w:ascii="Times New Roman" w:hAnsi="Times New Roman" w:cs="Times New Roman"/>
          <w:sz w:val="28"/>
          <w:szCs w:val="28"/>
          <w:vertAlign w:val="superscript"/>
          <w:lang w:val="es-ES"/>
        </w:rPr>
        <w:t>a</w:t>
      </w:r>
      <w:r w:rsidRPr="00EE2FA1">
        <w:rPr>
          <w:rFonts w:ascii="Times New Roman" w:hAnsi="Times New Roman" w:cs="Times New Roman"/>
          <w:sz w:val="28"/>
          <w:szCs w:val="28"/>
          <w:lang w:val="es-ES"/>
        </w:rPr>
        <w:t xml:space="preserve"> de 1992</w:t>
      </w:r>
      <w:r w:rsidRPr="00EE2FA1">
        <w:rPr>
          <w:rFonts w:ascii="Times New Roman" w:hAnsi="Times New Roman" w:cs="Times New Roman"/>
          <w:sz w:val="28"/>
          <w:szCs w:val="28"/>
          <w:vertAlign w:val="superscript"/>
        </w:rPr>
        <w:footnoteReference w:id="89"/>
      </w:r>
      <w:r w:rsidRPr="00EE2FA1">
        <w:rPr>
          <w:rFonts w:ascii="Times New Roman" w:hAnsi="Times New Roman" w:cs="Times New Roman"/>
          <w:sz w:val="28"/>
          <w:szCs w:val="28"/>
          <w:lang w:val="es-ES"/>
        </w:rPr>
        <w:t xml:space="preserve">. De alcanzar la mayoría exigida en cada una de las comisiones, el proyecto sigue su trámite hacia la plenaria de cada una de las cámaras legislativas. Sin embargo, en este caso </w:t>
      </w:r>
      <w:r w:rsidRPr="00EE2FA1">
        <w:rPr>
          <w:rFonts w:ascii="Times New Roman" w:hAnsi="Times New Roman" w:cs="Times New Roman"/>
          <w:sz w:val="28"/>
          <w:szCs w:val="28"/>
          <w:lang w:val="es-ES"/>
        </w:rPr>
        <w:t>“</w:t>
      </w:r>
      <w:r w:rsidRPr="00EE2FA1">
        <w:rPr>
          <w:rFonts w:ascii="Times New Roman" w:hAnsi="Times New Roman" w:cs="Times New Roman"/>
          <w:sz w:val="28"/>
          <w:szCs w:val="28"/>
        </w:rPr>
        <w:t>al habers</w:t>
      </w:r>
      <w:r w:rsidRPr="00EE2FA1">
        <w:rPr>
          <w:rFonts w:ascii="Times New Roman" w:hAnsi="Times New Roman" w:cs="Times New Roman"/>
          <w:sz w:val="28"/>
          <w:szCs w:val="28"/>
        </w:rPr>
        <w:t>e efectuado el primer debate en comisiones conjuntas, no hay lugar a aplicar el requisito del término de quince días entre el debate en la plenaria de una cámara y la iniciación del debate en la otra.”</w:t>
      </w:r>
      <w:r w:rsidRPr="00EE2FA1">
        <w:rPr>
          <w:rStyle w:val="Refdenotaalpie"/>
          <w:rFonts w:ascii="Times New Roman" w:hAnsi="Times New Roman" w:cs="Times New Roman"/>
          <w:sz w:val="28"/>
          <w:szCs w:val="28"/>
        </w:rPr>
        <w:footnoteReference w:id="90"/>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No obstante,</w:t>
      </w:r>
      <w:r w:rsidRPr="00EE2FA1">
        <w:rPr>
          <w:rFonts w:ascii="Times New Roman" w:hAnsi="Times New Roman" w:cs="Times New Roman"/>
          <w:sz w:val="28"/>
          <w:szCs w:val="28"/>
        </w:rPr>
        <w:t xml:space="preserve"> s</w:t>
      </w:r>
      <w:r w:rsidRPr="00EE2FA1">
        <w:rPr>
          <w:rFonts w:ascii="Times New Roman" w:hAnsi="Times New Roman" w:cs="Times New Roman"/>
          <w:sz w:val="28"/>
          <w:szCs w:val="28"/>
        </w:rPr>
        <w:t>í</w:t>
      </w:r>
      <w:r w:rsidRPr="00EE2FA1">
        <w:rPr>
          <w:rFonts w:ascii="Times New Roman" w:hAnsi="Times New Roman" w:cs="Times New Roman"/>
          <w:sz w:val="28"/>
          <w:szCs w:val="28"/>
        </w:rPr>
        <w:t xml:space="preserve"> debe observarse el término de 8 días </w:t>
      </w:r>
      <w:r w:rsidRPr="00EE2FA1">
        <w:rPr>
          <w:rFonts w:ascii="Times New Roman" w:hAnsi="Times New Roman" w:cs="Times New Roman"/>
          <w:sz w:val="28"/>
          <w:szCs w:val="28"/>
        </w:rPr>
        <w:t>entre el primer y segundo debate</w:t>
      </w:r>
      <w:r w:rsidRPr="00EE2FA1">
        <w:rPr>
          <w:rStyle w:val="Refdenotaalpie"/>
          <w:rFonts w:ascii="Times New Roman" w:hAnsi="Times New Roman" w:cs="Times New Roman"/>
          <w:sz w:val="28"/>
          <w:szCs w:val="28"/>
        </w:rPr>
        <w:footnoteReference w:id="91"/>
      </w:r>
      <w:r w:rsidRPr="00EE2FA1">
        <w:rPr>
          <w:rFonts w:ascii="Times New Roman" w:hAnsi="Times New Roman" w:cs="Times New Roman"/>
          <w:sz w:val="28"/>
          <w:szCs w:val="28"/>
        </w:rPr>
        <w:t xml:space="preserve">. </w:t>
      </w:r>
    </w:p>
    <w:p w:rsidR="0001502E" w:rsidRPr="00EE2FA1" w:rsidRDefault="00EE2FA1" w:rsidP="0001502E">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01ADE"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val="es-ES"/>
        </w:rPr>
        <w:t>En relación con el debate, el artículo 157 de la Ley 5</w:t>
      </w:r>
      <w:r w:rsidRPr="00EE2FA1">
        <w:rPr>
          <w:rFonts w:ascii="Times New Roman" w:hAnsi="Times New Roman" w:cs="Times New Roman"/>
          <w:sz w:val="28"/>
          <w:szCs w:val="28"/>
          <w:vertAlign w:val="superscript"/>
          <w:lang w:val="es-ES"/>
        </w:rPr>
        <w:t>a</w:t>
      </w:r>
      <w:r w:rsidRPr="00EE2FA1">
        <w:rPr>
          <w:rFonts w:ascii="Times New Roman" w:hAnsi="Times New Roman" w:cs="Times New Roman"/>
          <w:sz w:val="28"/>
          <w:szCs w:val="28"/>
          <w:lang w:val="es-ES"/>
        </w:rPr>
        <w:t xml:space="preserve"> de 1992 indica que</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“Si el ponente propone debatir el proyecto, se procederá en consecuencia sin necesidad de votación del informe. Si se propone archivar o negar </w:t>
      </w:r>
      <w:r w:rsidRPr="00EE2FA1">
        <w:rPr>
          <w:rFonts w:ascii="Times New Roman" w:hAnsi="Times New Roman" w:cs="Times New Roman"/>
          <w:sz w:val="28"/>
          <w:szCs w:val="28"/>
          <w:lang w:val="es-ES"/>
        </w:rPr>
        <w:t>el proyecto, se debatirá esta propuesta y se pondrá en votación al cierre del debate.” De acuerdo con el artículo 94 de la Ley 5</w:t>
      </w:r>
      <w:r w:rsidRPr="00EE2FA1">
        <w:rPr>
          <w:rFonts w:ascii="Times New Roman" w:hAnsi="Times New Roman" w:cs="Times New Roman"/>
          <w:sz w:val="28"/>
          <w:szCs w:val="28"/>
          <w:vertAlign w:val="superscript"/>
          <w:lang w:val="es-ES"/>
        </w:rPr>
        <w:t>a</w:t>
      </w:r>
      <w:r w:rsidRPr="00EE2FA1">
        <w:rPr>
          <w:rFonts w:ascii="Times New Roman" w:hAnsi="Times New Roman" w:cs="Times New Roman"/>
          <w:sz w:val="28"/>
          <w:szCs w:val="28"/>
          <w:lang w:val="es-ES"/>
        </w:rPr>
        <w:t xml:space="preserve"> de 1992, los debates son “el sometimiento a discusión de cualquier proposición o proyecto sobre cuya adopción deba resolver la</w:t>
      </w:r>
      <w:r w:rsidRPr="00EE2FA1">
        <w:rPr>
          <w:rFonts w:ascii="Times New Roman" w:hAnsi="Times New Roman" w:cs="Times New Roman"/>
          <w:sz w:val="28"/>
          <w:szCs w:val="28"/>
          <w:lang w:val="es-ES"/>
        </w:rPr>
        <w:t xml:space="preserve"> respectiva Corporación, es lo que constituye el debate. El debate empieza al abrirlo el Presidente y termina con la votación general”. De la misma forma, la Corte ha indicado que, “el derecho a debatir se entiende satisfecho cuando los órganos directivos </w:t>
      </w:r>
      <w:r w:rsidRPr="00EE2FA1">
        <w:rPr>
          <w:rFonts w:ascii="Times New Roman" w:hAnsi="Times New Roman" w:cs="Times New Roman"/>
          <w:sz w:val="28"/>
          <w:szCs w:val="28"/>
          <w:lang w:val="es-ES"/>
        </w:rPr>
        <w:t xml:space="preserve">de las células legislativas, en acatamiento a las normas que regulan el proceso legislativo, mantienen abiertos los espacios de participación con plenas garantías democráticas, es decir, cuando brindan a los congresistas la oportunidad de intervenir en la </w:t>
      </w:r>
      <w:r w:rsidRPr="00EE2FA1">
        <w:rPr>
          <w:rFonts w:ascii="Times New Roman" w:hAnsi="Times New Roman" w:cs="Times New Roman"/>
          <w:sz w:val="28"/>
          <w:szCs w:val="28"/>
          <w:lang w:val="es-ES"/>
        </w:rPr>
        <w:t>deliberaciones de los proyectos de ley o de actos legislativos sometidos a la consideración del legislador”</w:t>
      </w:r>
      <w:r w:rsidRPr="00EE2FA1">
        <w:rPr>
          <w:rFonts w:ascii="Times New Roman" w:hAnsi="Times New Roman" w:cs="Times New Roman"/>
          <w:sz w:val="28"/>
          <w:szCs w:val="28"/>
          <w:vertAlign w:val="superscript"/>
        </w:rPr>
        <w:footnoteReference w:id="92"/>
      </w:r>
      <w:r w:rsidRPr="00EE2FA1">
        <w:rPr>
          <w:rFonts w:ascii="Times New Roman" w:hAnsi="Times New Roman" w:cs="Times New Roman"/>
          <w:sz w:val="28"/>
          <w:szCs w:val="28"/>
          <w:lang w:val="es-ES"/>
        </w:rPr>
        <w:t xml:space="preserve">. </w:t>
      </w:r>
    </w:p>
    <w:p w:rsidR="00D60CC5"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3A0A6E" w:rsidRPr="00EE2FA1" w:rsidRDefault="00EE2FA1" w:rsidP="003A0A6E">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lang w:val="es-ES"/>
        </w:rPr>
        <w:t xml:space="preserve">En estos casos, aplican las reglas generales del proceso legislativo ordinario y, en ese sentido, también son exigibles los principios de </w:t>
      </w:r>
      <w:r w:rsidRPr="00EE2FA1">
        <w:rPr>
          <w:rFonts w:ascii="Times New Roman" w:hAnsi="Times New Roman" w:cs="Times New Roman"/>
          <w:sz w:val="28"/>
          <w:szCs w:val="28"/>
          <w:lang w:val="es-ES"/>
        </w:rPr>
        <w:t>publicidad, consecutividad e identidad flexible</w:t>
      </w:r>
      <w:r w:rsidRPr="00EE2FA1">
        <w:rPr>
          <w:rFonts w:ascii="Times New Roman" w:hAnsi="Times New Roman" w:cs="Times New Roman"/>
          <w:sz w:val="28"/>
          <w:szCs w:val="28"/>
          <w:vertAlign w:val="superscript"/>
        </w:rPr>
        <w:footnoteReference w:id="93"/>
      </w:r>
      <w:r w:rsidRPr="00EE2FA1">
        <w:rPr>
          <w:rFonts w:ascii="Times New Roman" w:hAnsi="Times New Roman" w:cs="Times New Roman"/>
          <w:sz w:val="28"/>
          <w:szCs w:val="28"/>
          <w:lang w:val="es-ES"/>
        </w:rPr>
        <w:t xml:space="preserve">. Lo único que varía </w:t>
      </w:r>
      <w:r w:rsidRPr="00EE2FA1">
        <w:rPr>
          <w:rFonts w:ascii="Times New Roman" w:hAnsi="Times New Roman" w:cs="Times New Roman"/>
          <w:sz w:val="28"/>
          <w:szCs w:val="28"/>
          <w:lang w:val="es-ES"/>
        </w:rPr>
        <w:t xml:space="preserve">en el </w:t>
      </w:r>
      <w:r w:rsidRPr="00EE2FA1">
        <w:rPr>
          <w:rFonts w:ascii="Times New Roman" w:hAnsi="Times New Roman" w:cs="Times New Roman"/>
          <w:sz w:val="28"/>
          <w:szCs w:val="28"/>
          <w:lang w:val="es-ES"/>
        </w:rPr>
        <w:t xml:space="preserve">evento </w:t>
      </w:r>
      <w:r w:rsidRPr="00EE2FA1">
        <w:rPr>
          <w:rFonts w:ascii="Times New Roman" w:hAnsi="Times New Roman" w:cs="Times New Roman"/>
          <w:sz w:val="28"/>
          <w:szCs w:val="28"/>
          <w:lang w:val="es-ES"/>
        </w:rPr>
        <w:t xml:space="preserve">de un debate conjunto </w:t>
      </w:r>
      <w:r w:rsidRPr="00EE2FA1">
        <w:rPr>
          <w:rFonts w:ascii="Times New Roman" w:hAnsi="Times New Roman" w:cs="Times New Roman"/>
          <w:sz w:val="28"/>
          <w:szCs w:val="28"/>
          <w:lang w:val="es-ES"/>
        </w:rPr>
        <w:t xml:space="preserve">respecto del trámite ordinario es que el término de 15 días que se exige para que el proyecto pase de una cámara a la otra, no es exigible ya que </w:t>
      </w:r>
      <w:r w:rsidRPr="00EE2FA1">
        <w:rPr>
          <w:rFonts w:ascii="Times New Roman" w:hAnsi="Times New Roman" w:cs="Times New Roman"/>
          <w:iCs/>
          <w:sz w:val="28"/>
          <w:szCs w:val="28"/>
          <w:lang w:val="es-ES"/>
        </w:rPr>
        <w:t>“cuand</w:t>
      </w:r>
      <w:r w:rsidRPr="00EE2FA1">
        <w:rPr>
          <w:rFonts w:ascii="Times New Roman" w:hAnsi="Times New Roman" w:cs="Times New Roman"/>
          <w:iCs/>
          <w:sz w:val="28"/>
          <w:szCs w:val="28"/>
          <w:lang w:val="es-ES"/>
        </w:rPr>
        <w:t>o el proyecto se tramita en sesiones conjuntas de las comisiones constitucionales de ambas cámaras, es claro que culminado el primer debate, el proyecto no solamente ya ha iniciado el trámite en cada una de las cámaras, sino que además ha agotado de manera</w:t>
      </w:r>
      <w:r w:rsidRPr="00EE2FA1">
        <w:rPr>
          <w:rFonts w:ascii="Times New Roman" w:hAnsi="Times New Roman" w:cs="Times New Roman"/>
          <w:iCs/>
          <w:sz w:val="28"/>
          <w:szCs w:val="28"/>
          <w:lang w:val="es-ES"/>
        </w:rPr>
        <w:t xml:space="preserve"> simultánea la etapa del primer debate en cada una de ellas”</w:t>
      </w:r>
      <w:r w:rsidRPr="00EE2FA1">
        <w:rPr>
          <w:rFonts w:ascii="Times New Roman" w:hAnsi="Times New Roman" w:cs="Times New Roman"/>
          <w:iCs/>
          <w:sz w:val="28"/>
          <w:szCs w:val="28"/>
          <w:vertAlign w:val="superscript"/>
        </w:rPr>
        <w:footnoteReference w:id="94"/>
      </w:r>
      <w:r w:rsidRPr="00EE2FA1">
        <w:rPr>
          <w:rFonts w:ascii="Times New Roman" w:hAnsi="Times New Roman" w:cs="Times New Roman"/>
          <w:i/>
          <w:sz w:val="28"/>
          <w:szCs w:val="28"/>
          <w:lang w:val="es-ES"/>
        </w:rPr>
        <w:t xml:space="preserve"> </w:t>
      </w:r>
      <w:r w:rsidRPr="00EE2FA1">
        <w:rPr>
          <w:rFonts w:ascii="Times New Roman" w:hAnsi="Times New Roman" w:cs="Times New Roman"/>
          <w:sz w:val="28"/>
          <w:szCs w:val="28"/>
          <w:lang w:val="es-ES"/>
        </w:rPr>
        <w:t>y</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por lo mismo, tampoco es exigible la elaboración de un informe de ponencia para el tránsito a la otra cámara, toda vez que el texto sobre el que trabajan las plenarias es el aprobado en las c</w:t>
      </w:r>
      <w:r w:rsidRPr="00EE2FA1">
        <w:rPr>
          <w:rFonts w:ascii="Times New Roman" w:hAnsi="Times New Roman" w:cs="Times New Roman"/>
          <w:sz w:val="28"/>
          <w:szCs w:val="28"/>
          <w:lang w:val="es-ES"/>
        </w:rPr>
        <w:t>omisiones permanentes conjuntas</w:t>
      </w:r>
      <w:r w:rsidRPr="00EE2FA1">
        <w:rPr>
          <w:rFonts w:ascii="Times New Roman" w:hAnsi="Times New Roman" w:cs="Times New Roman"/>
          <w:sz w:val="28"/>
          <w:szCs w:val="28"/>
          <w:vertAlign w:val="superscript"/>
        </w:rPr>
        <w:footnoteReference w:id="95"/>
      </w:r>
      <w:r w:rsidRPr="00EE2FA1">
        <w:rPr>
          <w:rFonts w:ascii="Times New Roman" w:hAnsi="Times New Roman" w:cs="Times New Roman"/>
          <w:sz w:val="28"/>
          <w:szCs w:val="28"/>
        </w:rPr>
        <w:t>.</w:t>
      </w:r>
    </w:p>
    <w:p w:rsidR="003A0A6E" w:rsidRPr="00EE2FA1" w:rsidRDefault="00EE2FA1" w:rsidP="003A0A6E">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B68D6" w:rsidRPr="00EE2FA1" w:rsidRDefault="00EE2FA1" w:rsidP="003A0A6E">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B68D6" w:rsidRPr="00EE2FA1" w:rsidRDefault="00EE2FA1" w:rsidP="003A0A6E">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D60CC5" w:rsidRPr="00EE2FA1" w:rsidRDefault="00EE2FA1" w:rsidP="00C833B9">
      <w:pPr>
        <w:pStyle w:val="Prrafodelista"/>
        <w:tabs>
          <w:tab w:val="left" w:pos="426"/>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Caso concreto. Solución al primer cargo</w:t>
      </w:r>
      <w:r w:rsidRPr="00EE2FA1">
        <w:rPr>
          <w:rFonts w:ascii="Times New Roman" w:eastAsia="Calibri" w:hAnsi="Times New Roman" w:cs="Times New Roman"/>
          <w:b/>
          <w:bCs/>
          <w:sz w:val="28"/>
          <w:szCs w:val="28"/>
          <w:lang w:eastAsia="es-ES"/>
        </w:rPr>
        <w:t>:</w:t>
      </w:r>
      <w:r w:rsidRPr="00EE2FA1">
        <w:rPr>
          <w:rFonts w:ascii="Times New Roman" w:eastAsia="Calibri" w:hAnsi="Times New Roman" w:cs="Times New Roman"/>
          <w:b/>
          <w:bCs/>
          <w:sz w:val="28"/>
          <w:szCs w:val="28"/>
          <w:lang w:eastAsia="es-ES"/>
        </w:rPr>
        <w:t xml:space="preserve"> </w:t>
      </w:r>
      <w:r w:rsidRPr="00EE2FA1">
        <w:rPr>
          <w:rFonts w:ascii="Times New Roman" w:eastAsia="Calibri" w:hAnsi="Times New Roman" w:cs="Times New Roman"/>
          <w:b/>
          <w:bCs/>
          <w:sz w:val="28"/>
          <w:szCs w:val="28"/>
          <w:lang w:eastAsia="es-ES"/>
        </w:rPr>
        <w:t xml:space="preserve">la </w:t>
      </w:r>
      <w:r w:rsidRPr="00EE2FA1">
        <w:rPr>
          <w:rFonts w:ascii="Times New Roman" w:eastAsia="Calibri" w:hAnsi="Times New Roman" w:cs="Times New Roman"/>
          <w:b/>
          <w:bCs/>
          <w:sz w:val="28"/>
          <w:szCs w:val="28"/>
          <w:lang w:eastAsia="es-ES"/>
        </w:rPr>
        <w:t xml:space="preserve">no </w:t>
      </w:r>
      <w:r w:rsidRPr="00EE2FA1">
        <w:rPr>
          <w:rFonts w:ascii="Times New Roman" w:eastAsia="Calibri" w:hAnsi="Times New Roman" w:cs="Times New Roman"/>
          <w:b/>
          <w:bCs/>
          <w:sz w:val="28"/>
          <w:szCs w:val="28"/>
          <w:lang w:eastAsia="es-ES"/>
        </w:rPr>
        <w:t xml:space="preserve">aprobación </w:t>
      </w:r>
      <w:r w:rsidRPr="00EE2FA1">
        <w:rPr>
          <w:rFonts w:ascii="Times New Roman" w:eastAsia="Calibri" w:hAnsi="Times New Roman" w:cs="Times New Roman"/>
          <w:b/>
          <w:bCs/>
          <w:sz w:val="28"/>
          <w:szCs w:val="28"/>
          <w:lang w:eastAsia="es-ES"/>
        </w:rPr>
        <w:t>por la Comisión Tercer del Senado de las normas demandadas</w:t>
      </w:r>
      <w:r w:rsidRPr="00EE2FA1">
        <w:rPr>
          <w:rStyle w:val="Refdenotaalpie"/>
          <w:rFonts w:ascii="Times New Roman" w:eastAsia="Calibri" w:hAnsi="Times New Roman" w:cs="Times New Roman"/>
          <w:b/>
          <w:bCs/>
          <w:sz w:val="28"/>
          <w:szCs w:val="28"/>
          <w:lang w:eastAsia="es-ES"/>
        </w:rPr>
        <w:footnoteReference w:id="96"/>
      </w:r>
      <w:r w:rsidRPr="00EE2FA1">
        <w:rPr>
          <w:rFonts w:ascii="Times New Roman" w:eastAsia="Calibri" w:hAnsi="Times New Roman" w:cs="Times New Roman"/>
          <w:b/>
          <w:bCs/>
          <w:sz w:val="28"/>
          <w:szCs w:val="28"/>
          <w:lang w:eastAsia="es-ES"/>
        </w:rPr>
        <w:t xml:space="preserve"> </w:t>
      </w:r>
      <w:r w:rsidRPr="00EE2FA1">
        <w:rPr>
          <w:rFonts w:ascii="Times New Roman" w:eastAsia="Calibri" w:hAnsi="Times New Roman" w:cs="Times New Roman"/>
          <w:b/>
          <w:bCs/>
          <w:sz w:val="28"/>
          <w:szCs w:val="28"/>
          <w:lang w:eastAsia="es-ES"/>
        </w:rPr>
        <w:t>configuró un vicio por desconocimiento de los</w:t>
      </w:r>
      <w:r w:rsidRPr="00EE2FA1">
        <w:rPr>
          <w:rFonts w:ascii="Times New Roman" w:eastAsia="Calibri" w:hAnsi="Times New Roman" w:cs="Times New Roman"/>
          <w:b/>
          <w:bCs/>
          <w:sz w:val="28"/>
          <w:szCs w:val="28"/>
          <w:lang w:eastAsia="es-ES"/>
        </w:rPr>
        <w:t xml:space="preserve"> artículo</w:t>
      </w:r>
      <w:r w:rsidRPr="00EE2FA1">
        <w:rPr>
          <w:rFonts w:ascii="Times New Roman" w:eastAsia="Calibri" w:hAnsi="Times New Roman" w:cs="Times New Roman"/>
          <w:b/>
          <w:bCs/>
          <w:sz w:val="28"/>
          <w:szCs w:val="28"/>
          <w:lang w:eastAsia="es-ES"/>
        </w:rPr>
        <w:t>s</w:t>
      </w:r>
      <w:r w:rsidRPr="00EE2FA1">
        <w:rPr>
          <w:rFonts w:ascii="Times New Roman" w:eastAsia="Calibri" w:hAnsi="Times New Roman" w:cs="Times New Roman"/>
          <w:b/>
          <w:bCs/>
          <w:sz w:val="28"/>
          <w:szCs w:val="28"/>
          <w:lang w:eastAsia="es-ES"/>
        </w:rPr>
        <w:t xml:space="preserve"> 157 de la Constitución </w:t>
      </w:r>
      <w:r w:rsidRPr="00EE2FA1">
        <w:rPr>
          <w:rFonts w:ascii="Times New Roman" w:eastAsia="Calibri" w:hAnsi="Times New Roman" w:cs="Times New Roman"/>
          <w:b/>
          <w:bCs/>
          <w:sz w:val="28"/>
          <w:szCs w:val="28"/>
          <w:lang w:eastAsia="es-ES"/>
        </w:rPr>
        <w:t>y</w:t>
      </w:r>
      <w:r w:rsidRPr="00EE2FA1">
        <w:rPr>
          <w:rFonts w:ascii="Times New Roman" w:eastAsia="Calibri" w:hAnsi="Times New Roman" w:cs="Times New Roman"/>
          <w:b/>
          <w:bCs/>
          <w:sz w:val="28"/>
          <w:szCs w:val="28"/>
          <w:lang w:eastAsia="es-ES"/>
        </w:rPr>
        <w:t xml:space="preserve"> 157 y 173 de la Ley 5ª de 1992</w:t>
      </w:r>
      <w:r w:rsidRPr="00EE2FA1">
        <w:rPr>
          <w:rFonts w:ascii="Times New Roman" w:eastAsia="Calibri" w:hAnsi="Times New Roman" w:cs="Times New Roman"/>
          <w:b/>
          <w:bCs/>
          <w:sz w:val="28"/>
          <w:szCs w:val="28"/>
          <w:lang w:eastAsia="es-ES"/>
        </w:rPr>
        <w:t xml:space="preserve"> que fue convalidado</w:t>
      </w:r>
    </w:p>
    <w:p w:rsidR="00D60CC5"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A4510F"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Sala considera que </w:t>
      </w:r>
      <w:r w:rsidRPr="00EE2FA1">
        <w:rPr>
          <w:rFonts w:ascii="Times New Roman" w:eastAsia="Calibri" w:hAnsi="Times New Roman" w:cs="Times New Roman"/>
          <w:sz w:val="28"/>
          <w:szCs w:val="28"/>
          <w:lang w:eastAsia="es-ES"/>
        </w:rPr>
        <w:t>la aprobación d</w:t>
      </w:r>
      <w:r w:rsidRPr="00EE2FA1">
        <w:rPr>
          <w:rFonts w:ascii="Times New Roman" w:eastAsia="Calibri" w:hAnsi="Times New Roman" w:cs="Times New Roman"/>
          <w:sz w:val="28"/>
          <w:szCs w:val="28"/>
          <w:lang w:eastAsia="es-ES"/>
        </w:rPr>
        <w:t xml:space="preserve">el parágrafo 3º (parcial) del artículo 10 </w:t>
      </w:r>
      <w:r w:rsidRPr="00EE2FA1">
        <w:rPr>
          <w:rFonts w:ascii="Times New Roman" w:eastAsia="Calibri" w:hAnsi="Times New Roman" w:cs="Times New Roman"/>
          <w:sz w:val="28"/>
          <w:szCs w:val="28"/>
          <w:lang w:eastAsia="es-ES"/>
        </w:rPr>
        <w:t xml:space="preserve">y </w:t>
      </w:r>
      <w:r w:rsidRPr="00EE2FA1">
        <w:rPr>
          <w:rFonts w:ascii="Times New Roman" w:eastAsia="Calibri" w:hAnsi="Times New Roman" w:cs="Times New Roman"/>
          <w:sz w:val="28"/>
          <w:szCs w:val="28"/>
          <w:lang w:eastAsia="es-ES"/>
        </w:rPr>
        <w:t xml:space="preserve">del </w:t>
      </w:r>
      <w:r w:rsidRPr="00EE2FA1">
        <w:rPr>
          <w:rFonts w:ascii="Times New Roman" w:eastAsia="Calibri" w:hAnsi="Times New Roman" w:cs="Times New Roman"/>
          <w:sz w:val="28"/>
          <w:szCs w:val="28"/>
          <w:lang w:eastAsia="es-ES"/>
        </w:rPr>
        <w:t xml:space="preserve">artículo 19 </w:t>
      </w:r>
      <w:r w:rsidRPr="00EE2FA1">
        <w:rPr>
          <w:rFonts w:ascii="Times New Roman" w:eastAsia="Calibri" w:hAnsi="Times New Roman" w:cs="Times New Roman"/>
          <w:sz w:val="28"/>
          <w:szCs w:val="28"/>
          <w:lang w:eastAsia="es-ES"/>
        </w:rPr>
        <w:t>de la Ley 2277 de 2022</w:t>
      </w:r>
      <w:r w:rsidRPr="00EE2FA1">
        <w:rPr>
          <w:rFonts w:ascii="Times New Roman" w:eastAsia="Calibri" w:hAnsi="Times New Roman" w:cs="Times New Roman"/>
          <w:sz w:val="28"/>
          <w:szCs w:val="28"/>
          <w:lang w:eastAsia="es-ES"/>
        </w:rPr>
        <w:t xml:space="preserve"> (sin considerar su parágrafo primero, excluido del ordenamiento jurídico)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desconoció</w:t>
      </w:r>
      <w:r w:rsidRPr="00EE2FA1">
        <w:rPr>
          <w:rFonts w:ascii="Times New Roman" w:eastAsia="Calibri" w:hAnsi="Times New Roman" w:cs="Times New Roman"/>
          <w:sz w:val="28"/>
          <w:szCs w:val="28"/>
          <w:lang w:eastAsia="es-ES"/>
        </w:rPr>
        <w:t xml:space="preserve"> el artículo 157 de la Constitución y los artículos 157 y 173 de la Ley 5ª de 1992</w:t>
      </w:r>
      <w:r w:rsidRPr="00EE2FA1">
        <w:rPr>
          <w:rFonts w:ascii="Times New Roman" w:eastAsia="Calibri" w:hAnsi="Times New Roman" w:cs="Times New Roman"/>
          <w:sz w:val="28"/>
          <w:szCs w:val="28"/>
          <w:lang w:eastAsia="es-ES"/>
        </w:rPr>
        <w:t xml:space="preserve">, no obstante, el </w:t>
      </w:r>
      <w:r w:rsidRPr="00EE2FA1">
        <w:rPr>
          <w:rFonts w:ascii="Times New Roman" w:eastAsia="Calibri" w:hAnsi="Times New Roman" w:cs="Times New Roman"/>
          <w:sz w:val="28"/>
          <w:szCs w:val="28"/>
          <w:lang w:eastAsia="es-ES"/>
        </w:rPr>
        <w:t xml:space="preserve">vicio </w:t>
      </w:r>
      <w:r w:rsidRPr="00EE2FA1">
        <w:rPr>
          <w:rFonts w:ascii="Times New Roman" w:eastAsia="Calibri" w:hAnsi="Times New Roman" w:cs="Times New Roman"/>
          <w:sz w:val="28"/>
          <w:szCs w:val="28"/>
          <w:lang w:eastAsia="es-ES"/>
        </w:rPr>
        <w:t>fue convalidado en la actuación del Congreso</w:t>
      </w:r>
      <w:r w:rsidRPr="00EE2FA1">
        <w:rPr>
          <w:rFonts w:ascii="Times New Roman" w:eastAsia="Calibri" w:hAnsi="Times New Roman" w:cs="Times New Roman"/>
          <w:sz w:val="28"/>
          <w:szCs w:val="28"/>
          <w:lang w:eastAsia="es-ES"/>
        </w:rPr>
        <w:t xml:space="preserve">. Para tal efecto, se </w:t>
      </w:r>
      <w:r w:rsidRPr="00EE2FA1">
        <w:rPr>
          <w:rFonts w:ascii="Times New Roman" w:eastAsia="Calibri" w:hAnsi="Times New Roman" w:cs="Times New Roman"/>
          <w:sz w:val="28"/>
          <w:szCs w:val="28"/>
          <w:lang w:eastAsia="es-ES"/>
        </w:rPr>
        <w:t xml:space="preserve">desarrollarán </w:t>
      </w:r>
      <w:r w:rsidRPr="00EE2FA1">
        <w:rPr>
          <w:rFonts w:ascii="Times New Roman" w:eastAsia="Calibri" w:hAnsi="Times New Roman" w:cs="Times New Roman"/>
          <w:sz w:val="28"/>
          <w:szCs w:val="28"/>
          <w:lang w:eastAsia="es-ES"/>
        </w:rPr>
        <w:t>los siguientes aspectos: i) los antecedentes legislativos</w:t>
      </w:r>
      <w:r w:rsidRPr="00EE2FA1">
        <w:rPr>
          <w:rFonts w:ascii="Times New Roman" w:eastAsia="Calibri" w:hAnsi="Times New Roman" w:cs="Times New Roman"/>
          <w:sz w:val="28"/>
          <w:szCs w:val="28"/>
          <w:lang w:eastAsia="es-ES"/>
        </w:rPr>
        <w:t xml:space="preserve"> de</w:t>
      </w:r>
      <w:r w:rsidRPr="00EE2FA1">
        <w:rPr>
          <w:rFonts w:ascii="Times New Roman" w:eastAsia="Calibri" w:hAnsi="Times New Roman" w:cs="Times New Roman"/>
          <w:sz w:val="28"/>
          <w:szCs w:val="28"/>
          <w:lang w:eastAsia="es-ES"/>
        </w:rPr>
        <w:t xml:space="preserve"> la sesión conjunta de la</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comisiones </w:t>
      </w:r>
      <w:r w:rsidRPr="00EE2FA1">
        <w:rPr>
          <w:rFonts w:ascii="Times New Roman" w:eastAsia="Calibri" w:hAnsi="Times New Roman" w:cs="Times New Roman"/>
          <w:sz w:val="28"/>
          <w:szCs w:val="28"/>
          <w:lang w:eastAsia="es-ES"/>
        </w:rPr>
        <w:t xml:space="preserve">terceras </w:t>
      </w:r>
      <w:r w:rsidRPr="00EE2FA1">
        <w:rPr>
          <w:rFonts w:ascii="Times New Roman" w:eastAsia="Calibri" w:hAnsi="Times New Roman" w:cs="Times New Roman"/>
          <w:sz w:val="28"/>
          <w:szCs w:val="28"/>
          <w:lang w:eastAsia="es-ES"/>
        </w:rPr>
        <w:t>permanentes de Senado y Cámara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y ii) la </w:t>
      </w:r>
      <w:r w:rsidRPr="00EE2FA1">
        <w:rPr>
          <w:rFonts w:ascii="Times New Roman" w:eastAsia="Calibri" w:hAnsi="Times New Roman" w:cs="Times New Roman"/>
          <w:sz w:val="28"/>
          <w:szCs w:val="28"/>
          <w:lang w:eastAsia="es-ES"/>
        </w:rPr>
        <w:t xml:space="preserve">convalidación </w:t>
      </w:r>
      <w:r w:rsidRPr="00EE2FA1">
        <w:rPr>
          <w:rFonts w:ascii="Times New Roman" w:eastAsia="Calibri" w:hAnsi="Times New Roman" w:cs="Times New Roman"/>
          <w:sz w:val="28"/>
          <w:szCs w:val="28"/>
          <w:lang w:eastAsia="es-ES"/>
        </w:rPr>
        <w:t>de</w:t>
      </w:r>
      <w:r w:rsidRPr="00EE2FA1">
        <w:rPr>
          <w:rFonts w:ascii="Times New Roman" w:eastAsia="Calibri" w:hAnsi="Times New Roman" w:cs="Times New Roman"/>
          <w:sz w:val="28"/>
          <w:szCs w:val="28"/>
          <w:lang w:eastAsia="es-ES"/>
        </w:rPr>
        <w:t>l</w:t>
      </w:r>
      <w:r w:rsidRPr="00EE2FA1">
        <w:rPr>
          <w:rFonts w:ascii="Times New Roman" w:eastAsia="Calibri" w:hAnsi="Times New Roman" w:cs="Times New Roman"/>
          <w:sz w:val="28"/>
          <w:szCs w:val="28"/>
          <w:lang w:eastAsia="es-ES"/>
        </w:rPr>
        <w:t xml:space="preserve"> vicio en el trámite legislativo de la disposición acusada. </w:t>
      </w:r>
    </w:p>
    <w:p w:rsidR="00817A16"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Los antecedentes legislativos de la sesión conjunta</w:t>
      </w:r>
      <w:r w:rsidRPr="00EE2FA1">
        <w:rPr>
          <w:rFonts w:ascii="Times New Roman" w:eastAsia="Calibri" w:hAnsi="Times New Roman" w:cs="Times New Roman"/>
          <w:sz w:val="28"/>
          <w:szCs w:val="28"/>
          <w:lang w:eastAsia="es-ES"/>
        </w:rPr>
        <w:t xml:space="preserve">. </w:t>
      </w:r>
      <w:r w:rsidRPr="00EE2FA1">
        <w:rPr>
          <w:rFonts w:ascii="Times New Roman" w:hAnsi="Times New Roman" w:cs="Times New Roman"/>
          <w:sz w:val="28"/>
          <w:szCs w:val="28"/>
        </w:rPr>
        <w:t>El 17 de agosto de 2022, la Mesa Dire</w:t>
      </w:r>
      <w:r w:rsidRPr="00EE2FA1">
        <w:rPr>
          <w:rFonts w:ascii="Times New Roman" w:hAnsi="Times New Roman" w:cs="Times New Roman"/>
          <w:sz w:val="28"/>
          <w:szCs w:val="28"/>
        </w:rPr>
        <w:t>ctiva de la Comisión Tercera de la Cámara de Representantes designó los ponentes del proyecto de ley 118 de 2022 Cámara, 131 de 2022 Senado</w:t>
      </w:r>
      <w:r w:rsidRPr="00EE2FA1">
        <w:rPr>
          <w:rStyle w:val="Refdenotaalpie"/>
          <w:rFonts w:ascii="Times New Roman" w:hAnsi="Times New Roman" w:cs="Times New Roman"/>
          <w:sz w:val="28"/>
          <w:szCs w:val="28"/>
        </w:rPr>
        <w:footnoteReference w:id="97"/>
      </w:r>
      <w:r w:rsidRPr="00EE2FA1">
        <w:rPr>
          <w:rFonts w:ascii="Times New Roman" w:hAnsi="Times New Roman" w:cs="Times New Roman"/>
          <w:sz w:val="28"/>
          <w:szCs w:val="28"/>
        </w:rPr>
        <w:t>. En la Comisión Tercera del Senado se realizó lo propio</w:t>
      </w:r>
      <w:r w:rsidRPr="00EE2FA1">
        <w:rPr>
          <w:rStyle w:val="Refdenotaalpie"/>
          <w:rFonts w:ascii="Times New Roman" w:hAnsi="Times New Roman" w:cs="Times New Roman"/>
          <w:sz w:val="28"/>
          <w:szCs w:val="28"/>
        </w:rPr>
        <w:footnoteReference w:id="98"/>
      </w:r>
      <w:r w:rsidRPr="00EE2FA1">
        <w:rPr>
          <w:rFonts w:ascii="Times New Roman" w:hAnsi="Times New Roman" w:cs="Times New Roman"/>
          <w:sz w:val="28"/>
          <w:szCs w:val="28"/>
        </w:rPr>
        <w:t>.</w:t>
      </w:r>
    </w:p>
    <w:p w:rsidR="00697B86"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En relación con el referido proyecto de ley se </w:t>
      </w:r>
      <w:r w:rsidRPr="00EE2FA1">
        <w:rPr>
          <w:rFonts w:ascii="Times New Roman" w:hAnsi="Times New Roman" w:cs="Times New Roman"/>
          <w:sz w:val="28"/>
          <w:szCs w:val="28"/>
        </w:rPr>
        <w:t>presentaron dos ponencias. Una positiva suscrita por los representantes a la Cámara Jorge Hernán Bastidas Rosero, Katherine Miranda Peña, Álvaro Henry Monedero Rivera, Carlos Alberto Carreño Marín, Leonardo de Jesús Gallego Arroyave, Karen Astrith Manrique</w:t>
      </w:r>
      <w:r w:rsidRPr="00EE2FA1">
        <w:rPr>
          <w:rFonts w:ascii="Times New Roman" w:hAnsi="Times New Roman" w:cs="Times New Roman"/>
          <w:sz w:val="28"/>
          <w:szCs w:val="28"/>
        </w:rPr>
        <w:t xml:space="preserve"> Olarte, Wadith Alberto Manzur Imbett, Juan Diego Muñoz Cabrera, Saray Elena Robayo Bechara; y por los senadores Juan Diego Echavarría Sánchez, Juan Carlos Garcés Rojas, Clara Eugenia López Obregón, Jairo Alberto Castellanos Serrano, Efraín Cepeda Sarabia,</w:t>
      </w:r>
      <w:r w:rsidRPr="00EE2FA1">
        <w:rPr>
          <w:rFonts w:ascii="Times New Roman" w:hAnsi="Times New Roman" w:cs="Times New Roman"/>
          <w:sz w:val="28"/>
          <w:szCs w:val="28"/>
        </w:rPr>
        <w:t xml:space="preserve"> Imelda Daza Cotes, Ana Carolina Espitia Jerez y Juan Pablo Gallo Maya</w:t>
      </w:r>
      <w:r w:rsidRPr="00EE2FA1">
        <w:rPr>
          <w:rStyle w:val="Refdenotaalpie"/>
          <w:rFonts w:ascii="Times New Roman" w:hAnsi="Times New Roman" w:cs="Times New Roman"/>
          <w:sz w:val="28"/>
          <w:szCs w:val="28"/>
        </w:rPr>
        <w:footnoteReference w:id="99"/>
      </w:r>
      <w:r w:rsidRPr="00EE2FA1">
        <w:rPr>
          <w:rFonts w:ascii="Times New Roman" w:hAnsi="Times New Roman" w:cs="Times New Roman"/>
          <w:sz w:val="28"/>
          <w:szCs w:val="28"/>
        </w:rPr>
        <w:t>. Otra negativa, que solicitaba el archivo de la iniciativa, presentada por el senador Miguel Uribe Turbay y el representante a la Cámara, Óscar Darío Pérez Pineda</w:t>
      </w:r>
      <w:r w:rsidRPr="00EE2FA1">
        <w:rPr>
          <w:rStyle w:val="Refdenotaalpie"/>
          <w:rFonts w:ascii="Times New Roman" w:hAnsi="Times New Roman" w:cs="Times New Roman"/>
          <w:sz w:val="28"/>
          <w:szCs w:val="28"/>
        </w:rPr>
        <w:footnoteReference w:id="100"/>
      </w:r>
      <w:r w:rsidRPr="00EE2FA1">
        <w:rPr>
          <w:rFonts w:ascii="Times New Roman" w:hAnsi="Times New Roman" w:cs="Times New Roman"/>
          <w:sz w:val="28"/>
          <w:szCs w:val="28"/>
        </w:rPr>
        <w:t xml:space="preserve">. </w:t>
      </w:r>
    </w:p>
    <w:p w:rsidR="00697B86"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El 6 de octubre d</w:t>
      </w:r>
      <w:r w:rsidRPr="00EE2FA1">
        <w:rPr>
          <w:rFonts w:ascii="Times New Roman" w:hAnsi="Times New Roman" w:cs="Times New Roman"/>
          <w:sz w:val="28"/>
          <w:szCs w:val="28"/>
        </w:rPr>
        <w:t>e 2022 inició la sesión ordinaria de las Comisiones Económicas Conjuntas Terceras de la Cámara de Representantes y del Senado de la República</w:t>
      </w:r>
      <w:r w:rsidRPr="00EE2FA1">
        <w:rPr>
          <w:rStyle w:val="Refdenotaalpie"/>
          <w:rFonts w:ascii="Times New Roman" w:hAnsi="Times New Roman" w:cs="Times New Roman"/>
          <w:sz w:val="28"/>
          <w:szCs w:val="28"/>
        </w:rPr>
        <w:footnoteReference w:id="101"/>
      </w:r>
      <w:r w:rsidRPr="00EE2FA1">
        <w:rPr>
          <w:rFonts w:ascii="Times New Roman" w:hAnsi="Times New Roman" w:cs="Times New Roman"/>
          <w:sz w:val="28"/>
          <w:szCs w:val="28"/>
        </w:rPr>
        <w:t>. Después de registrar quórum decisorio en ambas comisiones</w:t>
      </w:r>
      <w:r w:rsidRPr="00EE2FA1">
        <w:rPr>
          <w:rStyle w:val="Refdenotaalpie"/>
          <w:rFonts w:ascii="Times New Roman" w:hAnsi="Times New Roman" w:cs="Times New Roman"/>
          <w:sz w:val="28"/>
          <w:szCs w:val="28"/>
        </w:rPr>
        <w:footnoteReference w:id="102"/>
      </w:r>
      <w:r w:rsidRPr="00EE2FA1">
        <w:rPr>
          <w:rFonts w:ascii="Times New Roman" w:hAnsi="Times New Roman" w:cs="Times New Roman"/>
          <w:sz w:val="28"/>
          <w:szCs w:val="28"/>
        </w:rPr>
        <w:t>, continuó la ejecución del orden del día en el cual e</w:t>
      </w:r>
      <w:r w:rsidRPr="00EE2FA1">
        <w:rPr>
          <w:rFonts w:ascii="Times New Roman" w:hAnsi="Times New Roman" w:cs="Times New Roman"/>
          <w:sz w:val="28"/>
          <w:szCs w:val="28"/>
        </w:rPr>
        <w:t>staba previsto el estudio, discusión y votación en primer debate del proyecto de ley</w:t>
      </w:r>
      <w:r w:rsidRPr="00EE2FA1">
        <w:rPr>
          <w:rStyle w:val="Refdenotaalpie"/>
          <w:rFonts w:ascii="Times New Roman" w:hAnsi="Times New Roman" w:cs="Times New Roman"/>
          <w:sz w:val="28"/>
          <w:szCs w:val="28"/>
        </w:rPr>
        <w:footnoteReference w:id="103"/>
      </w:r>
      <w:r w:rsidRPr="00EE2FA1">
        <w:rPr>
          <w:rFonts w:ascii="Times New Roman" w:hAnsi="Times New Roman" w:cs="Times New Roman"/>
          <w:sz w:val="28"/>
          <w:szCs w:val="28"/>
        </w:rPr>
        <w:t>. Posteriormente, fueron votadas dos proposiciones de aplazamiento del debate</w:t>
      </w:r>
      <w:r w:rsidRPr="00EE2FA1">
        <w:rPr>
          <w:rStyle w:val="Refdenotaalpie"/>
          <w:rFonts w:ascii="Times New Roman" w:hAnsi="Times New Roman" w:cs="Times New Roman"/>
          <w:sz w:val="28"/>
          <w:szCs w:val="28"/>
        </w:rPr>
        <w:footnoteReference w:id="104"/>
      </w:r>
      <w:r w:rsidRPr="00EE2FA1">
        <w:rPr>
          <w:rFonts w:ascii="Times New Roman" w:hAnsi="Times New Roman" w:cs="Times New Roman"/>
          <w:sz w:val="28"/>
          <w:szCs w:val="28"/>
        </w:rPr>
        <w:t>, en las que 23 representantes votaron no y 4 representantes votaron sí. Por lo tanto, la Com</w:t>
      </w:r>
      <w:r w:rsidRPr="00EE2FA1">
        <w:rPr>
          <w:rFonts w:ascii="Times New Roman" w:hAnsi="Times New Roman" w:cs="Times New Roman"/>
          <w:sz w:val="28"/>
          <w:szCs w:val="28"/>
        </w:rPr>
        <w:t xml:space="preserve">isión Tercera de la Cámara negó las </w:t>
      </w:r>
      <w:r w:rsidRPr="00EE2FA1">
        <w:rPr>
          <w:rFonts w:ascii="Times New Roman" w:hAnsi="Times New Roman" w:cs="Times New Roman"/>
          <w:sz w:val="28"/>
          <w:szCs w:val="28"/>
        </w:rPr>
        <w:t xml:space="preserve">citadas </w:t>
      </w:r>
      <w:r w:rsidRPr="00EE2FA1">
        <w:rPr>
          <w:rFonts w:ascii="Times New Roman" w:hAnsi="Times New Roman" w:cs="Times New Roman"/>
          <w:sz w:val="28"/>
          <w:szCs w:val="28"/>
        </w:rPr>
        <w:t>proposiciones. Ante ese resultado la presidenta de las comisiones conjuntas manifestó que “[n]egada en una de las Cámaras, no es necesario poner a consideración de Senado”</w:t>
      </w:r>
      <w:r w:rsidRPr="00EE2FA1">
        <w:rPr>
          <w:rStyle w:val="Refdenotaalpie"/>
          <w:rFonts w:ascii="Times New Roman" w:hAnsi="Times New Roman" w:cs="Times New Roman"/>
          <w:sz w:val="28"/>
          <w:szCs w:val="28"/>
        </w:rPr>
        <w:footnoteReference w:id="105"/>
      </w:r>
      <w:r w:rsidRPr="00EE2FA1">
        <w:rPr>
          <w:rFonts w:ascii="Times New Roman" w:hAnsi="Times New Roman" w:cs="Times New Roman"/>
          <w:sz w:val="28"/>
          <w:szCs w:val="28"/>
        </w:rPr>
        <w:t>. Paso seguido, se sometieron a votación</w:t>
      </w:r>
      <w:r w:rsidRPr="00EE2FA1">
        <w:rPr>
          <w:rFonts w:ascii="Times New Roman" w:hAnsi="Times New Roman" w:cs="Times New Roman"/>
          <w:sz w:val="28"/>
          <w:szCs w:val="28"/>
        </w:rPr>
        <w:t xml:space="preserve"> distintos impedimentos manifestados por los congresistas</w:t>
      </w:r>
      <w:r w:rsidRPr="00EE2FA1">
        <w:rPr>
          <w:rStyle w:val="Refdenotaalpie"/>
          <w:rFonts w:ascii="Times New Roman" w:hAnsi="Times New Roman" w:cs="Times New Roman"/>
          <w:sz w:val="28"/>
          <w:szCs w:val="28"/>
        </w:rPr>
        <w:footnoteReference w:id="106"/>
      </w:r>
      <w:r w:rsidRPr="00EE2FA1">
        <w:rPr>
          <w:rFonts w:ascii="Times New Roman" w:hAnsi="Times New Roman" w:cs="Times New Roman"/>
          <w:sz w:val="28"/>
          <w:szCs w:val="28"/>
        </w:rPr>
        <w:t>.</w:t>
      </w:r>
    </w:p>
    <w:p w:rsidR="00697B86"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Una vez efectuada la votación de los impedimentos, la presidenta de las comisiones conjuntas indicó que la ponencia negativa sería discutida primero y ordenó a la secretaría leer la proposición c</w:t>
      </w:r>
      <w:r w:rsidRPr="00EE2FA1">
        <w:rPr>
          <w:rFonts w:ascii="Times New Roman" w:hAnsi="Times New Roman" w:cs="Times New Roman"/>
          <w:sz w:val="28"/>
          <w:szCs w:val="28"/>
        </w:rPr>
        <w:t>on la que terminaba la ponencia</w:t>
      </w:r>
      <w:r w:rsidRPr="00EE2FA1">
        <w:rPr>
          <w:rStyle w:val="Refdenotaalpie"/>
          <w:rFonts w:ascii="Times New Roman" w:hAnsi="Times New Roman" w:cs="Times New Roman"/>
          <w:sz w:val="28"/>
          <w:szCs w:val="28"/>
        </w:rPr>
        <w:footnoteReference w:id="107"/>
      </w:r>
      <w:r w:rsidRPr="00EE2FA1">
        <w:rPr>
          <w:rFonts w:ascii="Times New Roman" w:hAnsi="Times New Roman" w:cs="Times New Roman"/>
          <w:sz w:val="28"/>
          <w:szCs w:val="28"/>
        </w:rPr>
        <w:t>. Leída la proposición, se les otorgó la palabra a sus autores para exponerla</w:t>
      </w:r>
      <w:r w:rsidRPr="00EE2FA1">
        <w:rPr>
          <w:rStyle w:val="Refdenotaalpie"/>
          <w:rFonts w:ascii="Times New Roman" w:hAnsi="Times New Roman" w:cs="Times New Roman"/>
          <w:sz w:val="28"/>
          <w:szCs w:val="28"/>
        </w:rPr>
        <w:footnoteReference w:id="108"/>
      </w:r>
      <w:r w:rsidRPr="00EE2FA1">
        <w:rPr>
          <w:rFonts w:ascii="Times New Roman" w:hAnsi="Times New Roman" w:cs="Times New Roman"/>
          <w:sz w:val="28"/>
          <w:szCs w:val="28"/>
        </w:rPr>
        <w:t xml:space="preserve">. Después de que se cerrara la discusión, se sometió a votación la </w:t>
      </w:r>
      <w:r w:rsidRPr="00EE2FA1">
        <w:rPr>
          <w:rFonts w:ascii="Times New Roman" w:hAnsi="Times New Roman" w:cs="Times New Roman"/>
          <w:sz w:val="28"/>
          <w:szCs w:val="28"/>
        </w:rPr>
        <w:t xml:space="preserve">ponencia negativa </w:t>
      </w:r>
      <w:r w:rsidRPr="00EE2FA1">
        <w:rPr>
          <w:rFonts w:ascii="Times New Roman" w:hAnsi="Times New Roman" w:cs="Times New Roman"/>
          <w:sz w:val="28"/>
          <w:szCs w:val="28"/>
        </w:rPr>
        <w:t>en la Comisión Tercera de la Cámara</w:t>
      </w:r>
      <w:r w:rsidRPr="00EE2FA1">
        <w:rPr>
          <w:rStyle w:val="Refdenotaalpie"/>
          <w:rFonts w:ascii="Times New Roman" w:hAnsi="Times New Roman" w:cs="Times New Roman"/>
          <w:sz w:val="28"/>
          <w:szCs w:val="28"/>
        </w:rPr>
        <w:footnoteReference w:id="109"/>
      </w:r>
      <w:r w:rsidRPr="00EE2FA1">
        <w:rPr>
          <w:rFonts w:ascii="Times New Roman" w:hAnsi="Times New Roman" w:cs="Times New Roman"/>
          <w:sz w:val="28"/>
          <w:szCs w:val="28"/>
        </w:rPr>
        <w:t>. El resultado de la vota</w:t>
      </w:r>
      <w:r w:rsidRPr="00EE2FA1">
        <w:rPr>
          <w:rFonts w:ascii="Times New Roman" w:hAnsi="Times New Roman" w:cs="Times New Roman"/>
          <w:sz w:val="28"/>
          <w:szCs w:val="28"/>
        </w:rPr>
        <w:t>ción fue el siguiente: “Por el Sí, tres (3); por el No, veinticuatro (24); ha sido negada la proposición con que termina el informe de ponencia negativa, presentado por el Senador Uribe y el Representante Óscar Darío Pérez”</w:t>
      </w:r>
      <w:r w:rsidRPr="00EE2FA1">
        <w:rPr>
          <w:rStyle w:val="Refdenotaalpie"/>
          <w:rFonts w:ascii="Times New Roman" w:hAnsi="Times New Roman" w:cs="Times New Roman"/>
          <w:sz w:val="28"/>
          <w:szCs w:val="28"/>
        </w:rPr>
        <w:footnoteReference w:id="110"/>
      </w:r>
      <w:r w:rsidRPr="00EE2FA1">
        <w:rPr>
          <w:rFonts w:ascii="Times New Roman" w:hAnsi="Times New Roman" w:cs="Times New Roman"/>
          <w:sz w:val="28"/>
          <w:szCs w:val="28"/>
        </w:rPr>
        <w:t xml:space="preserve">. A continuación, la presidenta </w:t>
      </w:r>
      <w:r w:rsidRPr="00EE2FA1">
        <w:rPr>
          <w:rFonts w:ascii="Times New Roman" w:hAnsi="Times New Roman" w:cs="Times New Roman"/>
          <w:sz w:val="28"/>
          <w:szCs w:val="28"/>
        </w:rPr>
        <w:t>de las comisiones conjuntas manifestó que: “Negada la proposición, perdón, la ponencia, no se hace necesario que sea negada también por la otra Cámara”</w:t>
      </w:r>
      <w:r w:rsidRPr="00EE2FA1">
        <w:rPr>
          <w:rStyle w:val="Refdenotaalpie"/>
          <w:rFonts w:ascii="Times New Roman" w:hAnsi="Times New Roman" w:cs="Times New Roman"/>
          <w:sz w:val="28"/>
          <w:szCs w:val="28"/>
        </w:rPr>
        <w:footnoteReference w:id="111"/>
      </w:r>
      <w:r w:rsidRPr="00EE2FA1">
        <w:rPr>
          <w:rFonts w:ascii="Times New Roman" w:hAnsi="Times New Roman" w:cs="Times New Roman"/>
          <w:sz w:val="28"/>
          <w:szCs w:val="28"/>
        </w:rPr>
        <w:t>.</w:t>
      </w:r>
    </w:p>
    <w:p w:rsidR="00F3323C"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F3323C"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Seguidamente, la presidenta otorgó la palabra al senador Uribe Turbay quien expuso lo siguiente: </w:t>
      </w:r>
    </w:p>
    <w:p w:rsidR="00F3323C" w:rsidRPr="00EE2FA1" w:rsidRDefault="00EE2FA1" w:rsidP="00C833B9">
      <w:pPr>
        <w:tabs>
          <w:tab w:val="left" w:pos="426"/>
        </w:tabs>
        <w:spacing w:line="0" w:lineRule="atLeast"/>
        <w:jc w:val="both"/>
        <w:rPr>
          <w:rFonts w:ascii="Times New Roman" w:hAnsi="Times New Roman" w:cs="Times New Roman"/>
          <w:sz w:val="28"/>
          <w:szCs w:val="28"/>
        </w:rPr>
      </w:pPr>
    </w:p>
    <w:p w:rsidR="00F3323C" w:rsidRPr="00EE2FA1" w:rsidRDefault="00EE2FA1" w:rsidP="00C833B9">
      <w:pPr>
        <w:pStyle w:val="Prrafodelista"/>
        <w:spacing w:line="0" w:lineRule="atLeast"/>
        <w:ind w:left="567"/>
        <w:jc w:val="both"/>
        <w:rPr>
          <w:rFonts w:ascii="Times New Roman" w:hAnsi="Times New Roman" w:cs="Times New Roman"/>
          <w:sz w:val="28"/>
        </w:rPr>
      </w:pPr>
      <w:r w:rsidRPr="00EE2FA1">
        <w:rPr>
          <w:rFonts w:ascii="Times New Roman" w:hAnsi="Times New Roman" w:cs="Times New Roman"/>
          <w:sz w:val="28"/>
        </w:rPr>
        <w:t>“c</w:t>
      </w:r>
      <w:r w:rsidRPr="00EE2FA1">
        <w:rPr>
          <w:rFonts w:ascii="Times New Roman" w:hAnsi="Times New Roman" w:cs="Times New Roman"/>
          <w:sz w:val="28"/>
        </w:rPr>
        <w:t>omo bien no se pone en consideración de la Comisión Tercera de Senado, pues, evidentemente yo hubiera apoyado irrestrictamente mi ponencia. Solo es para decirle eso a usted y a los colombianos que les preocupa esta ponencia, que evidentemente en la Cámara,</w:t>
      </w:r>
      <w:r w:rsidRPr="00EE2FA1">
        <w:rPr>
          <w:rFonts w:ascii="Times New Roman" w:hAnsi="Times New Roman" w:cs="Times New Roman"/>
          <w:sz w:val="28"/>
        </w:rPr>
        <w:t xml:space="preserve"> Ciro Ramírez y yo, hubiéramos apoyado esta ponencia negativa a esta Tributaria inconveniente que aumentará la pobreza, el desempleo y la inflación”</w:t>
      </w:r>
      <w:r w:rsidRPr="00EE2FA1">
        <w:rPr>
          <w:rStyle w:val="Refdenotaalpie"/>
          <w:rFonts w:ascii="Times New Roman" w:hAnsi="Times New Roman" w:cs="Times New Roman"/>
          <w:sz w:val="28"/>
        </w:rPr>
        <w:footnoteReference w:id="112"/>
      </w:r>
      <w:r w:rsidRPr="00EE2FA1">
        <w:rPr>
          <w:rFonts w:ascii="Times New Roman" w:hAnsi="Times New Roman" w:cs="Times New Roman"/>
          <w:sz w:val="28"/>
        </w:rPr>
        <w:t>.</w:t>
      </w:r>
    </w:p>
    <w:p w:rsidR="00697B86"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Lo descrito </w:t>
      </w:r>
      <w:r w:rsidRPr="00EE2FA1">
        <w:rPr>
          <w:rFonts w:ascii="Times New Roman" w:hAnsi="Times New Roman" w:cs="Times New Roman"/>
          <w:sz w:val="28"/>
          <w:szCs w:val="28"/>
        </w:rPr>
        <w:t>fue</w:t>
      </w:r>
      <w:r w:rsidRPr="00EE2FA1">
        <w:rPr>
          <w:rFonts w:ascii="Times New Roman" w:hAnsi="Times New Roman" w:cs="Times New Roman"/>
          <w:sz w:val="28"/>
          <w:szCs w:val="28"/>
        </w:rPr>
        <w:t xml:space="preserve"> corroborado por la congresista que presidió esa sesión. Al respecto, la representante a </w:t>
      </w:r>
      <w:r w:rsidRPr="00EE2FA1">
        <w:rPr>
          <w:rFonts w:ascii="Times New Roman" w:hAnsi="Times New Roman" w:cs="Times New Roman"/>
          <w:sz w:val="28"/>
          <w:szCs w:val="28"/>
        </w:rPr>
        <w:t>la Cámara Katherine Miranda Peña intervino en el presente trámite constitucional y reprodujo lo dicho por la secretaria general de la Comisión Tercera de la Cámara de Representantes que, a su vez, reiteró lo descrito en la Gaceta del Congreso 1616 de 2022.</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A</w:t>
      </w:r>
      <w:r w:rsidRPr="00EE2FA1">
        <w:rPr>
          <w:rFonts w:ascii="Times New Roman" w:hAnsi="Times New Roman" w:cs="Times New Roman"/>
          <w:sz w:val="28"/>
          <w:szCs w:val="28"/>
        </w:rPr>
        <w:t>mbas servidoras públicas manifestaron que “una vez negada una propuesta en cualquiera de las comisiones, se entiende negada por las demás”</w:t>
      </w:r>
      <w:r w:rsidRPr="00EE2FA1">
        <w:rPr>
          <w:rStyle w:val="Refdenotaalpie"/>
          <w:rFonts w:ascii="Times New Roman" w:hAnsi="Times New Roman" w:cs="Times New Roman"/>
          <w:sz w:val="28"/>
          <w:szCs w:val="28"/>
        </w:rPr>
        <w:footnoteReference w:id="113"/>
      </w:r>
      <w:r w:rsidRPr="00EE2FA1">
        <w:rPr>
          <w:rFonts w:ascii="Times New Roman" w:hAnsi="Times New Roman" w:cs="Times New Roman"/>
          <w:sz w:val="28"/>
          <w:szCs w:val="28"/>
        </w:rPr>
        <w:t>.</w:t>
      </w:r>
    </w:p>
    <w:p w:rsidR="00697B86"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697B86" w:rsidRPr="00EE2FA1" w:rsidRDefault="00EE2FA1" w:rsidP="00C833B9">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De acuerdo con lo expuesto, </w:t>
      </w:r>
      <w:r w:rsidRPr="00EE2FA1">
        <w:rPr>
          <w:rFonts w:ascii="Times New Roman" w:hAnsi="Times New Roman" w:cs="Times New Roman"/>
          <w:sz w:val="28"/>
          <w:szCs w:val="28"/>
        </w:rPr>
        <w:t>la Sala concluye</w:t>
      </w:r>
      <w:r w:rsidRPr="00EE2FA1">
        <w:rPr>
          <w:rFonts w:ascii="Times New Roman" w:hAnsi="Times New Roman" w:cs="Times New Roman"/>
          <w:sz w:val="28"/>
          <w:szCs w:val="28"/>
        </w:rPr>
        <w:t xml:space="preserve"> que en la sesión conjunta de las comisiones terceras del Senado y d</w:t>
      </w:r>
      <w:r w:rsidRPr="00EE2FA1">
        <w:rPr>
          <w:rFonts w:ascii="Times New Roman" w:hAnsi="Times New Roman" w:cs="Times New Roman"/>
          <w:sz w:val="28"/>
          <w:szCs w:val="28"/>
        </w:rPr>
        <w:t>e la Cámara de Representantes</w:t>
      </w:r>
      <w:r w:rsidRPr="00EE2FA1">
        <w:rPr>
          <w:rFonts w:ascii="Times New Roman" w:hAnsi="Times New Roman" w:cs="Times New Roman"/>
          <w:sz w:val="28"/>
          <w:szCs w:val="28"/>
        </w:rPr>
        <w:t xml:space="preserve">, la mesa directiva consideró que al haber sido </w:t>
      </w:r>
      <w:r w:rsidRPr="00EE2FA1">
        <w:rPr>
          <w:rFonts w:ascii="Times New Roman" w:hAnsi="Times New Roman" w:cs="Times New Roman"/>
          <w:sz w:val="28"/>
          <w:szCs w:val="28"/>
        </w:rPr>
        <w:t>negada la ponencia</w:t>
      </w:r>
      <w:r w:rsidRPr="00EE2FA1">
        <w:rPr>
          <w:rFonts w:ascii="Times New Roman" w:hAnsi="Times New Roman" w:cs="Times New Roman"/>
          <w:sz w:val="28"/>
          <w:szCs w:val="28"/>
        </w:rPr>
        <w:t xml:space="preserve"> de archivo por la Comisión Tercera de la Cámara no era necesaria su votación por la comisión homóloga del Senado.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Dicha</w:t>
      </w:r>
      <w:r w:rsidRPr="00EE2FA1">
        <w:rPr>
          <w:rFonts w:ascii="Times New Roman" w:hAnsi="Times New Roman" w:cs="Times New Roman"/>
          <w:sz w:val="28"/>
          <w:szCs w:val="28"/>
        </w:rPr>
        <w:t xml:space="preserve"> actuación configuró un vicio de inconsti</w:t>
      </w:r>
      <w:r w:rsidRPr="00EE2FA1">
        <w:rPr>
          <w:rFonts w:ascii="Times New Roman" w:hAnsi="Times New Roman" w:cs="Times New Roman"/>
          <w:sz w:val="28"/>
          <w:szCs w:val="28"/>
        </w:rPr>
        <w:t xml:space="preserve">tucionalidad </w:t>
      </w:r>
      <w:r w:rsidRPr="00EE2FA1">
        <w:rPr>
          <w:rFonts w:ascii="Times New Roman" w:hAnsi="Times New Roman" w:cs="Times New Roman"/>
          <w:sz w:val="28"/>
          <w:szCs w:val="28"/>
        </w:rPr>
        <w:t xml:space="preserve">pero aquel fue convalidado </w:t>
      </w:r>
      <w:r w:rsidRPr="00EE2FA1">
        <w:rPr>
          <w:rFonts w:ascii="Times New Roman" w:hAnsi="Times New Roman" w:cs="Times New Roman"/>
          <w:sz w:val="28"/>
          <w:szCs w:val="28"/>
        </w:rPr>
        <w:t xml:space="preserve">como se expone a continuación. </w:t>
      </w:r>
    </w:p>
    <w:p w:rsidR="00503F1D" w:rsidRPr="00EE2FA1" w:rsidRDefault="00EE2FA1" w:rsidP="00503F1D">
      <w:pPr>
        <w:pStyle w:val="Prrafodelista"/>
        <w:rPr>
          <w:rFonts w:ascii="Times New Roman" w:hAnsi="Times New Roman" w:cs="Times New Roman"/>
          <w:sz w:val="28"/>
          <w:szCs w:val="28"/>
        </w:rPr>
      </w:pPr>
    </w:p>
    <w:p w:rsidR="00EC5A9C" w:rsidRPr="00EE2FA1" w:rsidRDefault="00EE2FA1" w:rsidP="001850B8">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i/>
          <w:iCs/>
          <w:sz w:val="28"/>
          <w:szCs w:val="28"/>
        </w:rPr>
        <w:t>Presupuestos de análisis</w:t>
      </w:r>
      <w:r w:rsidRPr="00EE2FA1">
        <w:rPr>
          <w:rFonts w:ascii="Times New Roman" w:hAnsi="Times New Roman" w:cs="Times New Roman"/>
          <w:sz w:val="28"/>
          <w:szCs w:val="28"/>
        </w:rPr>
        <w:t xml:space="preserve">. El </w:t>
      </w:r>
      <w:r w:rsidRPr="00EE2FA1">
        <w:rPr>
          <w:rFonts w:ascii="Times New Roman" w:hAnsi="Times New Roman" w:cs="Times New Roman"/>
          <w:sz w:val="28"/>
          <w:szCs w:val="28"/>
        </w:rPr>
        <w:t xml:space="preserve">Auto </w:t>
      </w:r>
      <w:r w:rsidRPr="00EE2FA1">
        <w:rPr>
          <w:rFonts w:ascii="Times New Roman" w:hAnsi="Times New Roman" w:cs="Times New Roman"/>
          <w:sz w:val="28"/>
          <w:szCs w:val="28"/>
        </w:rPr>
        <w:t>705 de 2024</w:t>
      </w:r>
      <w:r w:rsidRPr="00EE2FA1">
        <w:rPr>
          <w:rStyle w:val="Refdenotaalpie"/>
          <w:rFonts w:ascii="Times New Roman" w:hAnsi="Times New Roman" w:cs="Times New Roman"/>
          <w:sz w:val="28"/>
          <w:szCs w:val="28"/>
        </w:rPr>
        <w:footnoteReference w:id="114"/>
      </w:r>
      <w:r w:rsidRPr="00EE2FA1">
        <w:rPr>
          <w:rFonts w:ascii="Times New Roman" w:hAnsi="Times New Roman" w:cs="Times New Roman"/>
          <w:sz w:val="28"/>
          <w:szCs w:val="28"/>
        </w:rPr>
        <w:t xml:space="preserve"> precisó que l</w:t>
      </w:r>
      <w:r w:rsidRPr="00EE2FA1">
        <w:rPr>
          <w:rFonts w:ascii="Times New Roman" w:hAnsi="Times New Roman" w:cs="Times New Roman"/>
          <w:sz w:val="28"/>
          <w:szCs w:val="28"/>
          <w:lang w:val="es-ES"/>
        </w:rPr>
        <w:t>os supuestos de irregularidad o vicios de procedimiento</w:t>
      </w:r>
      <w:r w:rsidRPr="00EE2FA1">
        <w:rPr>
          <w:rFonts w:ascii="Times New Roman" w:hAnsi="Times New Roman" w:cs="Times New Roman"/>
          <w:sz w:val="28"/>
          <w:szCs w:val="28"/>
          <w:lang w:val="es-ES"/>
        </w:rPr>
        <w:t xml:space="preserve"> legislativo</w:t>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pueden ser del siguiente orden</w:t>
      </w:r>
      <w:r w:rsidRPr="00EE2FA1">
        <w:rPr>
          <w:rFonts w:ascii="Times New Roman" w:hAnsi="Times New Roman" w:cs="Times New Roman"/>
          <w:sz w:val="28"/>
          <w:szCs w:val="28"/>
          <w:lang w:val="es-ES"/>
        </w:rPr>
        <w:t xml:space="preserve">: (i) errores de trámite </w:t>
      </w:r>
      <w:r w:rsidRPr="00EE2FA1">
        <w:rPr>
          <w:rFonts w:ascii="Times New Roman" w:hAnsi="Times New Roman" w:cs="Times New Roman"/>
          <w:sz w:val="28"/>
          <w:szCs w:val="28"/>
          <w:lang w:val="es-ES"/>
        </w:rPr>
        <w:t>que, por su intrascendencia, no afectan de ninguna forma propósitos sustantivos. En este caso no se está, en estricto sentido, ante un vicio de procedimiento, por lo que no hay lugar a la subsanación; (ii) defectos de trámite que, si bien tuvieron ocurrenc</w:t>
      </w:r>
      <w:r w:rsidRPr="00EE2FA1">
        <w:rPr>
          <w:rFonts w:ascii="Times New Roman" w:hAnsi="Times New Roman" w:cs="Times New Roman"/>
          <w:sz w:val="28"/>
          <w:szCs w:val="28"/>
          <w:lang w:val="es-ES"/>
        </w:rPr>
        <w:t>ia, son convalidados en el proceso mismo de formación de la ley, en la medida en que se haya cumplido el propósito que la regla de procedimiento pretendía proteger, o la irregularidad haya sido expresamente subsanada por una autoridad que tenía competencia</w:t>
      </w:r>
      <w:r w:rsidRPr="00EE2FA1">
        <w:rPr>
          <w:rFonts w:ascii="Times New Roman" w:hAnsi="Times New Roman" w:cs="Times New Roman"/>
          <w:sz w:val="28"/>
          <w:szCs w:val="28"/>
          <w:lang w:val="es-ES"/>
        </w:rPr>
        <w:t xml:space="preserve"> para efectuar el saneamiento; (iii) vicios que son identificados por la Corte en el control de inconstitucionalidad, respecto de los cuales aplica la fórmula de subsanación prevista en el parágrafo del artículo 241 superior; y (iv) vicios que también son </w:t>
      </w:r>
      <w:r w:rsidRPr="00EE2FA1">
        <w:rPr>
          <w:rFonts w:ascii="Times New Roman" w:hAnsi="Times New Roman" w:cs="Times New Roman"/>
          <w:sz w:val="28"/>
          <w:szCs w:val="28"/>
          <w:lang w:val="es-ES"/>
        </w:rPr>
        <w:t>advertidos en el escrutinio judicial, pero que pueden ser subsanados por la misma Corte</w:t>
      </w:r>
      <w:r w:rsidRPr="00EE2FA1">
        <w:rPr>
          <w:rStyle w:val="Refdenotaalpie"/>
          <w:rFonts w:ascii="Times New Roman" w:eastAsia="MS Gothic" w:hAnsi="Times New Roman" w:cs="Times New Roman"/>
          <w:sz w:val="28"/>
          <w:szCs w:val="28"/>
          <w:lang w:val="es-ES"/>
        </w:rPr>
        <w:footnoteReference w:id="115"/>
      </w:r>
      <w:r w:rsidRPr="00EE2FA1">
        <w:rPr>
          <w:rFonts w:ascii="Times New Roman" w:hAnsi="Times New Roman" w:cs="Times New Roman"/>
          <w:sz w:val="28"/>
          <w:szCs w:val="28"/>
          <w:lang w:val="es-ES"/>
        </w:rPr>
        <w:t>.</w:t>
      </w:r>
    </w:p>
    <w:p w:rsidR="00253455" w:rsidRPr="00EE2FA1" w:rsidRDefault="00EE2FA1" w:rsidP="00C673CB">
      <w:pPr>
        <w:pStyle w:val="Prrafodelista"/>
        <w:tabs>
          <w:tab w:val="left" w:pos="426"/>
        </w:tabs>
        <w:spacing w:line="0" w:lineRule="atLeast"/>
        <w:ind w:left="0"/>
        <w:jc w:val="both"/>
        <w:rPr>
          <w:rFonts w:ascii="Times New Roman" w:hAnsi="Times New Roman" w:cs="Times New Roman"/>
          <w:sz w:val="28"/>
          <w:szCs w:val="28"/>
        </w:rPr>
      </w:pPr>
    </w:p>
    <w:p w:rsidR="00503F1D" w:rsidRPr="00EE2FA1" w:rsidRDefault="00EE2FA1" w:rsidP="002C41C1">
      <w:pPr>
        <w:pStyle w:val="Prrafodelista"/>
        <w:numPr>
          <w:ilvl w:val="0"/>
          <w:numId w:val="1"/>
        </w:numPr>
        <w:shd w:val="clear" w:color="auto" w:fill="FFFFFF"/>
        <w:spacing w:line="0" w:lineRule="atLeast"/>
        <w:ind w:left="0" w:right="51" w:firstLine="0"/>
        <w:jc w:val="both"/>
        <w:textAlignment w:val="baseline"/>
        <w:rPr>
          <w:rFonts w:ascii="Times New Roman" w:hAnsi="Times New Roman" w:cs="Times New Roman"/>
          <w:sz w:val="28"/>
          <w:szCs w:val="28"/>
          <w:bdr w:val="none" w:sz="0" w:space="0" w:color="auto" w:frame="1"/>
          <w:lang w:val="es-ES_tradnl"/>
        </w:rPr>
      </w:pPr>
      <w:r w:rsidRPr="00EE2FA1">
        <w:rPr>
          <w:rFonts w:ascii="Times New Roman" w:hAnsi="Times New Roman" w:cs="Times New Roman"/>
          <w:sz w:val="28"/>
          <w:szCs w:val="28"/>
          <w:lang w:val="es-ES"/>
        </w:rPr>
        <w:t>En el análisis de constitucionalidad, a la Sala Plena le corresponde establecer la existencia de un vicio de trámite, su relevancia y, finalmente, la posibilidad de</w:t>
      </w:r>
      <w:r w:rsidRPr="00EE2FA1">
        <w:rPr>
          <w:rFonts w:ascii="Times New Roman" w:hAnsi="Times New Roman" w:cs="Times New Roman"/>
          <w:sz w:val="28"/>
          <w:szCs w:val="28"/>
          <w:lang w:val="es-ES"/>
        </w:rPr>
        <w:t xml:space="preserve"> su</w:t>
      </w:r>
      <w:r w:rsidRPr="00EE2FA1">
        <w:rPr>
          <w:rFonts w:ascii="Times New Roman" w:hAnsi="Times New Roman" w:cs="Times New Roman"/>
          <w:sz w:val="28"/>
          <w:szCs w:val="28"/>
          <w:lang w:val="es-ES"/>
        </w:rPr>
        <w:t xml:space="preserve"> subsanación</w:t>
      </w:r>
      <w:r w:rsidRPr="00EE2FA1">
        <w:rPr>
          <w:rStyle w:val="Refdenotaalpie"/>
          <w:rFonts w:ascii="Times New Roman" w:eastAsia="MS Gothic" w:hAnsi="Times New Roman" w:cs="Times New Roman"/>
          <w:sz w:val="28"/>
          <w:szCs w:val="28"/>
          <w:lang w:val="es-ES"/>
        </w:rPr>
        <w:footnoteReference w:id="116"/>
      </w:r>
      <w:r w:rsidRPr="00EE2FA1">
        <w:rPr>
          <w:rFonts w:ascii="Times New Roman" w:hAnsi="Times New Roman" w:cs="Times New Roman"/>
          <w:sz w:val="28"/>
          <w:szCs w:val="28"/>
          <w:lang w:val="es-ES"/>
        </w:rPr>
        <w:t xml:space="preserve">. En relación con la </w:t>
      </w:r>
      <w:r w:rsidRPr="00EE2FA1">
        <w:rPr>
          <w:rFonts w:ascii="Times New Roman" w:hAnsi="Times New Roman" w:cs="Times New Roman"/>
          <w:i/>
          <w:iCs/>
          <w:sz w:val="28"/>
          <w:szCs w:val="28"/>
          <w:lang w:val="es-ES"/>
        </w:rPr>
        <w:t>relevancia de las irregularidades</w:t>
      </w:r>
      <w:r w:rsidRPr="00EE2FA1">
        <w:rPr>
          <w:rFonts w:ascii="Times New Roman" w:hAnsi="Times New Roman" w:cs="Times New Roman"/>
          <w:sz w:val="28"/>
          <w:szCs w:val="28"/>
          <w:lang w:val="es-ES"/>
        </w:rPr>
        <w:t>, se debe considerar: (i) su entidad o gravedad</w:t>
      </w:r>
      <w:r w:rsidRPr="00EE2FA1">
        <w:rPr>
          <w:rFonts w:ascii="Times New Roman" w:hAnsi="Times New Roman" w:cs="Times New Roman"/>
          <w:sz w:val="28"/>
          <w:szCs w:val="28"/>
        </w:rPr>
        <w:t>;</w:t>
      </w:r>
      <w:r w:rsidRPr="00EE2FA1">
        <w:rPr>
          <w:rFonts w:ascii="Times New Roman" w:hAnsi="Times New Roman" w:cs="Times New Roman"/>
          <w:sz w:val="28"/>
          <w:szCs w:val="28"/>
          <w:lang w:val="es-ES"/>
        </w:rPr>
        <w:t xml:space="preserve"> (ii) el contexto en el cual se presenta y (iii) la incidencia del vicio en la integralidad del trámite legislativo.</w:t>
      </w:r>
      <w:r w:rsidRPr="00EE2FA1">
        <w:rPr>
          <w:rStyle w:val="Refdenotaalpie"/>
          <w:rFonts w:ascii="Times New Roman" w:eastAsia="MS Gothic" w:hAnsi="Times New Roman" w:cs="Times New Roman"/>
          <w:sz w:val="28"/>
          <w:szCs w:val="28"/>
          <w:lang w:val="es-ES"/>
        </w:rPr>
        <w:footnoteReference w:id="117"/>
      </w:r>
      <w:r w:rsidRPr="00EE2FA1">
        <w:rPr>
          <w:rFonts w:ascii="Times New Roman" w:hAnsi="Times New Roman" w:cs="Times New Roman"/>
          <w:sz w:val="28"/>
          <w:szCs w:val="28"/>
          <w:lang w:val="es-ES"/>
        </w:rPr>
        <w:t xml:space="preserve"> La gravedad es enten</w:t>
      </w:r>
      <w:r w:rsidRPr="00EE2FA1">
        <w:rPr>
          <w:rFonts w:ascii="Times New Roman" w:hAnsi="Times New Roman" w:cs="Times New Roman"/>
          <w:sz w:val="28"/>
          <w:szCs w:val="28"/>
          <w:lang w:val="es-ES"/>
        </w:rPr>
        <w:t>dida como “la magnitud de desconocimiento de derechos, principios o valores sustantivos que garantizan las disposiciones desconocidas.”</w:t>
      </w:r>
      <w:r w:rsidRPr="00EE2FA1">
        <w:rPr>
          <w:rStyle w:val="Refdenotaalpie"/>
          <w:rFonts w:ascii="Times New Roman" w:eastAsia="MS Gothic" w:hAnsi="Times New Roman" w:cs="Times New Roman"/>
          <w:sz w:val="28"/>
          <w:szCs w:val="28"/>
          <w:lang w:val="es-ES"/>
        </w:rPr>
        <w:footnoteReference w:id="118"/>
      </w:r>
      <w:r w:rsidRPr="00EE2FA1">
        <w:rPr>
          <w:rFonts w:ascii="Times New Roman" w:hAnsi="Times New Roman" w:cs="Times New Roman"/>
          <w:sz w:val="28"/>
          <w:szCs w:val="28"/>
          <w:lang w:val="es-ES"/>
        </w:rPr>
        <w:t xml:space="preserve"> Por lo anterior, “solo aquellos vicios con la entidad suficiente para alterar la decisión tomada, en uno u otro sentido</w:t>
      </w:r>
      <w:r w:rsidRPr="00EE2FA1">
        <w:rPr>
          <w:rFonts w:ascii="Times New Roman" w:hAnsi="Times New Roman" w:cs="Times New Roman"/>
          <w:sz w:val="28"/>
          <w:szCs w:val="28"/>
          <w:lang w:val="es-ES"/>
        </w:rPr>
        <w:t xml:space="preserve">, o aquellos que restrinjan las prerrogativas que garantizan la racionalidad deliberativa del debate legislativo, se han considerado </w:t>
      </w:r>
      <w:r w:rsidRPr="00EE2FA1">
        <w:rPr>
          <w:rFonts w:ascii="Times New Roman" w:hAnsi="Times New Roman" w:cs="Times New Roman"/>
          <w:i/>
          <w:sz w:val="28"/>
          <w:szCs w:val="28"/>
          <w:lang w:val="es-ES"/>
        </w:rPr>
        <w:t>relevantes</w:t>
      </w:r>
      <w:r w:rsidRPr="00EE2FA1">
        <w:rPr>
          <w:rFonts w:ascii="Times New Roman" w:hAnsi="Times New Roman" w:cs="Times New Roman"/>
          <w:sz w:val="28"/>
          <w:szCs w:val="28"/>
          <w:lang w:val="es-ES"/>
        </w:rPr>
        <w:t xml:space="preserve"> al momento de ejercer el control constitucional.”</w:t>
      </w:r>
      <w:r w:rsidRPr="00EE2FA1">
        <w:rPr>
          <w:rStyle w:val="Refdenotaalpie"/>
          <w:rFonts w:ascii="Times New Roman" w:eastAsia="MS Gothic" w:hAnsi="Times New Roman" w:cs="Times New Roman"/>
          <w:sz w:val="28"/>
          <w:szCs w:val="28"/>
          <w:lang w:val="es-ES"/>
        </w:rPr>
        <w:footnoteReference w:id="119"/>
      </w:r>
      <w:r w:rsidRPr="00EE2FA1">
        <w:rPr>
          <w:rFonts w:ascii="Times New Roman" w:hAnsi="Times New Roman" w:cs="Times New Roman"/>
          <w:sz w:val="28"/>
          <w:szCs w:val="28"/>
          <w:lang w:val="es-ES"/>
        </w:rPr>
        <w:t xml:space="preserve"> Es por esto que la Corte Constitucional ha considerado como v</w:t>
      </w:r>
      <w:r w:rsidRPr="00EE2FA1">
        <w:rPr>
          <w:rFonts w:ascii="Times New Roman" w:hAnsi="Times New Roman" w:cs="Times New Roman"/>
          <w:sz w:val="28"/>
          <w:szCs w:val="28"/>
          <w:lang w:val="es-ES"/>
        </w:rPr>
        <w:t>icios relevantes: “(i) aquellos que desconocen algún principio o valor constitucional; (ii) los que afectan el proceso de formación de la voluntad democrática en las cámaras; o (iii) los que dan lugar a desconocer las competencias y estructura básica insti</w:t>
      </w:r>
      <w:r w:rsidRPr="00EE2FA1">
        <w:rPr>
          <w:rFonts w:ascii="Times New Roman" w:hAnsi="Times New Roman" w:cs="Times New Roman"/>
          <w:sz w:val="28"/>
          <w:szCs w:val="28"/>
          <w:lang w:val="es-ES"/>
        </w:rPr>
        <w:t>tucional diseñada por la Constitución Política.”</w:t>
      </w:r>
      <w:r w:rsidRPr="00EE2FA1">
        <w:rPr>
          <w:rStyle w:val="Refdenotaalpie"/>
          <w:rFonts w:ascii="Times New Roman" w:eastAsia="MS Gothic" w:hAnsi="Times New Roman" w:cs="Times New Roman"/>
          <w:sz w:val="28"/>
          <w:szCs w:val="28"/>
          <w:lang w:val="es-ES"/>
        </w:rPr>
        <w:footnoteReference w:id="120"/>
      </w:r>
      <w:r w:rsidRPr="00EE2FA1">
        <w:rPr>
          <w:rFonts w:ascii="Times New Roman" w:hAnsi="Times New Roman" w:cs="Times New Roman"/>
          <w:sz w:val="28"/>
          <w:szCs w:val="28"/>
          <w:lang w:val="es-ES"/>
        </w:rPr>
        <w:t xml:space="preserve"> Ahora, una vez la Sala ha establecido que el vicio de trámite existente es relevante, debe estudiar </w:t>
      </w:r>
      <w:r w:rsidRPr="00EE2FA1">
        <w:rPr>
          <w:rFonts w:ascii="Times New Roman" w:hAnsi="Times New Roman" w:cs="Times New Roman"/>
          <w:i/>
          <w:iCs/>
          <w:sz w:val="28"/>
          <w:szCs w:val="28"/>
          <w:lang w:val="es-ES"/>
        </w:rPr>
        <w:t>si este fue convalidado</w:t>
      </w:r>
      <w:r w:rsidRPr="00EE2FA1">
        <w:rPr>
          <w:rFonts w:ascii="Times New Roman" w:hAnsi="Times New Roman" w:cs="Times New Roman"/>
          <w:sz w:val="28"/>
          <w:szCs w:val="28"/>
          <w:lang w:val="es-ES"/>
        </w:rPr>
        <w:t xml:space="preserve"> en los términos del numeral 2º del artículo 2 de la Ley 5 de 1992</w:t>
      </w:r>
      <w:r w:rsidRPr="00EE2FA1">
        <w:rPr>
          <w:rStyle w:val="Refdenotaalpie"/>
          <w:rFonts w:ascii="Times New Roman" w:eastAsia="MS Gothic" w:hAnsi="Times New Roman" w:cs="Times New Roman"/>
          <w:sz w:val="28"/>
          <w:szCs w:val="28"/>
          <w:lang w:val="es-ES"/>
        </w:rPr>
        <w:footnoteReference w:id="121"/>
      </w:r>
      <w:r w:rsidRPr="00EE2FA1">
        <w:rPr>
          <w:rFonts w:ascii="Times New Roman" w:hAnsi="Times New Roman" w:cs="Times New Roman"/>
          <w:sz w:val="28"/>
          <w:szCs w:val="28"/>
          <w:lang w:val="es-ES"/>
        </w:rPr>
        <w:t xml:space="preserve"> </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w:t>
      </w:r>
    </w:p>
    <w:p w:rsidR="00503F1D" w:rsidRPr="00EE2FA1" w:rsidRDefault="00EE2FA1" w:rsidP="00503F1D">
      <w:pPr>
        <w:pStyle w:val="Prrafodelista"/>
        <w:shd w:val="clear" w:color="auto" w:fill="FFFFFF"/>
        <w:spacing w:line="0" w:lineRule="atLeast"/>
        <w:ind w:left="0" w:right="51"/>
        <w:jc w:val="both"/>
        <w:textAlignment w:val="baseline"/>
        <w:rPr>
          <w:rFonts w:ascii="Times New Roman" w:hAnsi="Times New Roman" w:cs="Times New Roman"/>
          <w:sz w:val="28"/>
          <w:szCs w:val="28"/>
          <w:bdr w:val="none" w:sz="0" w:space="0" w:color="auto" w:frame="1"/>
          <w:lang w:val="es-ES_tradnl"/>
        </w:rPr>
      </w:pPr>
    </w:p>
    <w:p w:rsidR="00503F1D" w:rsidRPr="00EE2FA1" w:rsidRDefault="00EE2FA1" w:rsidP="00503F1D">
      <w:pPr>
        <w:pStyle w:val="Prrafodelista"/>
        <w:numPr>
          <w:ilvl w:val="0"/>
          <w:numId w:val="1"/>
        </w:numPr>
        <w:shd w:val="clear" w:color="auto" w:fill="FFFFFF"/>
        <w:spacing w:line="0" w:lineRule="atLeast"/>
        <w:ind w:left="0" w:right="51" w:firstLine="0"/>
        <w:jc w:val="both"/>
        <w:textAlignment w:val="baseline"/>
        <w:rPr>
          <w:rFonts w:ascii="Times New Roman" w:hAnsi="Times New Roman" w:cs="Times New Roman"/>
          <w:sz w:val="28"/>
          <w:szCs w:val="28"/>
          <w:bdr w:val="none" w:sz="0" w:space="0" w:color="auto" w:frame="1"/>
          <w:lang w:val="es-ES_tradnl"/>
        </w:rPr>
      </w:pPr>
      <w:r w:rsidRPr="00EE2FA1">
        <w:rPr>
          <w:rFonts w:ascii="Times New Roman" w:hAnsi="Times New Roman" w:cs="Times New Roman"/>
          <w:sz w:val="28"/>
          <w:szCs w:val="28"/>
          <w:lang w:val="es-ES"/>
        </w:rPr>
        <w:t xml:space="preserve">De otro lado, </w:t>
      </w:r>
      <w:r w:rsidRPr="00EE2FA1">
        <w:rPr>
          <w:rFonts w:ascii="Times New Roman" w:hAnsi="Times New Roman" w:cs="Times New Roman"/>
          <w:sz w:val="28"/>
          <w:szCs w:val="28"/>
          <w:lang w:val="es-ES"/>
        </w:rPr>
        <w:t>esta corporación</w:t>
      </w:r>
      <w:r w:rsidRPr="00EE2FA1">
        <w:rPr>
          <w:rFonts w:ascii="Times New Roman" w:hAnsi="Times New Roman" w:cs="Times New Roman"/>
          <w:sz w:val="28"/>
          <w:szCs w:val="28"/>
          <w:lang w:val="es-ES"/>
        </w:rPr>
        <w:t xml:space="preserve"> ha establecido una pauta general para evaluar la subsanabilidad de los vicios, que está en función de los principios democráticos de eficiencia y economía que deben irradiar la actividad legislativa.</w:t>
      </w:r>
      <w:r w:rsidRPr="00EE2FA1">
        <w:rPr>
          <w:rStyle w:val="Refdenotaalpie"/>
          <w:rFonts w:ascii="Times New Roman" w:eastAsia="MS Gothic" w:hAnsi="Times New Roman" w:cs="Times New Roman"/>
          <w:sz w:val="28"/>
          <w:szCs w:val="28"/>
          <w:lang w:val="es-ES"/>
        </w:rPr>
        <w:footnoteReference w:id="122"/>
      </w:r>
      <w:r w:rsidRPr="00EE2FA1">
        <w:rPr>
          <w:rFonts w:ascii="Times New Roman" w:hAnsi="Times New Roman" w:cs="Times New Roman"/>
          <w:sz w:val="28"/>
          <w:szCs w:val="28"/>
          <w:lang w:val="es-ES"/>
        </w:rPr>
        <w:t xml:space="preserve"> Por lo anterior, “únicam</w:t>
      </w:r>
      <w:r w:rsidRPr="00EE2FA1">
        <w:rPr>
          <w:rFonts w:ascii="Times New Roman" w:hAnsi="Times New Roman" w:cs="Times New Roman"/>
          <w:sz w:val="28"/>
          <w:szCs w:val="28"/>
          <w:lang w:val="es-ES"/>
        </w:rPr>
        <w:t>ente cuando el vicio detectado tenga tal gravedad y magnitud que impregne la conformación de la voluntad mayoritaria, se debe declarar la inexequibilidad de la iniciativa legislativa.”</w:t>
      </w:r>
      <w:r w:rsidRPr="00EE2FA1">
        <w:rPr>
          <w:rStyle w:val="Refdenotaalpie"/>
          <w:rFonts w:ascii="Times New Roman" w:eastAsia="MS Gothic" w:hAnsi="Times New Roman" w:cs="Times New Roman"/>
          <w:sz w:val="28"/>
          <w:szCs w:val="28"/>
          <w:lang w:val="es-ES"/>
        </w:rPr>
        <w:footnoteReference w:id="123"/>
      </w:r>
      <w:r w:rsidRPr="00EE2FA1">
        <w:rPr>
          <w:rFonts w:ascii="Times New Roman" w:hAnsi="Times New Roman" w:cs="Times New Roman"/>
          <w:sz w:val="28"/>
          <w:szCs w:val="28"/>
          <w:lang w:val="es-ES"/>
        </w:rPr>
        <w:t xml:space="preserve"> Esta corporación ha establecido como vicios insubsanables: (i) aquello</w:t>
      </w:r>
      <w:r w:rsidRPr="00EE2FA1">
        <w:rPr>
          <w:rFonts w:ascii="Times New Roman" w:hAnsi="Times New Roman" w:cs="Times New Roman"/>
          <w:sz w:val="28"/>
          <w:szCs w:val="28"/>
          <w:lang w:val="es-ES"/>
        </w:rPr>
        <w:t xml:space="preserve">s que a pesar de que se subsanen darían lugar al desconocimiento </w:t>
      </w:r>
      <w:r w:rsidRPr="00EE2FA1">
        <w:rPr>
          <w:rFonts w:ascii="Times New Roman" w:hAnsi="Times New Roman" w:cs="Times New Roman"/>
          <w:iCs/>
          <w:sz w:val="28"/>
          <w:szCs w:val="28"/>
          <w:lang w:val="es-ES"/>
        </w:rPr>
        <w:t>íntegro</w:t>
      </w:r>
      <w:r w:rsidRPr="00EE2FA1">
        <w:rPr>
          <w:rFonts w:ascii="Times New Roman" w:hAnsi="Times New Roman" w:cs="Times New Roman"/>
          <w:sz w:val="28"/>
          <w:szCs w:val="28"/>
          <w:lang w:val="es-ES"/>
        </w:rPr>
        <w:t xml:space="preserve"> de alguna de las etapas estructurales del procedimiento legislativo</w:t>
      </w:r>
      <w:r w:rsidRPr="00EE2FA1">
        <w:rPr>
          <w:rStyle w:val="Refdenotaalpie"/>
          <w:rFonts w:ascii="Times New Roman" w:eastAsia="MS Gothic" w:hAnsi="Times New Roman" w:cs="Times New Roman"/>
          <w:sz w:val="28"/>
          <w:szCs w:val="28"/>
          <w:lang w:val="es-ES"/>
        </w:rPr>
        <w:footnoteReference w:id="124"/>
      </w:r>
      <w:r w:rsidRPr="00EE2FA1">
        <w:rPr>
          <w:rFonts w:ascii="Times New Roman" w:hAnsi="Times New Roman" w:cs="Times New Roman"/>
          <w:sz w:val="28"/>
          <w:szCs w:val="28"/>
          <w:lang w:val="es-ES"/>
        </w:rPr>
        <w:t xml:space="preserve">; (ii) aquellos vicios que darían lugar al desconocimiento </w:t>
      </w:r>
      <w:r w:rsidRPr="00EE2FA1">
        <w:rPr>
          <w:rFonts w:ascii="Times New Roman" w:hAnsi="Times New Roman" w:cs="Times New Roman"/>
          <w:i/>
          <w:sz w:val="28"/>
          <w:szCs w:val="28"/>
          <w:lang w:val="es-ES"/>
        </w:rPr>
        <w:t>absoluto</w:t>
      </w:r>
      <w:r w:rsidRPr="00EE2FA1">
        <w:rPr>
          <w:rFonts w:ascii="Times New Roman" w:hAnsi="Times New Roman" w:cs="Times New Roman"/>
          <w:sz w:val="28"/>
          <w:szCs w:val="28"/>
          <w:lang w:val="es-ES"/>
        </w:rPr>
        <w:t xml:space="preserve"> de la integridad de los requisitos formales del</w:t>
      </w:r>
      <w:r w:rsidRPr="00EE2FA1">
        <w:rPr>
          <w:rFonts w:ascii="Times New Roman" w:hAnsi="Times New Roman" w:cs="Times New Roman"/>
          <w:sz w:val="28"/>
          <w:szCs w:val="28"/>
          <w:lang w:val="es-ES"/>
        </w:rPr>
        <w:t xml:space="preserve"> proceso de formación o discusión de las leyes; por ejemplo, “</w:t>
      </w:r>
      <w:r w:rsidRPr="00EE2FA1">
        <w:rPr>
          <w:rFonts w:ascii="Times New Roman" w:hAnsi="Times New Roman" w:cs="Times New Roman"/>
          <w:sz w:val="28"/>
          <w:szCs w:val="28"/>
          <w:lang w:val="es-419"/>
        </w:rPr>
        <w:t>la pretermisión de la iniciativa legislativa, la pretermisión de las publicaciones de proyectos e informes, la pretermisión de los anuncios, la pretermisión de las votaciones, la pretermisión de</w:t>
      </w:r>
      <w:r w:rsidRPr="00EE2FA1">
        <w:rPr>
          <w:rFonts w:ascii="Times New Roman" w:hAnsi="Times New Roman" w:cs="Times New Roman"/>
          <w:sz w:val="28"/>
          <w:szCs w:val="28"/>
          <w:lang w:val="es-419"/>
        </w:rPr>
        <w:t xml:space="preserve"> las mayorías o la afectación intensa </w:t>
      </w:r>
      <w:r w:rsidRPr="00EE2FA1">
        <w:rPr>
          <w:rFonts w:ascii="Times New Roman" w:hAnsi="Times New Roman" w:cs="Times New Roman"/>
          <w:sz w:val="28"/>
          <w:szCs w:val="28"/>
        </w:rPr>
        <w:t xml:space="preserve">de los derechos de las minorías parlamentarias </w:t>
      </w:r>
      <w:r w:rsidRPr="00EE2FA1">
        <w:rPr>
          <w:rFonts w:ascii="Times New Roman" w:hAnsi="Times New Roman" w:cs="Times New Roman"/>
          <w:sz w:val="28"/>
          <w:szCs w:val="28"/>
          <w:lang w:val="es-419"/>
        </w:rPr>
        <w:t>o las bancadas en oposición”</w:t>
      </w:r>
      <w:r w:rsidRPr="00EE2FA1">
        <w:rPr>
          <w:rStyle w:val="Refdenotaalpie"/>
          <w:rFonts w:ascii="Times New Roman" w:eastAsia="MS Gothic" w:hAnsi="Times New Roman" w:cs="Times New Roman"/>
          <w:sz w:val="28"/>
          <w:szCs w:val="28"/>
          <w:lang w:val="es-ES"/>
        </w:rPr>
        <w:footnoteReference w:id="125"/>
      </w:r>
      <w:r w:rsidRPr="00EE2FA1">
        <w:rPr>
          <w:rFonts w:ascii="Times New Roman" w:hAnsi="Times New Roman" w:cs="Times New Roman"/>
          <w:sz w:val="28"/>
          <w:szCs w:val="28"/>
          <w:lang w:val="es-ES"/>
        </w:rPr>
        <w:t>; y (iii) aquellos que darían lugar a rehacer el proceso legislativo o a modificar el objeto del proyecto de ley objeto de revisión. Lo anteri</w:t>
      </w:r>
      <w:r w:rsidRPr="00EE2FA1">
        <w:rPr>
          <w:rFonts w:ascii="Times New Roman" w:hAnsi="Times New Roman" w:cs="Times New Roman"/>
          <w:sz w:val="28"/>
          <w:szCs w:val="28"/>
          <w:lang w:val="es-ES"/>
        </w:rPr>
        <w:t xml:space="preserve">or implica que </w:t>
      </w:r>
      <w:r w:rsidRPr="00EE2FA1">
        <w:rPr>
          <w:rFonts w:ascii="Times New Roman" w:hAnsi="Times New Roman" w:cs="Times New Roman"/>
          <w:iCs/>
          <w:sz w:val="28"/>
          <w:szCs w:val="28"/>
          <w:lang w:val="es-419"/>
        </w:rPr>
        <w:t>“sólo es posible subsanar vicios de trámite sobre la base de un trámite que efectivamente se ha llevado a cabo. Es decir, no es constitucionalmente válido presentar como «subsanación de un vicio en el procedimiento legislativo» lo que en rea</w:t>
      </w:r>
      <w:r w:rsidRPr="00EE2FA1">
        <w:rPr>
          <w:rFonts w:ascii="Times New Roman" w:hAnsi="Times New Roman" w:cs="Times New Roman"/>
          <w:iCs/>
          <w:sz w:val="28"/>
          <w:szCs w:val="28"/>
          <w:lang w:val="es-419"/>
        </w:rPr>
        <w:t>lidad equivaldría a llevar a cabo etapas del proceso de formación de la ley -o de los actos legislativos- que no se surtieron”</w:t>
      </w:r>
      <w:r w:rsidRPr="00EE2FA1">
        <w:rPr>
          <w:rStyle w:val="Refdenotaalpie"/>
          <w:rFonts w:ascii="Times New Roman" w:hAnsi="Times New Roman" w:cs="Times New Roman"/>
          <w:sz w:val="28"/>
          <w:szCs w:val="28"/>
          <w:lang w:val="es-419"/>
        </w:rPr>
        <w:footnoteReference w:id="126"/>
      </w:r>
      <w:r w:rsidRPr="00EE2FA1">
        <w:rPr>
          <w:rFonts w:ascii="Times New Roman" w:hAnsi="Times New Roman" w:cs="Times New Roman"/>
          <w:sz w:val="28"/>
          <w:szCs w:val="28"/>
          <w:lang w:val="es-419"/>
        </w:rPr>
        <w:t>.</w:t>
      </w:r>
    </w:p>
    <w:p w:rsidR="00503F1D"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CF3343" w:rsidRPr="00EE2FA1" w:rsidRDefault="00EE2FA1" w:rsidP="00C833B9">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i/>
          <w:iCs/>
          <w:sz w:val="28"/>
          <w:szCs w:val="28"/>
        </w:rPr>
        <w:t>Existencia de</w:t>
      </w:r>
      <w:r w:rsidRPr="00EE2FA1">
        <w:rPr>
          <w:rFonts w:ascii="Times New Roman" w:hAnsi="Times New Roman" w:cs="Times New Roman"/>
          <w:i/>
          <w:iCs/>
          <w:sz w:val="28"/>
          <w:szCs w:val="28"/>
        </w:rPr>
        <w:t xml:space="preserve"> </w:t>
      </w:r>
      <w:r w:rsidRPr="00EE2FA1">
        <w:rPr>
          <w:rFonts w:ascii="Times New Roman" w:hAnsi="Times New Roman" w:cs="Times New Roman"/>
          <w:i/>
          <w:iCs/>
          <w:sz w:val="28"/>
          <w:szCs w:val="28"/>
        </w:rPr>
        <w:t xml:space="preserve">un </w:t>
      </w:r>
      <w:r w:rsidRPr="00EE2FA1">
        <w:rPr>
          <w:rFonts w:ascii="Times New Roman" w:hAnsi="Times New Roman" w:cs="Times New Roman"/>
          <w:i/>
          <w:iCs/>
          <w:sz w:val="28"/>
          <w:szCs w:val="28"/>
        </w:rPr>
        <w:t>vicio de inconstitucionalidad en el presente asunto</w:t>
      </w:r>
      <w:r w:rsidRPr="00EE2FA1">
        <w:rPr>
          <w:rFonts w:ascii="Times New Roman" w:hAnsi="Times New Roman" w:cs="Times New Roman"/>
          <w:sz w:val="28"/>
          <w:szCs w:val="28"/>
        </w:rPr>
        <w:t xml:space="preserve">. La Corte Constitucional considera que en </w:t>
      </w:r>
      <w:r w:rsidRPr="00EE2FA1">
        <w:rPr>
          <w:rFonts w:ascii="Times New Roman" w:hAnsi="Times New Roman" w:cs="Times New Roman"/>
          <w:sz w:val="28"/>
          <w:szCs w:val="28"/>
        </w:rPr>
        <w:t xml:space="preserve">el trámite de </w:t>
      </w:r>
      <w:r w:rsidRPr="00EE2FA1">
        <w:rPr>
          <w:rFonts w:ascii="Times New Roman" w:hAnsi="Times New Roman" w:cs="Times New Roman"/>
          <w:sz w:val="28"/>
          <w:szCs w:val="28"/>
        </w:rPr>
        <w:t xml:space="preserve">aprobación </w:t>
      </w:r>
      <w:r w:rsidRPr="00EE2FA1">
        <w:rPr>
          <w:rFonts w:ascii="Times New Roman" w:hAnsi="Times New Roman" w:cs="Times New Roman"/>
          <w:sz w:val="28"/>
          <w:szCs w:val="28"/>
        </w:rPr>
        <w:t>de</w:t>
      </w:r>
      <w:r w:rsidRPr="00EE2FA1">
        <w:rPr>
          <w:rFonts w:ascii="Times New Roman" w:hAnsi="Times New Roman" w:cs="Times New Roman"/>
          <w:sz w:val="28"/>
          <w:szCs w:val="28"/>
        </w:rPr>
        <w:t xml:space="preserve"> la ponencia para primer debate del proyecto de ley que contiene</w:t>
      </w:r>
      <w:r w:rsidRPr="00EE2FA1">
        <w:rPr>
          <w:rFonts w:ascii="Times New Roman" w:hAnsi="Times New Roman" w:cs="Times New Roman"/>
          <w:sz w:val="28"/>
          <w:szCs w:val="28"/>
        </w:rPr>
        <w:t xml:space="preserve"> las normas demanda</w:t>
      </w:r>
      <w:r w:rsidRPr="00EE2FA1">
        <w:rPr>
          <w:rFonts w:ascii="Times New Roman" w:hAnsi="Times New Roman" w:cs="Times New Roman"/>
          <w:sz w:val="28"/>
          <w:szCs w:val="28"/>
        </w:rPr>
        <w:t>das</w:t>
      </w:r>
      <w:r w:rsidRPr="00EE2FA1">
        <w:rPr>
          <w:rFonts w:ascii="Times New Roman" w:hAnsi="Times New Roman" w:cs="Times New Roman"/>
          <w:sz w:val="28"/>
          <w:szCs w:val="28"/>
        </w:rPr>
        <w:t xml:space="preserve"> existió vicio de inconstitucionalidad por las siguientes razones:</w:t>
      </w:r>
    </w:p>
    <w:p w:rsidR="00CF3343" w:rsidRPr="00EE2FA1" w:rsidRDefault="00EE2FA1" w:rsidP="00CF3343">
      <w:pPr>
        <w:pStyle w:val="Prrafodelista"/>
        <w:rPr>
          <w:rFonts w:ascii="Times New Roman" w:hAnsi="Times New Roman" w:cs="Times New Roman"/>
          <w:sz w:val="28"/>
          <w:szCs w:val="28"/>
        </w:rPr>
      </w:pPr>
    </w:p>
    <w:p w:rsidR="00665015" w:rsidRPr="00EE2FA1" w:rsidRDefault="00EE2FA1" w:rsidP="00665015">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sz w:val="28"/>
          <w:szCs w:val="28"/>
        </w:rPr>
        <w:t>La actuación en el trámite legislativo afectó el cumplim</w:t>
      </w:r>
      <w:r w:rsidRPr="00EE2FA1">
        <w:rPr>
          <w:rFonts w:ascii="Times New Roman" w:hAnsi="Times New Roman" w:cs="Times New Roman"/>
          <w:sz w:val="28"/>
          <w:szCs w:val="28"/>
        </w:rPr>
        <w:t>ie</w:t>
      </w:r>
      <w:r w:rsidRPr="00EE2FA1">
        <w:rPr>
          <w:rFonts w:ascii="Times New Roman" w:hAnsi="Times New Roman" w:cs="Times New Roman"/>
          <w:sz w:val="28"/>
          <w:szCs w:val="28"/>
        </w:rPr>
        <w:t>nt</w:t>
      </w:r>
      <w:r w:rsidRPr="00EE2FA1">
        <w:rPr>
          <w:rFonts w:ascii="Times New Roman" w:hAnsi="Times New Roman" w:cs="Times New Roman"/>
          <w:sz w:val="28"/>
          <w:szCs w:val="28"/>
        </w:rPr>
        <w:t>o</w:t>
      </w:r>
      <w:r w:rsidRPr="00EE2FA1">
        <w:rPr>
          <w:rFonts w:ascii="Times New Roman" w:hAnsi="Times New Roman" w:cs="Times New Roman"/>
          <w:sz w:val="28"/>
          <w:szCs w:val="28"/>
        </w:rPr>
        <w:t xml:space="preserve"> de</w:t>
      </w:r>
      <w:r w:rsidRPr="00EE2FA1">
        <w:rPr>
          <w:rFonts w:ascii="Times New Roman" w:hAnsi="Times New Roman" w:cs="Times New Roman"/>
          <w:sz w:val="28"/>
          <w:szCs w:val="28"/>
        </w:rPr>
        <w:t xml:space="preserve">l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157 superior y los artículos</w:t>
      </w:r>
      <w:r w:rsidRPr="00EE2FA1">
        <w:rPr>
          <w:rFonts w:ascii="Times New Roman" w:hAnsi="Times New Roman" w:cs="Times New Roman"/>
          <w:sz w:val="28"/>
          <w:szCs w:val="28"/>
        </w:rPr>
        <w:t xml:space="preserve"> 157 y 173 de la Ley 5ª de 1992. </w:t>
      </w:r>
      <w:r w:rsidRPr="00EE2FA1">
        <w:rPr>
          <w:rFonts w:ascii="Times New Roman" w:hAnsi="Times New Roman" w:cs="Times New Roman"/>
          <w:bCs/>
          <w:iCs/>
          <w:sz w:val="28"/>
          <w:szCs w:val="28"/>
          <w:lang w:val="es-ES"/>
        </w:rPr>
        <w:t>De la lectura conjunta de ambas normas</w:t>
      </w:r>
      <w:r w:rsidRPr="00EE2FA1">
        <w:rPr>
          <w:rFonts w:ascii="Times New Roman" w:hAnsi="Times New Roman" w:cs="Times New Roman"/>
          <w:bCs/>
          <w:iCs/>
          <w:sz w:val="28"/>
          <w:szCs w:val="28"/>
          <w:lang w:val="es-ES"/>
        </w:rPr>
        <w:t xml:space="preserve"> orgánicas</w:t>
      </w:r>
      <w:r w:rsidRPr="00EE2FA1">
        <w:rPr>
          <w:rFonts w:ascii="Times New Roman" w:hAnsi="Times New Roman" w:cs="Times New Roman"/>
          <w:bCs/>
          <w:iCs/>
          <w:sz w:val="28"/>
          <w:szCs w:val="28"/>
          <w:lang w:val="es-ES"/>
        </w:rPr>
        <w:t xml:space="preserve"> se infiere que existe un deber expreso de votar las ponencias de archivo, sin que haya excepción por tratarse de comisiones conjuntas. </w:t>
      </w:r>
      <w:r w:rsidRPr="00EE2FA1">
        <w:rPr>
          <w:rFonts w:ascii="Times New Roman" w:hAnsi="Times New Roman" w:cs="Times New Roman"/>
          <w:bCs/>
          <w:iCs/>
          <w:sz w:val="28"/>
          <w:szCs w:val="28"/>
          <w:lang w:val="es-ES"/>
        </w:rPr>
        <w:t>En efecto,</w:t>
      </w:r>
      <w:r w:rsidRPr="00EE2FA1">
        <w:rPr>
          <w:rFonts w:ascii="Times New Roman" w:hAnsi="Times New Roman" w:cs="Times New Roman"/>
          <w:bCs/>
          <w:iCs/>
          <w:sz w:val="28"/>
          <w:szCs w:val="28"/>
          <w:lang w:val="es-ES"/>
        </w:rPr>
        <w:t xml:space="preserve"> e</w:t>
      </w:r>
      <w:r w:rsidRPr="00EE2FA1">
        <w:rPr>
          <w:rFonts w:ascii="Times New Roman" w:hAnsi="Times New Roman" w:cs="Times New Roman"/>
          <w:color w:val="000000"/>
          <w:sz w:val="28"/>
          <w:szCs w:val="28"/>
          <w:lang w:val="es-MX"/>
        </w:rPr>
        <w:t xml:space="preserve">l artículo 173 de la Ley 5ª de 1992 establece que en el trámite de comisiones conjuntas, “concluido el debate, cada Comisión votará por separado”. Esta norma </w:t>
      </w:r>
      <w:r w:rsidRPr="00EE2FA1">
        <w:rPr>
          <w:rFonts w:ascii="Times New Roman" w:hAnsi="Times New Roman" w:cs="Times New Roman"/>
          <w:color w:val="000000"/>
          <w:sz w:val="28"/>
          <w:szCs w:val="28"/>
          <w:lang w:val="es-MX"/>
        </w:rPr>
        <w:t>es</w:t>
      </w:r>
      <w:r w:rsidRPr="00EE2FA1">
        <w:rPr>
          <w:rFonts w:ascii="Times New Roman" w:hAnsi="Times New Roman" w:cs="Times New Roman"/>
          <w:color w:val="000000"/>
          <w:sz w:val="28"/>
          <w:szCs w:val="28"/>
          <w:lang w:val="es-MX"/>
        </w:rPr>
        <w:t xml:space="preserve"> enfática en otorgar a cada comisión el deber de votar lo que resulte del debate. Por otra par</w:t>
      </w:r>
      <w:r w:rsidRPr="00EE2FA1">
        <w:rPr>
          <w:rFonts w:ascii="Times New Roman" w:hAnsi="Times New Roman" w:cs="Times New Roman"/>
          <w:color w:val="000000"/>
          <w:sz w:val="28"/>
          <w:szCs w:val="28"/>
          <w:lang w:val="es-MX"/>
        </w:rPr>
        <w:t>te, el artículo 157 dispone que “[s]i se propone archivar o negar el proyecto, se debatirá esta propuesta y se pondrá en votación al cierre del debate”.</w:t>
      </w:r>
    </w:p>
    <w:p w:rsidR="00665015" w:rsidRPr="00EE2FA1" w:rsidRDefault="00EE2FA1" w:rsidP="00665015">
      <w:pPr>
        <w:pStyle w:val="Prrafodelista"/>
        <w:rPr>
          <w:rFonts w:ascii="Times New Roman" w:hAnsi="Times New Roman" w:cs="Times New Roman"/>
          <w:bCs/>
          <w:iCs/>
          <w:sz w:val="28"/>
          <w:szCs w:val="28"/>
          <w:lang w:val="es-ES"/>
        </w:rPr>
      </w:pPr>
    </w:p>
    <w:p w:rsidR="00AA6300" w:rsidRPr="00EE2FA1" w:rsidRDefault="00EE2FA1" w:rsidP="00665015">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bCs/>
          <w:iCs/>
          <w:sz w:val="28"/>
          <w:szCs w:val="28"/>
          <w:lang w:val="es-ES"/>
        </w:rPr>
        <w:t xml:space="preserve">Para la Corte, </w:t>
      </w:r>
      <w:r w:rsidRPr="00EE2FA1">
        <w:rPr>
          <w:rFonts w:ascii="Times New Roman" w:hAnsi="Times New Roman" w:cs="Times New Roman"/>
          <w:color w:val="000000"/>
          <w:sz w:val="28"/>
          <w:szCs w:val="28"/>
          <w:lang w:val="es-MX"/>
        </w:rPr>
        <w:t>se entiende que la propuesta de archivo o de negativa del proyecto es posible presentar</w:t>
      </w:r>
      <w:r w:rsidRPr="00EE2FA1">
        <w:rPr>
          <w:rFonts w:ascii="Times New Roman" w:hAnsi="Times New Roman" w:cs="Times New Roman"/>
          <w:color w:val="000000"/>
          <w:sz w:val="28"/>
          <w:szCs w:val="28"/>
          <w:lang w:val="es-MX"/>
        </w:rPr>
        <w:t>la tanto en el trámite dispuesto para la</w:t>
      </w:r>
      <w:r w:rsidRPr="00EE2FA1">
        <w:rPr>
          <w:rFonts w:ascii="Times New Roman" w:hAnsi="Times New Roman" w:cs="Times New Roman"/>
          <w:color w:val="000000"/>
          <w:sz w:val="28"/>
          <w:szCs w:val="28"/>
          <w:lang w:val="es-MX"/>
        </w:rPr>
        <w:t xml:space="preserve"> comisión de </w:t>
      </w:r>
      <w:r w:rsidRPr="00EE2FA1">
        <w:rPr>
          <w:rFonts w:ascii="Times New Roman" w:hAnsi="Times New Roman" w:cs="Times New Roman"/>
          <w:color w:val="000000"/>
          <w:sz w:val="28"/>
          <w:szCs w:val="28"/>
          <w:lang w:val="es-MX"/>
        </w:rPr>
        <w:t xml:space="preserve"> Cámara de Representantes, como en el trámite dispuesto para </w:t>
      </w:r>
      <w:r w:rsidRPr="00EE2FA1">
        <w:rPr>
          <w:rFonts w:ascii="Times New Roman" w:hAnsi="Times New Roman" w:cs="Times New Roman"/>
          <w:color w:val="000000"/>
          <w:sz w:val="28"/>
          <w:szCs w:val="28"/>
          <w:lang w:val="es-MX"/>
        </w:rPr>
        <w:t xml:space="preserve">su homóloga en </w:t>
      </w:r>
      <w:r w:rsidRPr="00EE2FA1">
        <w:rPr>
          <w:rFonts w:ascii="Times New Roman" w:hAnsi="Times New Roman" w:cs="Times New Roman"/>
          <w:color w:val="000000"/>
          <w:sz w:val="28"/>
          <w:szCs w:val="28"/>
          <w:lang w:val="es-MX"/>
        </w:rPr>
        <w:t xml:space="preserve">el Senado de la República. Es decir, en términos generales, tanto la comisión de la Cámara como la del Senado </w:t>
      </w:r>
      <w:r w:rsidRPr="00EE2FA1">
        <w:rPr>
          <w:rFonts w:ascii="Times New Roman" w:hAnsi="Times New Roman" w:cs="Times New Roman"/>
          <w:color w:val="000000"/>
          <w:sz w:val="28"/>
          <w:szCs w:val="28"/>
          <w:lang w:val="es-MX"/>
        </w:rPr>
        <w:t xml:space="preserve">deben </w:t>
      </w:r>
      <w:r w:rsidRPr="00EE2FA1">
        <w:rPr>
          <w:rFonts w:ascii="Times New Roman" w:hAnsi="Times New Roman" w:cs="Times New Roman"/>
          <w:color w:val="000000"/>
          <w:sz w:val="28"/>
          <w:szCs w:val="28"/>
          <w:lang w:val="es-MX"/>
        </w:rPr>
        <w:t xml:space="preserve">debatir </w:t>
      </w:r>
      <w:r w:rsidRPr="00EE2FA1">
        <w:rPr>
          <w:rFonts w:ascii="Times New Roman" w:hAnsi="Times New Roman" w:cs="Times New Roman"/>
          <w:color w:val="000000"/>
          <w:sz w:val="28"/>
          <w:szCs w:val="28"/>
          <w:lang w:val="es-MX"/>
        </w:rPr>
        <w:t>las</w:t>
      </w:r>
      <w:r w:rsidRPr="00EE2FA1">
        <w:rPr>
          <w:rFonts w:ascii="Times New Roman" w:hAnsi="Times New Roman" w:cs="Times New Roman"/>
          <w:color w:val="000000"/>
          <w:sz w:val="28"/>
          <w:szCs w:val="28"/>
          <w:lang w:val="es-MX"/>
        </w:rPr>
        <w:t xml:space="preserve"> </w:t>
      </w:r>
      <w:r w:rsidRPr="00EE2FA1">
        <w:rPr>
          <w:rFonts w:ascii="Times New Roman" w:hAnsi="Times New Roman" w:cs="Times New Roman"/>
          <w:color w:val="000000"/>
          <w:sz w:val="28"/>
          <w:szCs w:val="28"/>
          <w:lang w:val="es-MX"/>
        </w:rPr>
        <w:t xml:space="preserve">propuestas de archivo del proyecto. Por tal razón, </w:t>
      </w:r>
      <w:r w:rsidRPr="00EE2FA1">
        <w:rPr>
          <w:rFonts w:ascii="Times New Roman" w:hAnsi="Times New Roman" w:cs="Times New Roman"/>
          <w:bCs/>
          <w:iCs/>
          <w:sz w:val="28"/>
          <w:szCs w:val="28"/>
          <w:lang w:val="es-ES"/>
        </w:rPr>
        <w:t xml:space="preserve">es necesario que se garantice la </w:t>
      </w:r>
      <w:r w:rsidRPr="00EE2FA1">
        <w:rPr>
          <w:rFonts w:ascii="Times New Roman" w:hAnsi="Times New Roman" w:cs="Times New Roman"/>
          <w:bCs/>
          <w:iCs/>
          <w:sz w:val="28"/>
          <w:szCs w:val="28"/>
          <w:lang w:val="es-ES_tradnl"/>
        </w:rPr>
        <w:t xml:space="preserve">posibilidad con la que cuenta cada una de las Cámaras – y en este caso, el Senado de la República- de decidir si estiman conveniente o no aceptar una </w:t>
      </w:r>
      <w:r w:rsidRPr="00EE2FA1">
        <w:rPr>
          <w:rFonts w:ascii="Times New Roman" w:hAnsi="Times New Roman" w:cs="Times New Roman"/>
          <w:iCs/>
          <w:sz w:val="28"/>
          <w:szCs w:val="28"/>
          <w:lang w:val="es-ES_tradnl"/>
        </w:rPr>
        <w:t>propuesta de archivo.</w:t>
      </w:r>
      <w:r w:rsidRPr="00EE2FA1">
        <w:rPr>
          <w:rFonts w:ascii="Times New Roman" w:hAnsi="Times New Roman" w:cs="Times New Roman"/>
          <w:bCs/>
          <w:iCs/>
          <w:sz w:val="28"/>
          <w:szCs w:val="28"/>
          <w:lang w:val="es-ES_tradnl"/>
        </w:rPr>
        <w:t xml:space="preserve"> </w:t>
      </w:r>
      <w:r w:rsidRPr="00EE2FA1">
        <w:rPr>
          <w:rFonts w:ascii="Times New Roman" w:hAnsi="Times New Roman" w:cs="Times New Roman"/>
          <w:bCs/>
          <w:iCs/>
          <w:sz w:val="28"/>
          <w:szCs w:val="28"/>
          <w:lang w:val="es-ES_tradnl"/>
        </w:rPr>
        <w:t>De esta manera</w:t>
      </w:r>
      <w:r w:rsidRPr="00EE2FA1">
        <w:rPr>
          <w:rFonts w:ascii="Times New Roman" w:hAnsi="Times New Roman" w:cs="Times New Roman"/>
          <w:bCs/>
          <w:iCs/>
          <w:sz w:val="28"/>
          <w:szCs w:val="28"/>
          <w:lang w:val="es-ES_tradnl"/>
        </w:rPr>
        <w:t>, el hecho de que la ponencia de archivo hubiese sido negada por la</w:t>
      </w:r>
      <w:r w:rsidRPr="00EE2FA1">
        <w:rPr>
          <w:rFonts w:ascii="Times New Roman" w:hAnsi="Times New Roman" w:cs="Times New Roman"/>
          <w:bCs/>
          <w:iCs/>
          <w:sz w:val="28"/>
          <w:szCs w:val="28"/>
          <w:lang w:val="es-ES_tradnl"/>
        </w:rPr>
        <w:t xml:space="preserve"> comisión de la</w:t>
      </w:r>
      <w:r w:rsidRPr="00EE2FA1">
        <w:rPr>
          <w:rFonts w:ascii="Times New Roman" w:hAnsi="Times New Roman" w:cs="Times New Roman"/>
          <w:bCs/>
          <w:iCs/>
          <w:sz w:val="28"/>
          <w:szCs w:val="28"/>
          <w:lang w:val="es-ES_tradnl"/>
        </w:rPr>
        <w:t xml:space="preserve"> Cámara de Representantes, no implicaba asumir </w:t>
      </w:r>
      <w:r w:rsidRPr="00EE2FA1">
        <w:rPr>
          <w:rFonts w:ascii="Times New Roman" w:hAnsi="Times New Roman" w:cs="Times New Roman"/>
          <w:bCs/>
          <w:iCs/>
          <w:sz w:val="28"/>
          <w:szCs w:val="28"/>
          <w:lang w:val="es-ES_tradnl"/>
        </w:rPr>
        <w:t xml:space="preserve">o anticipar </w:t>
      </w:r>
      <w:r w:rsidRPr="00EE2FA1">
        <w:rPr>
          <w:rFonts w:ascii="Times New Roman" w:hAnsi="Times New Roman" w:cs="Times New Roman"/>
          <w:bCs/>
          <w:iCs/>
          <w:sz w:val="28"/>
          <w:szCs w:val="28"/>
          <w:lang w:val="es-ES_tradnl"/>
        </w:rPr>
        <w:t xml:space="preserve">una decisión igual en el Senado </w:t>
      </w:r>
      <w:r w:rsidRPr="00EE2FA1">
        <w:rPr>
          <w:rFonts w:ascii="Times New Roman" w:hAnsi="Times New Roman" w:cs="Times New Roman"/>
          <w:bCs/>
          <w:iCs/>
          <w:sz w:val="28"/>
          <w:szCs w:val="28"/>
          <w:lang w:val="es-ES_tradnl"/>
        </w:rPr>
        <w:t>de la República</w:t>
      </w:r>
      <w:r w:rsidRPr="00EE2FA1">
        <w:rPr>
          <w:rFonts w:ascii="Times New Roman" w:hAnsi="Times New Roman" w:cs="Times New Roman"/>
          <w:bCs/>
          <w:iCs/>
          <w:sz w:val="28"/>
          <w:szCs w:val="28"/>
          <w:lang w:val="es-ES_tradnl"/>
        </w:rPr>
        <w:t>,</w:t>
      </w:r>
      <w:r w:rsidRPr="00EE2FA1">
        <w:rPr>
          <w:rFonts w:ascii="Times New Roman" w:hAnsi="Times New Roman" w:cs="Times New Roman"/>
          <w:bCs/>
          <w:iCs/>
          <w:sz w:val="28"/>
          <w:szCs w:val="28"/>
          <w:lang w:val="es-ES_tradnl"/>
        </w:rPr>
        <w:t xml:space="preserve"> </w:t>
      </w:r>
      <w:r w:rsidRPr="00EE2FA1">
        <w:rPr>
          <w:rFonts w:ascii="Times New Roman" w:hAnsi="Times New Roman" w:cs="Times New Roman"/>
          <w:bCs/>
          <w:iCs/>
          <w:sz w:val="28"/>
          <w:szCs w:val="28"/>
          <w:lang w:val="es-ES_tradnl"/>
        </w:rPr>
        <w:t xml:space="preserve">o que se tratase de una decisión definitiva sobre </w:t>
      </w:r>
      <w:r w:rsidRPr="00EE2FA1">
        <w:rPr>
          <w:rFonts w:ascii="Times New Roman" w:hAnsi="Times New Roman" w:cs="Times New Roman"/>
          <w:bCs/>
          <w:iCs/>
          <w:sz w:val="28"/>
          <w:szCs w:val="28"/>
          <w:lang w:val="es-ES_tradnl"/>
        </w:rPr>
        <w:t>la propuesta</w:t>
      </w:r>
      <w:r w:rsidRPr="00EE2FA1">
        <w:rPr>
          <w:rFonts w:ascii="Times New Roman" w:hAnsi="Times New Roman" w:cs="Times New Roman"/>
          <w:bCs/>
          <w:iCs/>
          <w:sz w:val="28"/>
          <w:szCs w:val="28"/>
          <w:lang w:val="es-ES_tradnl"/>
        </w:rPr>
        <w:t>, como si se sobrepusiese la decisión de una célula legislativa respecto de la otra</w:t>
      </w:r>
      <w:r w:rsidRPr="00EE2FA1">
        <w:rPr>
          <w:rFonts w:ascii="Times New Roman" w:hAnsi="Times New Roman" w:cs="Times New Roman"/>
          <w:bCs/>
          <w:iCs/>
          <w:sz w:val="28"/>
          <w:szCs w:val="28"/>
          <w:lang w:val="es-ES_tradnl"/>
        </w:rPr>
        <w:t>. En cualquier caso, resultaba necesario permitir a la otra cámara legislativa – a saber, el Senado de la República</w:t>
      </w:r>
      <w:r w:rsidRPr="00EE2FA1">
        <w:rPr>
          <w:rFonts w:ascii="Times New Roman" w:hAnsi="Times New Roman" w:cs="Times New Roman"/>
          <w:bCs/>
          <w:iCs/>
          <w:sz w:val="28"/>
          <w:szCs w:val="28"/>
          <w:lang w:val="es-ES_tradnl"/>
        </w:rPr>
        <w:t xml:space="preserve"> a través de su Comisión </w:t>
      </w:r>
      <w:r w:rsidRPr="00EE2FA1">
        <w:rPr>
          <w:rFonts w:ascii="Times New Roman" w:hAnsi="Times New Roman" w:cs="Times New Roman"/>
          <w:bCs/>
          <w:iCs/>
          <w:sz w:val="28"/>
          <w:szCs w:val="28"/>
          <w:lang w:val="es-ES_tradnl"/>
        </w:rPr>
        <w:t xml:space="preserve">Tercera </w:t>
      </w:r>
      <w:r w:rsidRPr="00EE2FA1">
        <w:rPr>
          <w:rFonts w:ascii="Times New Roman" w:hAnsi="Times New Roman" w:cs="Times New Roman"/>
          <w:bCs/>
          <w:iCs/>
          <w:sz w:val="28"/>
          <w:szCs w:val="28"/>
          <w:lang w:val="es-ES_tradnl"/>
        </w:rPr>
        <w:t>Constituciona</w:t>
      </w:r>
      <w:r w:rsidRPr="00EE2FA1">
        <w:rPr>
          <w:rFonts w:ascii="Times New Roman" w:hAnsi="Times New Roman" w:cs="Times New Roman"/>
          <w:bCs/>
          <w:iCs/>
          <w:sz w:val="28"/>
          <w:szCs w:val="28"/>
          <w:lang w:val="es-ES_tradnl"/>
        </w:rPr>
        <w:t>l Permanente</w:t>
      </w:r>
      <w:r w:rsidRPr="00EE2FA1">
        <w:rPr>
          <w:rFonts w:ascii="Times New Roman" w:hAnsi="Times New Roman" w:cs="Times New Roman"/>
          <w:bCs/>
          <w:iCs/>
          <w:sz w:val="28"/>
          <w:szCs w:val="28"/>
          <w:lang w:val="es-ES_tradnl"/>
        </w:rPr>
        <w:t xml:space="preserve"> – que manifestara su decisión al respecto</w:t>
      </w:r>
      <w:r w:rsidRPr="00EE2FA1">
        <w:rPr>
          <w:rFonts w:ascii="Times New Roman" w:hAnsi="Times New Roman" w:cs="Times New Roman"/>
          <w:bCs/>
          <w:iCs/>
          <w:sz w:val="28"/>
          <w:szCs w:val="28"/>
          <w:lang w:val="es-ES_tradnl"/>
        </w:rPr>
        <w:t>,</w:t>
      </w:r>
      <w:r w:rsidRPr="00EE2FA1">
        <w:rPr>
          <w:rFonts w:ascii="Times New Roman" w:hAnsi="Times New Roman" w:cs="Times New Roman"/>
          <w:bCs/>
          <w:iCs/>
          <w:sz w:val="28"/>
          <w:szCs w:val="28"/>
          <w:lang w:val="es-ES_tradnl"/>
        </w:rPr>
        <w:t xml:space="preserve"> la cual, de haber sido favorable a la </w:t>
      </w:r>
      <w:r w:rsidRPr="00EE2FA1">
        <w:rPr>
          <w:rFonts w:ascii="Times New Roman" w:hAnsi="Times New Roman" w:cs="Times New Roman"/>
          <w:iCs/>
          <w:sz w:val="28"/>
          <w:szCs w:val="28"/>
          <w:lang w:val="es-ES_tradnl"/>
        </w:rPr>
        <w:t>ponencia de archivo</w:t>
      </w:r>
      <w:r w:rsidRPr="00EE2FA1">
        <w:rPr>
          <w:rFonts w:ascii="Times New Roman" w:hAnsi="Times New Roman" w:cs="Times New Roman"/>
          <w:bCs/>
          <w:iCs/>
          <w:sz w:val="28"/>
          <w:szCs w:val="28"/>
          <w:lang w:val="es-ES_tradnl"/>
        </w:rPr>
        <w:t>, habría implicado el fin del</w:t>
      </w:r>
      <w:r w:rsidRPr="00EE2FA1">
        <w:rPr>
          <w:rFonts w:ascii="Times New Roman" w:hAnsi="Times New Roman" w:cs="Times New Roman"/>
          <w:bCs/>
          <w:iCs/>
          <w:sz w:val="28"/>
          <w:szCs w:val="28"/>
          <w:lang w:val="es-ES_tradnl"/>
        </w:rPr>
        <w:t xml:space="preserve"> trámite</w:t>
      </w:r>
      <w:r w:rsidRPr="00EE2FA1">
        <w:rPr>
          <w:rFonts w:ascii="Times New Roman" w:hAnsi="Times New Roman" w:cs="Times New Roman"/>
          <w:bCs/>
          <w:iCs/>
          <w:sz w:val="28"/>
          <w:szCs w:val="28"/>
          <w:lang w:val="es-ES_tradnl"/>
        </w:rPr>
        <w:t xml:space="preserve"> del proyecto de </w:t>
      </w:r>
      <w:r w:rsidRPr="00EE2FA1">
        <w:rPr>
          <w:rFonts w:ascii="Times New Roman" w:hAnsi="Times New Roman" w:cs="Times New Roman"/>
          <w:bCs/>
          <w:iCs/>
          <w:sz w:val="28"/>
          <w:szCs w:val="28"/>
          <w:lang w:val="es-ES_tradnl"/>
        </w:rPr>
        <w:t>l</w:t>
      </w:r>
      <w:r w:rsidRPr="00EE2FA1">
        <w:rPr>
          <w:rFonts w:ascii="Times New Roman" w:hAnsi="Times New Roman" w:cs="Times New Roman"/>
          <w:bCs/>
          <w:iCs/>
          <w:sz w:val="28"/>
          <w:szCs w:val="28"/>
          <w:lang w:val="es-ES_tradnl"/>
        </w:rPr>
        <w:t xml:space="preserve">ey, con independencia del resultado </w:t>
      </w:r>
      <w:r w:rsidRPr="00EE2FA1">
        <w:rPr>
          <w:rFonts w:ascii="Times New Roman" w:hAnsi="Times New Roman" w:cs="Times New Roman"/>
          <w:bCs/>
          <w:iCs/>
          <w:sz w:val="28"/>
          <w:szCs w:val="28"/>
          <w:lang w:val="es-ES_tradnl"/>
        </w:rPr>
        <w:t xml:space="preserve">previo </w:t>
      </w:r>
      <w:r w:rsidRPr="00EE2FA1">
        <w:rPr>
          <w:rFonts w:ascii="Times New Roman" w:hAnsi="Times New Roman" w:cs="Times New Roman"/>
          <w:bCs/>
          <w:iCs/>
          <w:sz w:val="28"/>
          <w:szCs w:val="28"/>
          <w:lang w:val="es-ES_tradnl"/>
        </w:rPr>
        <w:t>en</w:t>
      </w:r>
      <w:r w:rsidRPr="00EE2FA1">
        <w:rPr>
          <w:rFonts w:ascii="Times New Roman" w:hAnsi="Times New Roman" w:cs="Times New Roman"/>
          <w:bCs/>
          <w:iCs/>
          <w:sz w:val="28"/>
          <w:szCs w:val="28"/>
          <w:lang w:val="es-ES_tradnl"/>
        </w:rPr>
        <w:t xml:space="preserve"> la comisión de la</w:t>
      </w:r>
      <w:r w:rsidRPr="00EE2FA1">
        <w:rPr>
          <w:rFonts w:ascii="Times New Roman" w:hAnsi="Times New Roman" w:cs="Times New Roman"/>
          <w:bCs/>
          <w:iCs/>
          <w:sz w:val="28"/>
          <w:szCs w:val="28"/>
          <w:lang w:val="es-ES_tradnl"/>
        </w:rPr>
        <w:t xml:space="preserve"> Cámara de Representantes</w:t>
      </w:r>
      <w:r w:rsidRPr="00EE2FA1">
        <w:rPr>
          <w:rFonts w:ascii="Times New Roman" w:hAnsi="Times New Roman" w:cs="Times New Roman"/>
          <w:bCs/>
          <w:iCs/>
          <w:sz w:val="28"/>
          <w:szCs w:val="28"/>
          <w:lang w:val="es-ES_tradnl"/>
        </w:rPr>
        <w:t>.</w:t>
      </w:r>
    </w:p>
    <w:p w:rsidR="00AA6300" w:rsidRPr="00EE2FA1" w:rsidRDefault="00EE2FA1" w:rsidP="005A1143">
      <w:pPr>
        <w:pStyle w:val="Prrafodelista"/>
        <w:autoSpaceDE w:val="0"/>
        <w:autoSpaceDN w:val="0"/>
        <w:adjustRightInd w:val="0"/>
        <w:spacing w:line="0" w:lineRule="atLeast"/>
        <w:ind w:left="0"/>
        <w:jc w:val="both"/>
        <w:rPr>
          <w:rFonts w:ascii="Times New Roman" w:hAnsi="Times New Roman" w:cs="Times New Roman"/>
          <w:bCs/>
          <w:iCs/>
          <w:sz w:val="28"/>
          <w:szCs w:val="28"/>
          <w:lang w:val="es-ES_tradnl"/>
        </w:rPr>
      </w:pPr>
      <w:r w:rsidRPr="00EE2FA1">
        <w:rPr>
          <w:rFonts w:ascii="Times New Roman" w:hAnsi="Times New Roman" w:cs="Times New Roman"/>
          <w:bCs/>
          <w:iCs/>
          <w:sz w:val="28"/>
          <w:szCs w:val="28"/>
          <w:lang w:val="es-ES_tradnl"/>
        </w:rPr>
        <w:t xml:space="preserve"> </w:t>
      </w:r>
    </w:p>
    <w:p w:rsidR="00665015" w:rsidRPr="00EE2FA1" w:rsidRDefault="00EE2FA1" w:rsidP="00665015">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bCs/>
          <w:iCs/>
          <w:sz w:val="28"/>
          <w:szCs w:val="28"/>
          <w:lang w:val="es-ES_tradnl"/>
        </w:rPr>
        <w:t>El procedimiento legislativo requiere de la voluntad concurrente de ambas cámaras</w:t>
      </w:r>
      <w:r w:rsidRPr="00EE2FA1">
        <w:rPr>
          <w:rFonts w:ascii="Times New Roman" w:hAnsi="Times New Roman" w:cs="Times New Roman"/>
          <w:bCs/>
          <w:iCs/>
          <w:sz w:val="28"/>
          <w:szCs w:val="28"/>
          <w:lang w:val="es-ES_tradnl"/>
        </w:rPr>
        <w:t>, así como respetar la autonomía de cada una de las instancias legislativas que concurren en la formación de la ley conforme los mandatos superiores</w:t>
      </w:r>
      <w:r w:rsidRPr="00EE2FA1">
        <w:rPr>
          <w:rFonts w:ascii="Times New Roman" w:hAnsi="Times New Roman" w:cs="Times New Roman"/>
          <w:bCs/>
          <w:iCs/>
          <w:sz w:val="28"/>
          <w:szCs w:val="28"/>
          <w:lang w:val="es-ES_tradnl"/>
        </w:rPr>
        <w:t>. De ahí que el deber d</w:t>
      </w:r>
      <w:r w:rsidRPr="00EE2FA1">
        <w:rPr>
          <w:rFonts w:ascii="Times New Roman" w:hAnsi="Times New Roman" w:cs="Times New Roman"/>
          <w:bCs/>
          <w:iCs/>
          <w:sz w:val="28"/>
          <w:szCs w:val="28"/>
          <w:lang w:val="es-ES_tradnl"/>
        </w:rPr>
        <w:t>e votar las ponencias de archivo</w:t>
      </w:r>
      <w:r w:rsidRPr="00EE2FA1">
        <w:rPr>
          <w:rFonts w:ascii="Times New Roman" w:hAnsi="Times New Roman" w:cs="Times New Roman"/>
          <w:bCs/>
          <w:iCs/>
          <w:sz w:val="28"/>
          <w:szCs w:val="28"/>
          <w:lang w:val="es-ES_tradnl"/>
        </w:rPr>
        <w:t xml:space="preserve"> por </w:t>
      </w:r>
      <w:r w:rsidRPr="00EE2FA1">
        <w:rPr>
          <w:rFonts w:ascii="Times New Roman" w:hAnsi="Times New Roman" w:cs="Times New Roman"/>
          <w:bCs/>
          <w:iCs/>
          <w:sz w:val="28"/>
          <w:szCs w:val="28"/>
          <w:lang w:val="es-ES_tradnl"/>
        </w:rPr>
        <w:t>cada comisión sí tiene un efecto útil, que no se puede dar por supuesto</w:t>
      </w:r>
      <w:r w:rsidRPr="00EE2FA1">
        <w:rPr>
          <w:rFonts w:ascii="Times New Roman" w:hAnsi="Times New Roman" w:cs="Times New Roman"/>
          <w:bCs/>
          <w:iCs/>
          <w:sz w:val="28"/>
          <w:szCs w:val="28"/>
          <w:lang w:val="es-ES_tradnl"/>
        </w:rPr>
        <w:t xml:space="preserve"> o superado, así una de las comisiones niegue el archivo, pues la otra al aprobarlo igual </w:t>
      </w:r>
      <w:r w:rsidRPr="00EE2FA1">
        <w:rPr>
          <w:rFonts w:ascii="Times New Roman" w:hAnsi="Times New Roman" w:cs="Times New Roman"/>
          <w:bCs/>
          <w:iCs/>
          <w:sz w:val="28"/>
          <w:szCs w:val="28"/>
          <w:lang w:val="es-ES_tradnl"/>
        </w:rPr>
        <w:t xml:space="preserve">podría concluir </w:t>
      </w:r>
      <w:r w:rsidRPr="00EE2FA1">
        <w:rPr>
          <w:rFonts w:ascii="Times New Roman" w:hAnsi="Times New Roman" w:cs="Times New Roman"/>
          <w:bCs/>
          <w:iCs/>
          <w:sz w:val="28"/>
          <w:szCs w:val="28"/>
          <w:lang w:val="es-ES_tradnl"/>
        </w:rPr>
        <w:t xml:space="preserve">el trámite de la iniciativa, como por demás ocurre </w:t>
      </w:r>
      <w:r w:rsidRPr="00EE2FA1">
        <w:rPr>
          <w:rFonts w:ascii="Times New Roman" w:hAnsi="Times New Roman" w:cs="Times New Roman"/>
          <w:bCs/>
          <w:iCs/>
          <w:sz w:val="28"/>
          <w:szCs w:val="28"/>
          <w:lang w:val="es-ES_tradnl"/>
        </w:rPr>
        <w:t>cuando las sesiones de las comisiones son separadas</w:t>
      </w:r>
      <w:r w:rsidRPr="00EE2FA1">
        <w:rPr>
          <w:rFonts w:ascii="Times New Roman" w:hAnsi="Times New Roman" w:cs="Times New Roman"/>
          <w:bCs/>
          <w:iCs/>
          <w:sz w:val="28"/>
          <w:szCs w:val="28"/>
          <w:lang w:val="es-ES_tradnl"/>
        </w:rPr>
        <w:t>. La conformación bicameral del Congreso no puede pasarse por alto, aun cuando un proyecto de ley se tramite en sesiones conjuntas.</w:t>
      </w:r>
    </w:p>
    <w:p w:rsidR="00665015" w:rsidRPr="00EE2FA1" w:rsidRDefault="00EE2FA1" w:rsidP="00665015">
      <w:pPr>
        <w:pStyle w:val="Prrafodelista"/>
        <w:autoSpaceDE w:val="0"/>
        <w:autoSpaceDN w:val="0"/>
        <w:adjustRightInd w:val="0"/>
        <w:spacing w:line="0" w:lineRule="atLeast"/>
        <w:ind w:left="0"/>
        <w:jc w:val="both"/>
        <w:rPr>
          <w:rFonts w:ascii="Times New Roman" w:hAnsi="Times New Roman" w:cs="Times New Roman"/>
          <w:bCs/>
          <w:iCs/>
          <w:sz w:val="28"/>
          <w:szCs w:val="28"/>
          <w:lang w:val="es-ES_tradnl"/>
        </w:rPr>
      </w:pPr>
    </w:p>
    <w:p w:rsidR="00561D96" w:rsidRPr="00EE2FA1" w:rsidRDefault="00EE2FA1" w:rsidP="00665015">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color w:val="000000"/>
          <w:sz w:val="28"/>
          <w:szCs w:val="28"/>
          <w:lang w:val="es-MX"/>
        </w:rPr>
        <w:t>Así las cosas, es pos</w:t>
      </w:r>
      <w:r w:rsidRPr="00EE2FA1">
        <w:rPr>
          <w:rFonts w:ascii="Times New Roman" w:hAnsi="Times New Roman" w:cs="Times New Roman"/>
          <w:color w:val="000000"/>
          <w:sz w:val="28"/>
          <w:szCs w:val="28"/>
          <w:lang w:val="es-MX"/>
        </w:rPr>
        <w:t>ible considerar que cuando se trata de</w:t>
      </w:r>
      <w:r w:rsidRPr="00EE2FA1">
        <w:rPr>
          <w:rFonts w:ascii="Times New Roman" w:hAnsi="Times New Roman" w:cs="Times New Roman"/>
          <w:color w:val="000000"/>
          <w:sz w:val="28"/>
          <w:szCs w:val="28"/>
          <w:lang w:val="es-MX"/>
        </w:rPr>
        <w:t xml:space="preserve"> debate en</w:t>
      </w:r>
      <w:r w:rsidRPr="00EE2FA1">
        <w:rPr>
          <w:rFonts w:ascii="Times New Roman" w:hAnsi="Times New Roman" w:cs="Times New Roman"/>
          <w:color w:val="000000"/>
          <w:sz w:val="28"/>
          <w:szCs w:val="28"/>
          <w:lang w:val="es-MX"/>
        </w:rPr>
        <w:t xml:space="preserve"> comisiones conjuntas</w:t>
      </w:r>
      <w:r w:rsidRPr="00EE2FA1">
        <w:rPr>
          <w:rFonts w:ascii="Times New Roman" w:hAnsi="Times New Roman" w:cs="Times New Roman"/>
          <w:color w:val="000000"/>
          <w:sz w:val="28"/>
          <w:szCs w:val="28"/>
          <w:lang w:val="es-MX"/>
        </w:rPr>
        <w:t>,</w:t>
      </w:r>
      <w:r w:rsidRPr="00EE2FA1">
        <w:rPr>
          <w:rFonts w:ascii="Times New Roman" w:hAnsi="Times New Roman" w:cs="Times New Roman"/>
          <w:color w:val="000000"/>
          <w:sz w:val="28"/>
          <w:szCs w:val="28"/>
          <w:lang w:val="es-MX"/>
        </w:rPr>
        <w:t xml:space="preserve"> cada comisión debe votar lo debatido</w:t>
      </w:r>
      <w:r w:rsidRPr="00EE2FA1">
        <w:rPr>
          <w:rFonts w:ascii="Times New Roman" w:hAnsi="Times New Roman" w:cs="Times New Roman"/>
          <w:color w:val="000000"/>
          <w:sz w:val="28"/>
          <w:szCs w:val="28"/>
          <w:lang w:val="es-MX"/>
        </w:rPr>
        <w:t>,</w:t>
      </w:r>
      <w:r w:rsidRPr="00EE2FA1">
        <w:rPr>
          <w:rFonts w:ascii="Times New Roman" w:hAnsi="Times New Roman" w:cs="Times New Roman"/>
          <w:color w:val="000000"/>
          <w:sz w:val="28"/>
          <w:szCs w:val="28"/>
          <w:lang w:val="es-MX"/>
        </w:rPr>
        <w:t xml:space="preserve"> </w:t>
      </w:r>
      <w:r w:rsidRPr="00EE2FA1">
        <w:rPr>
          <w:rFonts w:ascii="Times New Roman" w:hAnsi="Times New Roman" w:cs="Times New Roman"/>
          <w:color w:val="000000"/>
          <w:sz w:val="28"/>
          <w:szCs w:val="28"/>
          <w:lang w:val="es-MX"/>
        </w:rPr>
        <w:t>t</w:t>
      </w:r>
      <w:r w:rsidRPr="00EE2FA1">
        <w:rPr>
          <w:rFonts w:ascii="Times New Roman" w:hAnsi="Times New Roman" w:cs="Times New Roman"/>
          <w:color w:val="000000"/>
          <w:sz w:val="28"/>
          <w:szCs w:val="28"/>
          <w:lang w:val="es-MX"/>
        </w:rPr>
        <w:t xml:space="preserve">eniendo en cuenta </w:t>
      </w:r>
      <w:r w:rsidRPr="00EE2FA1">
        <w:rPr>
          <w:rFonts w:ascii="Times New Roman" w:hAnsi="Times New Roman" w:cs="Times New Roman"/>
          <w:color w:val="000000"/>
          <w:sz w:val="28"/>
          <w:szCs w:val="28"/>
          <w:lang w:val="es-MX"/>
        </w:rPr>
        <w:t xml:space="preserve">además </w:t>
      </w:r>
      <w:r w:rsidRPr="00EE2FA1">
        <w:rPr>
          <w:rFonts w:ascii="Times New Roman" w:hAnsi="Times New Roman" w:cs="Times New Roman"/>
          <w:color w:val="000000"/>
          <w:sz w:val="28"/>
          <w:szCs w:val="28"/>
          <w:lang w:val="es-MX"/>
        </w:rPr>
        <w:t>que este escenario es la única oportunidad para que cada una de las comisiones (</w:t>
      </w:r>
      <w:r w:rsidRPr="00EE2FA1">
        <w:rPr>
          <w:rFonts w:ascii="Times New Roman" w:hAnsi="Times New Roman" w:cs="Times New Roman"/>
          <w:color w:val="000000"/>
          <w:sz w:val="28"/>
          <w:szCs w:val="28"/>
          <w:lang w:val="es-MX"/>
        </w:rPr>
        <w:t>de S</w:t>
      </w:r>
      <w:r w:rsidRPr="00EE2FA1">
        <w:rPr>
          <w:rFonts w:ascii="Times New Roman" w:hAnsi="Times New Roman" w:cs="Times New Roman"/>
          <w:color w:val="000000"/>
          <w:sz w:val="28"/>
          <w:szCs w:val="28"/>
          <w:lang w:val="es-MX"/>
        </w:rPr>
        <w:t xml:space="preserve">enado y </w:t>
      </w:r>
      <w:r w:rsidRPr="00EE2FA1">
        <w:rPr>
          <w:rFonts w:ascii="Times New Roman" w:hAnsi="Times New Roman" w:cs="Times New Roman"/>
          <w:color w:val="000000"/>
          <w:sz w:val="28"/>
          <w:szCs w:val="28"/>
          <w:lang w:val="es-MX"/>
        </w:rPr>
        <w:t>C</w:t>
      </w:r>
      <w:r w:rsidRPr="00EE2FA1">
        <w:rPr>
          <w:rFonts w:ascii="Times New Roman" w:hAnsi="Times New Roman" w:cs="Times New Roman"/>
          <w:color w:val="000000"/>
          <w:sz w:val="28"/>
          <w:szCs w:val="28"/>
          <w:lang w:val="es-MX"/>
        </w:rPr>
        <w:t>ámara</w:t>
      </w:r>
      <w:r w:rsidRPr="00EE2FA1">
        <w:rPr>
          <w:rFonts w:ascii="Times New Roman" w:hAnsi="Times New Roman" w:cs="Times New Roman"/>
          <w:color w:val="000000"/>
          <w:sz w:val="28"/>
          <w:szCs w:val="28"/>
          <w:lang w:val="es-MX"/>
        </w:rPr>
        <w:t xml:space="preserve"> de Representantes</w:t>
      </w:r>
      <w:r w:rsidRPr="00EE2FA1">
        <w:rPr>
          <w:rFonts w:ascii="Times New Roman" w:hAnsi="Times New Roman" w:cs="Times New Roman"/>
          <w:color w:val="000000"/>
          <w:sz w:val="28"/>
          <w:szCs w:val="28"/>
          <w:lang w:val="es-MX"/>
        </w:rPr>
        <w:t>) dec</w:t>
      </w:r>
      <w:r w:rsidRPr="00EE2FA1">
        <w:rPr>
          <w:rFonts w:ascii="Times New Roman" w:hAnsi="Times New Roman" w:cs="Times New Roman"/>
          <w:color w:val="000000"/>
          <w:sz w:val="28"/>
          <w:szCs w:val="28"/>
          <w:lang w:val="es-MX"/>
        </w:rPr>
        <w:t>ida sobre las ponencias de archivo</w:t>
      </w:r>
      <w:r w:rsidRPr="00EE2FA1">
        <w:rPr>
          <w:rFonts w:ascii="Times New Roman" w:hAnsi="Times New Roman" w:cs="Times New Roman"/>
          <w:color w:val="000000"/>
          <w:sz w:val="28"/>
          <w:szCs w:val="28"/>
          <w:lang w:val="es-MX"/>
        </w:rPr>
        <w:t xml:space="preserve"> como de trámite</w:t>
      </w:r>
      <w:r w:rsidRPr="00EE2FA1">
        <w:rPr>
          <w:rFonts w:ascii="Times New Roman" w:hAnsi="Times New Roman" w:cs="Times New Roman"/>
          <w:color w:val="000000"/>
          <w:sz w:val="28"/>
          <w:szCs w:val="28"/>
          <w:lang w:val="es-MX"/>
        </w:rPr>
        <w:t xml:space="preserve">, previo debate sobre ello. </w:t>
      </w:r>
      <w:r w:rsidRPr="00EE2FA1">
        <w:rPr>
          <w:rFonts w:ascii="Times New Roman" w:hAnsi="Times New Roman" w:cs="Times New Roman"/>
          <w:color w:val="000000"/>
          <w:sz w:val="28"/>
          <w:szCs w:val="28"/>
          <w:lang w:val="es-MX"/>
        </w:rPr>
        <w:t>Omitir dicho trámite constituye un vicio relevante, justamente por la afectación respecto de la estructura orgánica y la funcionalidad prevista por el constituyente para el Congr</w:t>
      </w:r>
      <w:r w:rsidRPr="00EE2FA1">
        <w:rPr>
          <w:rFonts w:ascii="Times New Roman" w:hAnsi="Times New Roman" w:cs="Times New Roman"/>
          <w:color w:val="000000"/>
          <w:sz w:val="28"/>
          <w:szCs w:val="28"/>
          <w:lang w:val="es-MX"/>
        </w:rPr>
        <w:t>eso de la República.</w:t>
      </w:r>
    </w:p>
    <w:p w:rsidR="008868B3" w:rsidRPr="00EE2FA1" w:rsidRDefault="00EE2FA1" w:rsidP="008868B3">
      <w:pPr>
        <w:pStyle w:val="Prrafodelista"/>
        <w:autoSpaceDE w:val="0"/>
        <w:autoSpaceDN w:val="0"/>
        <w:adjustRightInd w:val="0"/>
        <w:spacing w:line="0" w:lineRule="atLeast"/>
        <w:ind w:left="0"/>
        <w:jc w:val="both"/>
        <w:rPr>
          <w:rFonts w:ascii="Times New Roman" w:hAnsi="Times New Roman" w:cs="Times New Roman"/>
          <w:bCs/>
          <w:iCs/>
          <w:sz w:val="28"/>
          <w:szCs w:val="28"/>
          <w:lang w:val="es-ES_tradnl"/>
        </w:rPr>
      </w:pPr>
    </w:p>
    <w:p w:rsidR="004E36C4" w:rsidRPr="00EE2FA1" w:rsidRDefault="00EE2FA1" w:rsidP="00665015">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bCs/>
          <w:iCs/>
          <w:sz w:val="28"/>
          <w:szCs w:val="28"/>
          <w:lang w:val="es-ES_tradnl"/>
        </w:rPr>
        <w:t xml:space="preserve">Ahora bien, la Corte considera necesario precisar que la aplicación de esta garantía del trámite legislativo debe hacerse </w:t>
      </w:r>
      <w:r w:rsidRPr="00EE2FA1">
        <w:rPr>
          <w:rFonts w:ascii="Times New Roman" w:hAnsi="Times New Roman" w:cs="Times New Roman"/>
          <w:bCs/>
          <w:iCs/>
          <w:sz w:val="28"/>
          <w:szCs w:val="28"/>
          <w:lang w:val="es-ES_tradnl"/>
        </w:rPr>
        <w:t>bajo criterios de razonabilidad, con observancia de</w:t>
      </w:r>
      <w:r w:rsidRPr="00EE2FA1">
        <w:rPr>
          <w:rFonts w:ascii="Times New Roman" w:hAnsi="Times New Roman" w:cs="Times New Roman"/>
          <w:bCs/>
          <w:iCs/>
          <w:sz w:val="28"/>
          <w:szCs w:val="28"/>
          <w:lang w:val="es-ES_tradnl"/>
        </w:rPr>
        <w:t xml:space="preserve"> </w:t>
      </w:r>
      <w:r w:rsidRPr="00EE2FA1">
        <w:rPr>
          <w:rFonts w:ascii="Times New Roman" w:hAnsi="Times New Roman" w:cs="Times New Roman"/>
          <w:bCs/>
          <w:iCs/>
          <w:sz w:val="28"/>
          <w:szCs w:val="28"/>
          <w:lang w:val="es-ES_tradnl"/>
        </w:rPr>
        <w:t>l</w:t>
      </w:r>
      <w:r w:rsidRPr="00EE2FA1">
        <w:rPr>
          <w:rFonts w:ascii="Times New Roman" w:hAnsi="Times New Roman" w:cs="Times New Roman"/>
          <w:bCs/>
          <w:iCs/>
          <w:sz w:val="28"/>
          <w:szCs w:val="28"/>
          <w:lang w:val="es-ES_tradnl"/>
        </w:rPr>
        <w:t>os</w:t>
      </w:r>
      <w:r w:rsidRPr="00EE2FA1">
        <w:rPr>
          <w:rFonts w:ascii="Times New Roman" w:hAnsi="Times New Roman" w:cs="Times New Roman"/>
          <w:bCs/>
          <w:iCs/>
          <w:sz w:val="28"/>
          <w:szCs w:val="28"/>
          <w:lang w:val="es-ES_tradnl"/>
        </w:rPr>
        <w:t xml:space="preserve"> principio</w:t>
      </w:r>
      <w:r w:rsidRPr="00EE2FA1">
        <w:rPr>
          <w:rFonts w:ascii="Times New Roman" w:hAnsi="Times New Roman" w:cs="Times New Roman"/>
          <w:bCs/>
          <w:iCs/>
          <w:sz w:val="28"/>
          <w:szCs w:val="28"/>
          <w:lang w:val="es-ES_tradnl"/>
        </w:rPr>
        <w:t>s</w:t>
      </w:r>
      <w:r w:rsidRPr="00EE2FA1">
        <w:rPr>
          <w:rFonts w:ascii="Times New Roman" w:hAnsi="Times New Roman" w:cs="Times New Roman"/>
          <w:bCs/>
          <w:iCs/>
          <w:sz w:val="28"/>
          <w:szCs w:val="28"/>
          <w:lang w:val="es-ES_tradnl"/>
        </w:rPr>
        <w:t xml:space="preserve"> de</w:t>
      </w:r>
      <w:r w:rsidRPr="00EE2FA1">
        <w:rPr>
          <w:rFonts w:ascii="Times New Roman" w:hAnsi="Times New Roman" w:cs="Times New Roman"/>
          <w:bCs/>
          <w:iCs/>
          <w:sz w:val="28"/>
          <w:szCs w:val="28"/>
          <w:lang w:val="es-ES_tradnl"/>
        </w:rPr>
        <w:t xml:space="preserve"> efecto útil de las normas y de</w:t>
      </w:r>
      <w:r w:rsidRPr="00EE2FA1">
        <w:rPr>
          <w:rFonts w:ascii="Times New Roman" w:hAnsi="Times New Roman" w:cs="Times New Roman"/>
          <w:bCs/>
          <w:iCs/>
          <w:sz w:val="28"/>
          <w:szCs w:val="28"/>
          <w:lang w:val="es-ES_tradnl"/>
        </w:rPr>
        <w:t xml:space="preserve"> prevalencia del derecho sustancial sobre las formas y de manera sistemática con las reglas y postulados que guían el proceso legislativo. De esta manera, la Sala advierte que pueden presentarse las siguientes situaciones en las que la garantía tendría que</w:t>
      </w:r>
      <w:r w:rsidRPr="00EE2FA1">
        <w:rPr>
          <w:rFonts w:ascii="Times New Roman" w:hAnsi="Times New Roman" w:cs="Times New Roman"/>
          <w:bCs/>
          <w:iCs/>
          <w:sz w:val="28"/>
          <w:szCs w:val="28"/>
          <w:lang w:val="es-ES_tradnl"/>
        </w:rPr>
        <w:t xml:space="preserve"> aplicarse: </w:t>
      </w:r>
    </w:p>
    <w:p w:rsidR="004E36C4" w:rsidRPr="00EE2FA1" w:rsidRDefault="00EE2FA1" w:rsidP="004E36C4">
      <w:pPr>
        <w:pStyle w:val="Prrafodelista"/>
        <w:rPr>
          <w:rFonts w:ascii="Times New Roman" w:hAnsi="Times New Roman" w:cs="Times New Roman"/>
          <w:bCs/>
          <w:iCs/>
          <w:sz w:val="28"/>
          <w:szCs w:val="28"/>
          <w:lang w:val="es-ES_tradnl"/>
        </w:rPr>
      </w:pPr>
    </w:p>
    <w:tbl>
      <w:tblPr>
        <w:tblStyle w:val="Tablaconcuadrcula"/>
        <w:tblW w:w="0" w:type="auto"/>
        <w:tblLook w:val="04A0" w:firstRow="1" w:lastRow="0" w:firstColumn="1" w:lastColumn="0" w:noHBand="0" w:noVBand="1"/>
      </w:tblPr>
      <w:tblGrid>
        <w:gridCol w:w="1269"/>
        <w:gridCol w:w="1190"/>
        <w:gridCol w:w="1190"/>
        <w:gridCol w:w="5578"/>
      </w:tblGrid>
      <w:tr w:rsidR="004E36C4" w:rsidRPr="00EE2FA1" w:rsidTr="00746AF6">
        <w:tc>
          <w:tcPr>
            <w:tcW w:w="9227" w:type="dxa"/>
            <w:gridSpan w:val="4"/>
          </w:tcPr>
          <w:p w:rsidR="004E36C4" w:rsidRPr="00EE2FA1" w:rsidRDefault="00EE2FA1" w:rsidP="004E36C4">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Ponencia de archivo en comisiones conjuntas</w:t>
            </w:r>
          </w:p>
        </w:tc>
      </w:tr>
      <w:tr w:rsidR="00357BBC" w:rsidRPr="00EE2FA1" w:rsidTr="008006B6">
        <w:tc>
          <w:tcPr>
            <w:tcW w:w="1271" w:type="dxa"/>
          </w:tcPr>
          <w:p w:rsidR="004E36C4"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Supuestos</w:t>
            </w:r>
          </w:p>
        </w:tc>
        <w:tc>
          <w:tcPr>
            <w:tcW w:w="1134" w:type="dxa"/>
          </w:tcPr>
          <w:p w:rsidR="00357BBC"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Comisión</w:t>
            </w:r>
          </w:p>
          <w:p w:rsidR="004E36C4"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Cámara</w:t>
            </w:r>
          </w:p>
        </w:tc>
        <w:tc>
          <w:tcPr>
            <w:tcW w:w="992" w:type="dxa"/>
          </w:tcPr>
          <w:p w:rsidR="00357BBC"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Comisión</w:t>
            </w:r>
          </w:p>
          <w:p w:rsidR="004E36C4"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Senado</w:t>
            </w:r>
          </w:p>
        </w:tc>
        <w:tc>
          <w:tcPr>
            <w:tcW w:w="5830" w:type="dxa"/>
          </w:tcPr>
          <w:p w:rsidR="004E36C4" w:rsidRPr="00EE2FA1" w:rsidRDefault="00EE2FA1" w:rsidP="008006B6">
            <w:pPr>
              <w:autoSpaceDE w:val="0"/>
              <w:autoSpaceDN w:val="0"/>
              <w:adjustRightInd w:val="0"/>
              <w:spacing w:line="0" w:lineRule="atLeast"/>
              <w:jc w:val="center"/>
              <w:rPr>
                <w:rFonts w:ascii="Times New Roman" w:hAnsi="Times New Roman" w:cs="Times New Roman"/>
                <w:b/>
                <w:iCs/>
                <w:sz w:val="28"/>
                <w:lang w:val="es-ES_tradnl"/>
              </w:rPr>
            </w:pPr>
            <w:r w:rsidRPr="00EE2FA1">
              <w:rPr>
                <w:rFonts w:ascii="Times New Roman" w:hAnsi="Times New Roman" w:cs="Times New Roman"/>
                <w:b/>
                <w:iCs/>
                <w:sz w:val="28"/>
                <w:lang w:val="es-ES_tradnl"/>
              </w:rPr>
              <w:t>Consecuencia</w:t>
            </w:r>
          </w:p>
        </w:tc>
      </w:tr>
      <w:tr w:rsidR="00357BBC" w:rsidRPr="00EE2FA1" w:rsidTr="008006B6">
        <w:tc>
          <w:tcPr>
            <w:tcW w:w="1271" w:type="dxa"/>
          </w:tcPr>
          <w:p w:rsidR="004E36C4" w:rsidRPr="00EE2FA1" w:rsidRDefault="00EE2FA1" w:rsidP="008006B6">
            <w:pPr>
              <w:autoSpaceDE w:val="0"/>
              <w:autoSpaceDN w:val="0"/>
              <w:adjustRightInd w:val="0"/>
              <w:spacing w:line="0" w:lineRule="atLeast"/>
              <w:jc w:val="center"/>
              <w:rPr>
                <w:rFonts w:ascii="Times New Roman" w:hAnsi="Times New Roman" w:cs="Times New Roman"/>
                <w:bCs/>
                <w:iCs/>
                <w:sz w:val="28"/>
                <w:lang w:val="es-ES_tradnl"/>
              </w:rPr>
            </w:pPr>
            <w:r w:rsidRPr="00EE2FA1">
              <w:rPr>
                <w:rFonts w:ascii="Times New Roman" w:hAnsi="Times New Roman" w:cs="Times New Roman"/>
                <w:bCs/>
                <w:iCs/>
                <w:sz w:val="28"/>
                <w:lang w:val="es-ES_tradnl"/>
              </w:rPr>
              <w:t>1</w:t>
            </w:r>
          </w:p>
        </w:tc>
        <w:tc>
          <w:tcPr>
            <w:tcW w:w="1134"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Vota no </w:t>
            </w:r>
          </w:p>
        </w:tc>
        <w:tc>
          <w:tcPr>
            <w:tcW w:w="992"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Vota no </w:t>
            </w:r>
          </w:p>
        </w:tc>
        <w:tc>
          <w:tcPr>
            <w:tcW w:w="5830"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Negada la ponencia de archivo. </w:t>
            </w:r>
          </w:p>
        </w:tc>
      </w:tr>
      <w:tr w:rsidR="00357BBC" w:rsidRPr="00EE2FA1" w:rsidTr="008006B6">
        <w:tc>
          <w:tcPr>
            <w:tcW w:w="1271" w:type="dxa"/>
          </w:tcPr>
          <w:p w:rsidR="004E36C4" w:rsidRPr="00EE2FA1" w:rsidRDefault="00EE2FA1" w:rsidP="008006B6">
            <w:pPr>
              <w:autoSpaceDE w:val="0"/>
              <w:autoSpaceDN w:val="0"/>
              <w:adjustRightInd w:val="0"/>
              <w:spacing w:line="0" w:lineRule="atLeast"/>
              <w:jc w:val="center"/>
              <w:rPr>
                <w:rFonts w:ascii="Times New Roman" w:hAnsi="Times New Roman" w:cs="Times New Roman"/>
                <w:bCs/>
                <w:iCs/>
                <w:sz w:val="28"/>
                <w:lang w:val="es-ES_tradnl"/>
              </w:rPr>
            </w:pPr>
            <w:r w:rsidRPr="00EE2FA1">
              <w:rPr>
                <w:rFonts w:ascii="Times New Roman" w:hAnsi="Times New Roman" w:cs="Times New Roman"/>
                <w:bCs/>
                <w:iCs/>
                <w:sz w:val="28"/>
                <w:lang w:val="es-ES_tradnl"/>
              </w:rPr>
              <w:t>2</w:t>
            </w:r>
          </w:p>
        </w:tc>
        <w:tc>
          <w:tcPr>
            <w:tcW w:w="1134"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Vota </w:t>
            </w:r>
            <w:r w:rsidRPr="00EE2FA1">
              <w:rPr>
                <w:rFonts w:ascii="Times New Roman" w:hAnsi="Times New Roman" w:cs="Times New Roman"/>
                <w:bCs/>
                <w:iCs/>
                <w:sz w:val="28"/>
                <w:lang w:val="es-ES_tradnl"/>
              </w:rPr>
              <w:t>s</w:t>
            </w:r>
            <w:r w:rsidRPr="00EE2FA1">
              <w:rPr>
                <w:rFonts w:ascii="Times New Roman" w:hAnsi="Times New Roman" w:cs="Times New Roman"/>
                <w:bCs/>
                <w:iCs/>
                <w:sz w:val="28"/>
                <w:lang w:val="es-ES_tradnl"/>
              </w:rPr>
              <w:t>í</w:t>
            </w:r>
            <w:r w:rsidRPr="00EE2FA1">
              <w:rPr>
                <w:rFonts w:ascii="Times New Roman" w:hAnsi="Times New Roman" w:cs="Times New Roman"/>
                <w:bCs/>
                <w:iCs/>
                <w:sz w:val="28"/>
                <w:lang w:val="es-ES_tradnl"/>
              </w:rPr>
              <w:t xml:space="preserve"> </w:t>
            </w:r>
          </w:p>
        </w:tc>
        <w:tc>
          <w:tcPr>
            <w:tcW w:w="992"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NA</w:t>
            </w:r>
          </w:p>
        </w:tc>
        <w:tc>
          <w:tcPr>
            <w:tcW w:w="5830"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Aprobada la ponencia por la primera </w:t>
            </w:r>
            <w:r w:rsidRPr="00EE2FA1">
              <w:rPr>
                <w:rFonts w:ascii="Times New Roman" w:hAnsi="Times New Roman" w:cs="Times New Roman"/>
                <w:bCs/>
                <w:iCs/>
                <w:sz w:val="28"/>
                <w:lang w:val="es-ES_tradnl"/>
              </w:rPr>
              <w:t xml:space="preserve">comisión </w:t>
            </w:r>
            <w:r w:rsidRPr="00EE2FA1">
              <w:rPr>
                <w:rFonts w:ascii="Times New Roman" w:hAnsi="Times New Roman" w:cs="Times New Roman"/>
                <w:bCs/>
                <w:iCs/>
                <w:sz w:val="28"/>
                <w:lang w:val="es-ES_tradnl"/>
              </w:rPr>
              <w:t xml:space="preserve">que vota, se archiva el proyecto principal. </w:t>
            </w:r>
          </w:p>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p>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No se requiere votación de </w:t>
            </w:r>
            <w:r w:rsidRPr="00EE2FA1">
              <w:rPr>
                <w:rFonts w:ascii="Times New Roman" w:hAnsi="Times New Roman" w:cs="Times New Roman"/>
                <w:bCs/>
                <w:iCs/>
                <w:sz w:val="28"/>
                <w:lang w:val="es-ES_tradnl"/>
              </w:rPr>
              <w:t xml:space="preserve">la </w:t>
            </w:r>
            <w:r w:rsidRPr="00EE2FA1">
              <w:rPr>
                <w:rFonts w:ascii="Times New Roman" w:hAnsi="Times New Roman" w:cs="Times New Roman"/>
                <w:bCs/>
                <w:iCs/>
                <w:sz w:val="28"/>
                <w:lang w:val="es-ES_tradnl"/>
              </w:rPr>
              <w:t xml:space="preserve">otra </w:t>
            </w:r>
            <w:r w:rsidRPr="00EE2FA1">
              <w:rPr>
                <w:rFonts w:ascii="Times New Roman" w:hAnsi="Times New Roman" w:cs="Times New Roman"/>
                <w:bCs/>
                <w:iCs/>
                <w:sz w:val="28"/>
                <w:lang w:val="es-ES_tradnl"/>
              </w:rPr>
              <w:t xml:space="preserve">comisión </w:t>
            </w:r>
            <w:r w:rsidRPr="00EE2FA1">
              <w:rPr>
                <w:rFonts w:ascii="Times New Roman" w:hAnsi="Times New Roman" w:cs="Times New Roman"/>
                <w:bCs/>
                <w:iCs/>
                <w:sz w:val="28"/>
                <w:lang w:val="es-ES_tradnl"/>
              </w:rPr>
              <w:t xml:space="preserve">porque aun cuando pueda ser negativa, en aplicación del principio de consecutividad, el proyecto de ley no cumple con la aprobación en </w:t>
            </w:r>
            <w:r w:rsidRPr="00EE2FA1">
              <w:rPr>
                <w:rFonts w:ascii="Times New Roman" w:hAnsi="Times New Roman" w:cs="Times New Roman"/>
                <w:bCs/>
                <w:iCs/>
                <w:sz w:val="28"/>
                <w:lang w:val="es-ES_tradnl"/>
              </w:rPr>
              <w:t xml:space="preserve">los </w:t>
            </w:r>
            <w:r w:rsidRPr="00EE2FA1">
              <w:rPr>
                <w:rFonts w:ascii="Times New Roman" w:hAnsi="Times New Roman" w:cs="Times New Roman"/>
                <w:bCs/>
                <w:iCs/>
                <w:sz w:val="28"/>
                <w:lang w:val="es-ES_tradnl"/>
              </w:rPr>
              <w:t>debates</w:t>
            </w:r>
            <w:r w:rsidRPr="00EE2FA1">
              <w:rPr>
                <w:rFonts w:ascii="Times New Roman" w:hAnsi="Times New Roman" w:cs="Times New Roman"/>
                <w:bCs/>
                <w:iCs/>
                <w:sz w:val="28"/>
                <w:lang w:val="es-ES_tradnl"/>
              </w:rPr>
              <w:t xml:space="preserve"> exigidos</w:t>
            </w:r>
            <w:r w:rsidRPr="00EE2FA1">
              <w:rPr>
                <w:rFonts w:ascii="Times New Roman" w:hAnsi="Times New Roman" w:cs="Times New Roman"/>
                <w:bCs/>
                <w:iCs/>
                <w:sz w:val="28"/>
                <w:lang w:val="es-ES_tradnl"/>
              </w:rPr>
              <w:t xml:space="preserve">. </w:t>
            </w:r>
            <w:r w:rsidRPr="00EE2FA1">
              <w:rPr>
                <w:rFonts w:ascii="Times New Roman" w:hAnsi="Times New Roman" w:cs="Times New Roman"/>
                <w:bCs/>
                <w:iCs/>
                <w:sz w:val="28"/>
                <w:lang w:val="es-ES_tradnl"/>
              </w:rPr>
              <w:t xml:space="preserve"> </w:t>
            </w:r>
            <w:r w:rsidRPr="00EE2FA1">
              <w:rPr>
                <w:rFonts w:ascii="Times New Roman" w:hAnsi="Times New Roman" w:cs="Times New Roman"/>
                <w:bCs/>
                <w:iCs/>
                <w:sz w:val="28"/>
                <w:lang w:val="es-ES_tradnl"/>
              </w:rPr>
              <w:t>Se impon</w:t>
            </w:r>
            <w:r w:rsidRPr="00EE2FA1">
              <w:rPr>
                <w:rFonts w:ascii="Times New Roman" w:hAnsi="Times New Roman" w:cs="Times New Roman"/>
                <w:bCs/>
                <w:iCs/>
                <w:sz w:val="28"/>
                <w:lang w:val="es-ES_tradnl"/>
              </w:rPr>
              <w:t>e el principio de instrumentalidad de las formas y la aplicación del sentido útil de la norma.</w:t>
            </w:r>
          </w:p>
        </w:tc>
      </w:tr>
      <w:tr w:rsidR="00357BBC" w:rsidRPr="00EE2FA1" w:rsidTr="008006B6">
        <w:tc>
          <w:tcPr>
            <w:tcW w:w="1271" w:type="dxa"/>
          </w:tcPr>
          <w:p w:rsidR="004E36C4" w:rsidRPr="00EE2FA1" w:rsidRDefault="00EE2FA1" w:rsidP="008006B6">
            <w:pPr>
              <w:autoSpaceDE w:val="0"/>
              <w:autoSpaceDN w:val="0"/>
              <w:adjustRightInd w:val="0"/>
              <w:spacing w:line="0" w:lineRule="atLeast"/>
              <w:jc w:val="center"/>
              <w:rPr>
                <w:rFonts w:ascii="Times New Roman" w:hAnsi="Times New Roman" w:cs="Times New Roman"/>
                <w:bCs/>
                <w:iCs/>
                <w:sz w:val="28"/>
                <w:lang w:val="es-ES_tradnl"/>
              </w:rPr>
            </w:pPr>
            <w:r w:rsidRPr="00EE2FA1">
              <w:rPr>
                <w:rFonts w:ascii="Times New Roman" w:hAnsi="Times New Roman" w:cs="Times New Roman"/>
                <w:bCs/>
                <w:iCs/>
                <w:sz w:val="28"/>
                <w:lang w:val="es-ES_tradnl"/>
              </w:rPr>
              <w:t>3</w:t>
            </w:r>
          </w:p>
        </w:tc>
        <w:tc>
          <w:tcPr>
            <w:tcW w:w="1134"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Vota no</w:t>
            </w:r>
          </w:p>
        </w:tc>
        <w:tc>
          <w:tcPr>
            <w:tcW w:w="992"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Vota s</w:t>
            </w:r>
            <w:r w:rsidRPr="00EE2FA1">
              <w:rPr>
                <w:rFonts w:ascii="Times New Roman" w:hAnsi="Times New Roman" w:cs="Times New Roman"/>
                <w:bCs/>
                <w:iCs/>
                <w:sz w:val="28"/>
                <w:lang w:val="es-ES_tradnl"/>
              </w:rPr>
              <w:t>í</w:t>
            </w:r>
          </w:p>
        </w:tc>
        <w:tc>
          <w:tcPr>
            <w:tcW w:w="5830" w:type="dxa"/>
          </w:tcPr>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lang w:val="es-ES_tradnl"/>
              </w:rPr>
            </w:pPr>
            <w:r w:rsidRPr="00EE2FA1">
              <w:rPr>
                <w:rFonts w:ascii="Times New Roman" w:hAnsi="Times New Roman" w:cs="Times New Roman"/>
                <w:bCs/>
                <w:iCs/>
                <w:sz w:val="28"/>
                <w:lang w:val="es-ES_tradnl"/>
              </w:rPr>
              <w:t xml:space="preserve">Aprobada la ponencia </w:t>
            </w:r>
            <w:r w:rsidRPr="00EE2FA1">
              <w:rPr>
                <w:rFonts w:ascii="Times New Roman" w:hAnsi="Times New Roman" w:cs="Times New Roman"/>
                <w:bCs/>
                <w:iCs/>
                <w:sz w:val="28"/>
                <w:lang w:val="es-ES_tradnl"/>
              </w:rPr>
              <w:t xml:space="preserve">negativa </w:t>
            </w:r>
            <w:r w:rsidRPr="00EE2FA1">
              <w:rPr>
                <w:rFonts w:ascii="Times New Roman" w:hAnsi="Times New Roman" w:cs="Times New Roman"/>
                <w:bCs/>
                <w:iCs/>
                <w:sz w:val="28"/>
                <w:lang w:val="es-ES_tradnl"/>
              </w:rPr>
              <w:t xml:space="preserve">por la segunda </w:t>
            </w:r>
            <w:r w:rsidRPr="00EE2FA1">
              <w:rPr>
                <w:rFonts w:ascii="Times New Roman" w:hAnsi="Times New Roman" w:cs="Times New Roman"/>
                <w:bCs/>
                <w:iCs/>
                <w:sz w:val="28"/>
                <w:lang w:val="es-ES_tradnl"/>
              </w:rPr>
              <w:t xml:space="preserve">comisión </w:t>
            </w:r>
            <w:r w:rsidRPr="00EE2FA1">
              <w:rPr>
                <w:rFonts w:ascii="Times New Roman" w:hAnsi="Times New Roman" w:cs="Times New Roman"/>
                <w:bCs/>
                <w:iCs/>
                <w:sz w:val="28"/>
                <w:lang w:val="es-ES_tradnl"/>
              </w:rPr>
              <w:t xml:space="preserve">que vota, se archiva el proyecto. </w:t>
            </w:r>
            <w:r w:rsidRPr="00EE2FA1">
              <w:rPr>
                <w:rFonts w:ascii="Times New Roman" w:hAnsi="Times New Roman" w:cs="Times New Roman"/>
                <w:bCs/>
                <w:iCs/>
                <w:sz w:val="28"/>
                <w:lang w:val="es-ES_tradnl"/>
              </w:rPr>
              <w:t>En aplicación del principio de consecutividad, el proy</w:t>
            </w:r>
            <w:r w:rsidRPr="00EE2FA1">
              <w:rPr>
                <w:rFonts w:ascii="Times New Roman" w:hAnsi="Times New Roman" w:cs="Times New Roman"/>
                <w:bCs/>
                <w:iCs/>
                <w:sz w:val="28"/>
                <w:lang w:val="es-ES_tradnl"/>
              </w:rPr>
              <w:t xml:space="preserve">ecto de ley no cumple con la aprobación en </w:t>
            </w:r>
            <w:r w:rsidRPr="00EE2FA1">
              <w:rPr>
                <w:rFonts w:ascii="Times New Roman" w:hAnsi="Times New Roman" w:cs="Times New Roman"/>
                <w:bCs/>
                <w:iCs/>
                <w:sz w:val="28"/>
                <w:lang w:val="es-ES_tradnl"/>
              </w:rPr>
              <w:t xml:space="preserve">los </w:t>
            </w:r>
            <w:r w:rsidRPr="00EE2FA1">
              <w:rPr>
                <w:rFonts w:ascii="Times New Roman" w:hAnsi="Times New Roman" w:cs="Times New Roman"/>
                <w:bCs/>
                <w:iCs/>
                <w:sz w:val="28"/>
                <w:lang w:val="es-ES_tradnl"/>
              </w:rPr>
              <w:t>debates</w:t>
            </w:r>
            <w:r w:rsidRPr="00EE2FA1">
              <w:rPr>
                <w:rFonts w:ascii="Times New Roman" w:hAnsi="Times New Roman" w:cs="Times New Roman"/>
                <w:bCs/>
                <w:iCs/>
                <w:sz w:val="28"/>
                <w:lang w:val="es-ES_tradnl"/>
              </w:rPr>
              <w:t xml:space="preserve"> exigidos</w:t>
            </w:r>
            <w:r w:rsidRPr="00EE2FA1">
              <w:rPr>
                <w:rFonts w:ascii="Times New Roman" w:hAnsi="Times New Roman" w:cs="Times New Roman"/>
                <w:bCs/>
                <w:iCs/>
                <w:sz w:val="28"/>
                <w:lang w:val="es-ES_tradnl"/>
              </w:rPr>
              <w:t xml:space="preserve">.  </w:t>
            </w:r>
          </w:p>
        </w:tc>
      </w:tr>
    </w:tbl>
    <w:p w:rsidR="004E36C4" w:rsidRPr="00EE2FA1" w:rsidRDefault="00EE2FA1" w:rsidP="004E36C4">
      <w:pPr>
        <w:autoSpaceDE w:val="0"/>
        <w:autoSpaceDN w:val="0"/>
        <w:adjustRightInd w:val="0"/>
        <w:spacing w:line="0" w:lineRule="atLeast"/>
        <w:jc w:val="both"/>
        <w:rPr>
          <w:rFonts w:ascii="Times New Roman" w:hAnsi="Times New Roman" w:cs="Times New Roman"/>
          <w:bCs/>
          <w:iCs/>
          <w:sz w:val="28"/>
          <w:szCs w:val="28"/>
          <w:lang w:val="es-ES_tradnl"/>
        </w:rPr>
      </w:pPr>
      <w:r w:rsidRPr="00EE2FA1">
        <w:rPr>
          <w:rFonts w:ascii="Times New Roman" w:hAnsi="Times New Roman" w:cs="Times New Roman"/>
          <w:bCs/>
          <w:iCs/>
          <w:sz w:val="28"/>
          <w:szCs w:val="28"/>
          <w:lang w:val="es-ES_tradnl"/>
        </w:rPr>
        <w:t xml:space="preserve"> </w:t>
      </w:r>
    </w:p>
    <w:p w:rsidR="00463CCF" w:rsidRPr="00EE2FA1" w:rsidRDefault="00EE2FA1" w:rsidP="002C41C1">
      <w:pPr>
        <w:pStyle w:val="Prrafodelista"/>
        <w:numPr>
          <w:ilvl w:val="0"/>
          <w:numId w:val="1"/>
        </w:numPr>
        <w:autoSpaceDE w:val="0"/>
        <w:autoSpaceDN w:val="0"/>
        <w:adjustRightInd w:val="0"/>
        <w:spacing w:line="0" w:lineRule="atLeast"/>
        <w:ind w:left="0" w:firstLine="0"/>
        <w:jc w:val="both"/>
        <w:rPr>
          <w:rFonts w:ascii="Times New Roman" w:hAnsi="Times New Roman" w:cs="Times New Roman"/>
          <w:bCs/>
          <w:iCs/>
          <w:sz w:val="28"/>
          <w:szCs w:val="28"/>
          <w:lang w:val="es-ES_tradnl"/>
        </w:rPr>
      </w:pPr>
      <w:r w:rsidRPr="00EE2FA1">
        <w:rPr>
          <w:rFonts w:ascii="Times New Roman" w:hAnsi="Times New Roman" w:cs="Times New Roman"/>
          <w:bCs/>
          <w:i/>
          <w:sz w:val="28"/>
          <w:szCs w:val="28"/>
          <w:lang w:val="es-ES_tradnl"/>
        </w:rPr>
        <w:t>El vicio fue convalidado</w:t>
      </w:r>
      <w:r w:rsidRPr="00EE2FA1">
        <w:rPr>
          <w:rFonts w:ascii="Times New Roman" w:hAnsi="Times New Roman" w:cs="Times New Roman"/>
          <w:bCs/>
          <w:iCs/>
          <w:sz w:val="28"/>
          <w:szCs w:val="28"/>
          <w:lang w:val="es-ES_tradnl"/>
        </w:rPr>
        <w:t xml:space="preserve">. La Sala considera que en </w:t>
      </w:r>
      <w:r w:rsidRPr="00EE2FA1">
        <w:rPr>
          <w:rFonts w:ascii="Times New Roman" w:hAnsi="Times New Roman" w:cs="Times New Roman"/>
          <w:bCs/>
          <w:iCs/>
          <w:sz w:val="28"/>
          <w:szCs w:val="28"/>
          <w:lang w:val="es-ES_tradnl"/>
        </w:rPr>
        <w:t xml:space="preserve">el presente </w:t>
      </w:r>
      <w:r w:rsidRPr="00EE2FA1">
        <w:rPr>
          <w:rFonts w:ascii="Times New Roman" w:hAnsi="Times New Roman" w:cs="Times New Roman"/>
          <w:bCs/>
          <w:iCs/>
          <w:sz w:val="28"/>
          <w:szCs w:val="28"/>
          <w:lang w:val="es-ES_tradnl"/>
        </w:rPr>
        <w:t xml:space="preserve">caso se generó un vicio que, sin embargo, fue convalidado y en consecuencia subsanado. </w:t>
      </w:r>
      <w:r w:rsidRPr="00EE2FA1">
        <w:rPr>
          <w:rFonts w:ascii="Times New Roman" w:hAnsi="Times New Roman" w:cs="Times New Roman"/>
          <w:bCs/>
          <w:iCs/>
          <w:sz w:val="28"/>
          <w:szCs w:val="28"/>
          <w:lang w:val="es-ES_tradnl"/>
        </w:rPr>
        <w:t xml:space="preserve">En ese sentido, con fundamento en el principio de </w:t>
      </w:r>
      <w:r w:rsidRPr="00EE2FA1">
        <w:rPr>
          <w:rFonts w:ascii="Times New Roman" w:hAnsi="Times New Roman" w:cs="Times New Roman"/>
          <w:bCs/>
          <w:iCs/>
          <w:sz w:val="28"/>
          <w:szCs w:val="28"/>
          <w:lang w:val="es-ES_tradnl"/>
        </w:rPr>
        <w:t xml:space="preserve">la instrumentalidad de las </w:t>
      </w:r>
      <w:r w:rsidRPr="00EE2FA1">
        <w:rPr>
          <w:rFonts w:ascii="Times New Roman" w:hAnsi="Times New Roman" w:cs="Times New Roman"/>
          <w:bCs/>
          <w:iCs/>
          <w:sz w:val="28"/>
          <w:szCs w:val="28"/>
          <w:lang w:val="es-ES_tradnl"/>
        </w:rPr>
        <w:t xml:space="preserve">formas que orienta el proceso legislativo, </w:t>
      </w:r>
      <w:r w:rsidRPr="00EE2FA1">
        <w:rPr>
          <w:rFonts w:ascii="Times New Roman" w:hAnsi="Times New Roman" w:cs="Times New Roman"/>
          <w:bCs/>
          <w:iCs/>
          <w:sz w:val="28"/>
          <w:szCs w:val="28"/>
          <w:lang w:val="es-ES_tradnl"/>
        </w:rPr>
        <w:t xml:space="preserve">y la prevalencia del postulado </w:t>
      </w:r>
      <w:r w:rsidRPr="00EE2FA1">
        <w:rPr>
          <w:rFonts w:ascii="Times New Roman" w:hAnsi="Times New Roman" w:cs="Times New Roman"/>
          <w:bCs/>
          <w:i/>
          <w:sz w:val="28"/>
          <w:szCs w:val="28"/>
          <w:lang w:val="es-ES_tradnl"/>
        </w:rPr>
        <w:t>pro legislatore</w:t>
      </w:r>
      <w:r w:rsidRPr="00EE2FA1">
        <w:rPr>
          <w:rFonts w:ascii="Times New Roman" w:hAnsi="Times New Roman" w:cs="Times New Roman"/>
          <w:bCs/>
          <w:iCs/>
          <w:sz w:val="28"/>
          <w:szCs w:val="28"/>
          <w:lang w:val="es-ES_tradnl"/>
        </w:rPr>
        <w:t xml:space="preserve">, </w:t>
      </w:r>
      <w:r w:rsidRPr="00EE2FA1">
        <w:rPr>
          <w:rFonts w:ascii="Times New Roman" w:hAnsi="Times New Roman" w:cs="Times New Roman"/>
          <w:bCs/>
          <w:iCs/>
          <w:sz w:val="28"/>
          <w:szCs w:val="28"/>
          <w:lang w:val="es-ES_tradnl"/>
        </w:rPr>
        <w:t xml:space="preserve">la Corte Constitucional observa que el </w:t>
      </w:r>
      <w:r w:rsidRPr="00EE2FA1">
        <w:rPr>
          <w:rFonts w:ascii="Times New Roman" w:hAnsi="Times New Roman" w:cs="Times New Roman"/>
          <w:bCs/>
          <w:iCs/>
          <w:sz w:val="28"/>
          <w:szCs w:val="28"/>
          <w:lang w:val="es-ES_tradnl"/>
        </w:rPr>
        <w:t xml:space="preserve">hecho que la </w:t>
      </w:r>
      <w:r w:rsidRPr="00EE2FA1">
        <w:rPr>
          <w:rFonts w:ascii="Times New Roman" w:hAnsi="Times New Roman" w:cs="Times New Roman"/>
          <w:iCs/>
          <w:sz w:val="28"/>
          <w:szCs w:val="28"/>
          <w:lang w:val="es-ES_tradnl"/>
        </w:rPr>
        <w:t>ponencia de archivo</w:t>
      </w:r>
      <w:r w:rsidRPr="00EE2FA1">
        <w:rPr>
          <w:rFonts w:ascii="Times New Roman" w:hAnsi="Times New Roman" w:cs="Times New Roman"/>
          <w:b/>
          <w:bCs/>
          <w:iCs/>
          <w:sz w:val="28"/>
          <w:szCs w:val="28"/>
          <w:lang w:val="es-ES_tradnl"/>
        </w:rPr>
        <w:t xml:space="preserve"> </w:t>
      </w:r>
      <w:r w:rsidRPr="00EE2FA1">
        <w:rPr>
          <w:rFonts w:ascii="Times New Roman" w:hAnsi="Times New Roman" w:cs="Times New Roman"/>
          <w:bCs/>
          <w:iCs/>
          <w:sz w:val="28"/>
          <w:szCs w:val="28"/>
          <w:lang w:val="es-ES_tradnl"/>
        </w:rPr>
        <w:t>no haya sido vot</w:t>
      </w:r>
      <w:r w:rsidRPr="00EE2FA1">
        <w:rPr>
          <w:rFonts w:ascii="Times New Roman" w:hAnsi="Times New Roman" w:cs="Times New Roman"/>
          <w:bCs/>
          <w:iCs/>
          <w:sz w:val="28"/>
          <w:szCs w:val="28"/>
          <w:lang w:val="es-ES_tradnl"/>
        </w:rPr>
        <w:t>ada por una de las comisiones conjuntas, no alteró de forma trascendental la formación de la voluntad democrática del Congreso</w:t>
      </w:r>
      <w:r w:rsidRPr="00EE2FA1">
        <w:rPr>
          <w:rFonts w:ascii="Times New Roman" w:hAnsi="Times New Roman" w:cs="Times New Roman"/>
          <w:bCs/>
          <w:iCs/>
          <w:sz w:val="28"/>
          <w:szCs w:val="28"/>
          <w:lang w:val="es-ES_tradnl"/>
        </w:rPr>
        <w:t>,</w:t>
      </w:r>
      <w:r w:rsidRPr="00EE2FA1">
        <w:rPr>
          <w:rFonts w:ascii="Times New Roman" w:hAnsi="Times New Roman" w:cs="Times New Roman"/>
          <w:bCs/>
          <w:iCs/>
          <w:sz w:val="28"/>
          <w:szCs w:val="28"/>
          <w:lang w:val="es-ES_tradnl"/>
        </w:rPr>
        <w:t xml:space="preserve"> pues lo cierto es que la </w:t>
      </w:r>
      <w:r w:rsidRPr="00EE2FA1">
        <w:rPr>
          <w:rFonts w:ascii="Times New Roman" w:hAnsi="Times New Roman" w:cs="Times New Roman"/>
          <w:iCs/>
          <w:sz w:val="28"/>
          <w:szCs w:val="28"/>
          <w:lang w:val="es-ES_tradnl"/>
        </w:rPr>
        <w:t>ponencia afirmativa</w:t>
      </w:r>
      <w:r w:rsidRPr="00EE2FA1">
        <w:rPr>
          <w:rFonts w:ascii="Times New Roman" w:hAnsi="Times New Roman" w:cs="Times New Roman"/>
          <w:bCs/>
          <w:iCs/>
          <w:sz w:val="28"/>
          <w:szCs w:val="28"/>
          <w:lang w:val="es-ES_tradnl"/>
        </w:rPr>
        <w:t xml:space="preserve"> sí fue votada de manera favorable por </w:t>
      </w:r>
      <w:r w:rsidRPr="00EE2FA1">
        <w:rPr>
          <w:rFonts w:ascii="Times New Roman" w:hAnsi="Times New Roman" w:cs="Times New Roman"/>
          <w:bCs/>
          <w:iCs/>
          <w:sz w:val="28"/>
          <w:szCs w:val="28"/>
          <w:lang w:val="es-ES_tradnl"/>
        </w:rPr>
        <w:t xml:space="preserve">ambas </w:t>
      </w:r>
      <w:r w:rsidRPr="00EE2FA1">
        <w:rPr>
          <w:rFonts w:ascii="Times New Roman" w:hAnsi="Times New Roman" w:cs="Times New Roman"/>
          <w:bCs/>
          <w:iCs/>
          <w:sz w:val="28"/>
          <w:szCs w:val="28"/>
          <w:lang w:val="es-ES_tradnl"/>
        </w:rPr>
        <w:t>comisiones de Cámara y Senado. Esto per</w:t>
      </w:r>
      <w:r w:rsidRPr="00EE2FA1">
        <w:rPr>
          <w:rFonts w:ascii="Times New Roman" w:hAnsi="Times New Roman" w:cs="Times New Roman"/>
          <w:bCs/>
          <w:iCs/>
          <w:sz w:val="28"/>
          <w:szCs w:val="28"/>
          <w:lang w:val="es-ES_tradnl"/>
        </w:rPr>
        <w:t xml:space="preserve">mite concluir razonablemente que la voluntad del </w:t>
      </w:r>
      <w:r w:rsidRPr="00EE2FA1">
        <w:rPr>
          <w:rFonts w:ascii="Times New Roman" w:hAnsi="Times New Roman" w:cs="Times New Roman"/>
          <w:bCs/>
          <w:iCs/>
          <w:sz w:val="28"/>
          <w:szCs w:val="28"/>
          <w:lang w:val="es-ES_tradnl"/>
        </w:rPr>
        <w:t xml:space="preserve">Congreso, a través de sus comisiones, </w:t>
      </w:r>
      <w:r w:rsidRPr="00EE2FA1">
        <w:rPr>
          <w:rFonts w:ascii="Times New Roman" w:hAnsi="Times New Roman" w:cs="Times New Roman"/>
          <w:bCs/>
          <w:iCs/>
          <w:sz w:val="28"/>
          <w:szCs w:val="28"/>
          <w:lang w:val="es-ES_tradnl"/>
        </w:rPr>
        <w:t xml:space="preserve">fue la de darle trámite al proyecto de </w:t>
      </w:r>
      <w:r w:rsidRPr="00EE2FA1">
        <w:rPr>
          <w:rFonts w:ascii="Times New Roman" w:hAnsi="Times New Roman" w:cs="Times New Roman"/>
          <w:bCs/>
          <w:iCs/>
          <w:sz w:val="28"/>
          <w:szCs w:val="28"/>
          <w:lang w:val="es-ES_tradnl"/>
        </w:rPr>
        <w:t>l</w:t>
      </w:r>
      <w:r w:rsidRPr="00EE2FA1">
        <w:rPr>
          <w:rFonts w:ascii="Times New Roman" w:hAnsi="Times New Roman" w:cs="Times New Roman"/>
          <w:bCs/>
          <w:iCs/>
          <w:sz w:val="28"/>
          <w:szCs w:val="28"/>
          <w:lang w:val="es-ES_tradnl"/>
        </w:rPr>
        <w:t xml:space="preserve">ey en cuestión. </w:t>
      </w:r>
      <w:r w:rsidRPr="00EE2FA1">
        <w:rPr>
          <w:rFonts w:ascii="Times New Roman" w:hAnsi="Times New Roman" w:cs="Times New Roman"/>
          <w:bCs/>
          <w:iCs/>
          <w:sz w:val="28"/>
          <w:szCs w:val="28"/>
          <w:lang w:val="es-ES_tradnl"/>
        </w:rPr>
        <w:t>En este punto, a</w:t>
      </w:r>
      <w:r w:rsidRPr="00EE2FA1">
        <w:rPr>
          <w:rFonts w:ascii="Times New Roman" w:hAnsi="Times New Roman" w:cs="Times New Roman"/>
          <w:bCs/>
          <w:iCs/>
          <w:sz w:val="28"/>
          <w:szCs w:val="28"/>
          <w:lang w:val="es-ES_tradnl"/>
        </w:rPr>
        <w:t xml:space="preserve"> los congresistas les asiste</w:t>
      </w:r>
      <w:r w:rsidRPr="00EE2FA1">
        <w:rPr>
          <w:rFonts w:ascii="Times New Roman" w:hAnsi="Times New Roman" w:cs="Times New Roman"/>
          <w:bCs/>
          <w:iCs/>
          <w:sz w:val="28"/>
          <w:szCs w:val="28"/>
          <w:lang w:val="es-ES_tradnl"/>
        </w:rPr>
        <w:t>n</w:t>
      </w:r>
      <w:r w:rsidRPr="00EE2FA1">
        <w:rPr>
          <w:rFonts w:ascii="Times New Roman" w:hAnsi="Times New Roman" w:cs="Times New Roman"/>
          <w:bCs/>
          <w:iCs/>
          <w:sz w:val="28"/>
          <w:szCs w:val="28"/>
          <w:lang w:val="es-ES_tradnl"/>
        </w:rPr>
        <w:t xml:space="preserve"> deberes de diligencia y transparencia, por lo que </w:t>
      </w:r>
      <w:r w:rsidRPr="00EE2FA1">
        <w:rPr>
          <w:rFonts w:ascii="Times New Roman" w:hAnsi="Times New Roman" w:cs="Times New Roman"/>
          <w:bCs/>
          <w:iCs/>
          <w:sz w:val="28"/>
          <w:szCs w:val="28"/>
          <w:lang w:val="es-ES_tradnl"/>
        </w:rPr>
        <w:t xml:space="preserve">si </w:t>
      </w:r>
      <w:r w:rsidRPr="00EE2FA1">
        <w:rPr>
          <w:rFonts w:ascii="Times New Roman" w:hAnsi="Times New Roman" w:cs="Times New Roman"/>
          <w:bCs/>
          <w:iCs/>
          <w:sz w:val="28"/>
          <w:szCs w:val="28"/>
          <w:lang w:val="es-ES_tradnl"/>
        </w:rPr>
        <w:t>consideraban q</w:t>
      </w:r>
      <w:r w:rsidRPr="00EE2FA1">
        <w:rPr>
          <w:rFonts w:ascii="Times New Roman" w:hAnsi="Times New Roman" w:cs="Times New Roman"/>
          <w:bCs/>
          <w:iCs/>
          <w:sz w:val="28"/>
          <w:szCs w:val="28"/>
          <w:lang w:val="es-ES_tradnl"/>
        </w:rPr>
        <w:t xml:space="preserve">ue la ponencia debía votarse en la </w:t>
      </w:r>
      <w:r w:rsidRPr="00EE2FA1">
        <w:rPr>
          <w:rFonts w:ascii="Times New Roman" w:hAnsi="Times New Roman" w:cs="Times New Roman"/>
          <w:bCs/>
          <w:iCs/>
          <w:sz w:val="28"/>
          <w:szCs w:val="28"/>
          <w:lang w:val="es-ES_tradnl"/>
        </w:rPr>
        <w:t xml:space="preserve">Comisión Tercera </w:t>
      </w:r>
      <w:r w:rsidRPr="00EE2FA1">
        <w:rPr>
          <w:rFonts w:ascii="Times New Roman" w:hAnsi="Times New Roman" w:cs="Times New Roman"/>
          <w:bCs/>
          <w:iCs/>
          <w:sz w:val="28"/>
          <w:szCs w:val="28"/>
          <w:lang w:val="es-ES_tradnl"/>
        </w:rPr>
        <w:t>de Senado debieron haberlo manifestado en su momento. De hecho, el líder de la oposición</w:t>
      </w:r>
      <w:r w:rsidRPr="00EE2FA1">
        <w:rPr>
          <w:rFonts w:ascii="Times New Roman" w:hAnsi="Times New Roman" w:cs="Times New Roman"/>
          <w:bCs/>
          <w:iCs/>
          <w:sz w:val="28"/>
          <w:szCs w:val="28"/>
          <w:lang w:val="es-ES_tradnl"/>
        </w:rPr>
        <w:t xml:space="preserve"> en el trámite de la iniciativa,</w:t>
      </w:r>
      <w:r w:rsidRPr="00EE2FA1">
        <w:rPr>
          <w:rFonts w:ascii="Times New Roman" w:hAnsi="Times New Roman" w:cs="Times New Roman"/>
          <w:bCs/>
          <w:iCs/>
          <w:sz w:val="28"/>
          <w:szCs w:val="28"/>
          <w:lang w:val="es-ES_tradnl"/>
        </w:rPr>
        <w:t xml:space="preserve"> intervino en la sesión conjunta del 6 de octubre de 2023, luego de haberse negado l</w:t>
      </w:r>
      <w:r w:rsidRPr="00EE2FA1">
        <w:rPr>
          <w:rFonts w:ascii="Times New Roman" w:hAnsi="Times New Roman" w:cs="Times New Roman"/>
          <w:bCs/>
          <w:iCs/>
          <w:sz w:val="28"/>
          <w:szCs w:val="28"/>
          <w:lang w:val="es-ES_tradnl"/>
        </w:rPr>
        <w:t xml:space="preserve">a votación, pero lo hizo solo para dejar constancia de que él la habría votado de manera positiva. Así, no expresó ningún reparo de fondo frente a la </w:t>
      </w:r>
      <w:r w:rsidRPr="00EE2FA1">
        <w:rPr>
          <w:rFonts w:ascii="Times New Roman" w:hAnsi="Times New Roman" w:cs="Times New Roman"/>
          <w:bCs/>
          <w:iCs/>
          <w:sz w:val="28"/>
          <w:szCs w:val="28"/>
          <w:lang w:val="es-ES_tradnl"/>
        </w:rPr>
        <w:t xml:space="preserve">clara </w:t>
      </w:r>
      <w:r w:rsidRPr="00EE2FA1">
        <w:rPr>
          <w:rFonts w:ascii="Times New Roman" w:hAnsi="Times New Roman" w:cs="Times New Roman"/>
          <w:bCs/>
          <w:iCs/>
          <w:sz w:val="28"/>
          <w:szCs w:val="28"/>
          <w:lang w:val="es-ES_tradnl"/>
        </w:rPr>
        <w:t xml:space="preserve">decisión </w:t>
      </w:r>
      <w:r w:rsidRPr="00EE2FA1">
        <w:rPr>
          <w:rFonts w:ascii="Times New Roman" w:hAnsi="Times New Roman" w:cs="Times New Roman"/>
          <w:bCs/>
          <w:iCs/>
          <w:sz w:val="28"/>
          <w:szCs w:val="28"/>
          <w:lang w:val="es-ES_tradnl"/>
        </w:rPr>
        <w:t xml:space="preserve">tomada por </w:t>
      </w:r>
      <w:r w:rsidRPr="00EE2FA1">
        <w:rPr>
          <w:rFonts w:ascii="Times New Roman" w:hAnsi="Times New Roman" w:cs="Times New Roman"/>
          <w:bCs/>
          <w:iCs/>
          <w:sz w:val="28"/>
          <w:szCs w:val="28"/>
          <w:lang w:val="es-ES_tradnl"/>
        </w:rPr>
        <w:t>la mesa directiva</w:t>
      </w:r>
      <w:r w:rsidRPr="00EE2FA1">
        <w:rPr>
          <w:rFonts w:ascii="Times New Roman" w:hAnsi="Times New Roman" w:cs="Times New Roman"/>
          <w:bCs/>
          <w:iCs/>
          <w:sz w:val="28"/>
          <w:szCs w:val="28"/>
          <w:lang w:val="es-ES_tradnl"/>
        </w:rPr>
        <w:t xml:space="preserve"> al respecto</w:t>
      </w:r>
      <w:r w:rsidRPr="00EE2FA1">
        <w:rPr>
          <w:rFonts w:ascii="Times New Roman" w:hAnsi="Times New Roman" w:cs="Times New Roman"/>
          <w:bCs/>
          <w:iCs/>
          <w:sz w:val="28"/>
          <w:szCs w:val="28"/>
          <w:lang w:val="es-ES_tradnl"/>
        </w:rPr>
        <w:t xml:space="preserve">. De modo que tampoco se configuró alguna afectación trascendental al principio del respeto por las minorías y su participación en el </w:t>
      </w:r>
      <w:r w:rsidRPr="00EE2FA1">
        <w:rPr>
          <w:rFonts w:ascii="Times New Roman" w:hAnsi="Times New Roman" w:cs="Times New Roman"/>
          <w:bCs/>
          <w:iCs/>
          <w:sz w:val="28"/>
          <w:szCs w:val="28"/>
          <w:lang w:val="es-ES_tradnl"/>
        </w:rPr>
        <w:t>Congreso</w:t>
      </w:r>
      <w:r w:rsidRPr="00EE2FA1">
        <w:rPr>
          <w:rFonts w:ascii="Times New Roman" w:hAnsi="Times New Roman" w:cs="Times New Roman"/>
          <w:bCs/>
          <w:iCs/>
          <w:sz w:val="28"/>
          <w:szCs w:val="28"/>
          <w:lang w:val="es-ES_tradnl"/>
        </w:rPr>
        <w:t>.</w:t>
      </w:r>
      <w:r w:rsidRPr="00EE2FA1">
        <w:rPr>
          <w:rFonts w:ascii="Times New Roman" w:hAnsi="Times New Roman" w:cs="Times New Roman"/>
          <w:bCs/>
          <w:iCs/>
          <w:sz w:val="28"/>
          <w:szCs w:val="28"/>
          <w:lang w:val="es-ES_tradnl"/>
        </w:rPr>
        <w:t xml:space="preserve"> En concreto, a continuación se presentan las razones que sustentan esta conclusión: </w:t>
      </w:r>
    </w:p>
    <w:p w:rsidR="00C833B9" w:rsidRPr="00EE2FA1" w:rsidRDefault="00EE2FA1" w:rsidP="00C833B9">
      <w:pPr>
        <w:pStyle w:val="Prrafodelista"/>
        <w:spacing w:line="0" w:lineRule="atLeast"/>
        <w:ind w:left="0"/>
        <w:jc w:val="both"/>
        <w:rPr>
          <w:rFonts w:ascii="Times New Roman" w:eastAsia="Calibri" w:hAnsi="Times New Roman" w:cs="Times New Roman"/>
          <w:i/>
          <w:iCs/>
          <w:sz w:val="28"/>
          <w:szCs w:val="28"/>
          <w:lang w:eastAsia="es-ES"/>
        </w:rPr>
      </w:pPr>
    </w:p>
    <w:p w:rsidR="007E61D3" w:rsidRPr="00EE2FA1" w:rsidRDefault="00EE2FA1" w:rsidP="00C833B9">
      <w:pPr>
        <w:pStyle w:val="Prrafodelista"/>
        <w:numPr>
          <w:ilvl w:val="0"/>
          <w:numId w:val="1"/>
        </w:numPr>
        <w:spacing w:line="0" w:lineRule="atLeast"/>
        <w:ind w:left="0" w:firstLine="0"/>
        <w:jc w:val="both"/>
        <w:rPr>
          <w:rFonts w:ascii="Times New Roman" w:eastAsia="Calibri" w:hAnsi="Times New Roman" w:cs="Times New Roman"/>
          <w:b/>
          <w:bCs/>
          <w:i/>
          <w:iCs/>
          <w:sz w:val="28"/>
          <w:szCs w:val="28"/>
          <w:lang w:eastAsia="es-ES"/>
        </w:rPr>
      </w:pPr>
      <w:r w:rsidRPr="00EE2FA1">
        <w:rPr>
          <w:rFonts w:ascii="Times New Roman" w:eastAsia="Calibri" w:hAnsi="Times New Roman" w:cs="Times New Roman"/>
          <w:i/>
          <w:iCs/>
          <w:sz w:val="28"/>
          <w:szCs w:val="28"/>
          <w:lang w:eastAsia="es-ES"/>
        </w:rPr>
        <w:t>Los autores de la ponencia</w:t>
      </w:r>
      <w:r w:rsidRPr="00EE2FA1">
        <w:rPr>
          <w:rFonts w:ascii="Times New Roman" w:eastAsia="Calibri" w:hAnsi="Times New Roman" w:cs="Times New Roman"/>
          <w:i/>
          <w:iCs/>
          <w:sz w:val="28"/>
          <w:szCs w:val="28"/>
          <w:lang w:eastAsia="es-ES"/>
        </w:rPr>
        <w:t xml:space="preserve"> de archivo no expresaron su oposición a la decisión de la mesa directiva.</w:t>
      </w:r>
      <w:r w:rsidRPr="00EE2FA1">
        <w:rPr>
          <w:rFonts w:ascii="Times New Roman" w:eastAsia="Calibri" w:hAnsi="Times New Roman" w:cs="Times New Roman"/>
          <w:b/>
          <w:bCs/>
          <w:i/>
          <w:iCs/>
          <w:sz w:val="28"/>
          <w:szCs w:val="28"/>
          <w:lang w:eastAsia="es-ES"/>
        </w:rPr>
        <w:t xml:space="preserve"> </w:t>
      </w:r>
      <w:r w:rsidRPr="00EE2FA1">
        <w:rPr>
          <w:rFonts w:ascii="Times New Roman" w:eastAsia="Calibri" w:hAnsi="Times New Roman" w:cs="Times New Roman"/>
          <w:sz w:val="28"/>
          <w:szCs w:val="28"/>
          <w:lang w:eastAsia="es-ES"/>
        </w:rPr>
        <w:t>La Sala constata que una vez la ponencia de archivo se vot</w:t>
      </w:r>
      <w:r w:rsidRPr="00EE2FA1">
        <w:rPr>
          <w:rFonts w:ascii="Times New Roman" w:eastAsia="Calibri" w:hAnsi="Times New Roman" w:cs="Times New Roman"/>
          <w:sz w:val="28"/>
          <w:szCs w:val="28"/>
          <w:lang w:eastAsia="es-ES"/>
        </w:rPr>
        <w:t>ó</w:t>
      </w:r>
      <w:r w:rsidRPr="00EE2FA1">
        <w:rPr>
          <w:rFonts w:ascii="Times New Roman" w:eastAsia="Calibri" w:hAnsi="Times New Roman" w:cs="Times New Roman"/>
          <w:sz w:val="28"/>
          <w:szCs w:val="28"/>
          <w:lang w:eastAsia="es-ES"/>
        </w:rPr>
        <w:t xml:space="preserve"> negativamente por la Comisión Tercera de Cámara y la presidenta de la sesión conjunta advierte que no es necesari</w:t>
      </w:r>
      <w:r w:rsidRPr="00EE2FA1">
        <w:rPr>
          <w:rFonts w:ascii="Times New Roman" w:eastAsia="Calibri" w:hAnsi="Times New Roman" w:cs="Times New Roman"/>
          <w:sz w:val="28"/>
          <w:szCs w:val="28"/>
          <w:lang w:eastAsia="es-ES"/>
        </w:rPr>
        <w:t>a la vot</w:t>
      </w:r>
      <w:r w:rsidRPr="00EE2FA1">
        <w:rPr>
          <w:rFonts w:ascii="Times New Roman" w:eastAsia="Calibri" w:hAnsi="Times New Roman" w:cs="Times New Roman"/>
          <w:sz w:val="28"/>
          <w:szCs w:val="28"/>
          <w:lang w:eastAsia="es-ES"/>
        </w:rPr>
        <w:t xml:space="preserve">ación de </w:t>
      </w:r>
      <w:r w:rsidRPr="00EE2FA1">
        <w:rPr>
          <w:rFonts w:ascii="Times New Roman" w:eastAsia="Calibri" w:hAnsi="Times New Roman" w:cs="Times New Roman"/>
          <w:sz w:val="28"/>
          <w:szCs w:val="28"/>
          <w:lang w:eastAsia="es-ES"/>
        </w:rPr>
        <w:t xml:space="preserve">la comisión homóloga </w:t>
      </w:r>
      <w:r w:rsidRPr="00EE2FA1">
        <w:rPr>
          <w:rFonts w:ascii="Times New Roman" w:eastAsia="Calibri" w:hAnsi="Times New Roman" w:cs="Times New Roman"/>
          <w:sz w:val="28"/>
          <w:szCs w:val="28"/>
          <w:lang w:eastAsia="es-ES"/>
        </w:rPr>
        <w:t>en Senado, la mesa directiva le concedió el uso de la palabra al senador Miguel Uribe en condición de coautor de la ponencia. En su intervención, el senador no se opuso</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ni presentó recurso de apelación ante la no aprobación d</w:t>
      </w:r>
      <w:r w:rsidRPr="00EE2FA1">
        <w:rPr>
          <w:rFonts w:ascii="Times New Roman" w:eastAsia="Calibri" w:hAnsi="Times New Roman" w:cs="Times New Roman"/>
          <w:sz w:val="28"/>
          <w:szCs w:val="28"/>
          <w:lang w:eastAsia="es-ES"/>
        </w:rPr>
        <w:t>e la ponencia de archivo. En concreto, aquel manifestó lo siguiente:</w:t>
      </w:r>
    </w:p>
    <w:p w:rsidR="007E61D3" w:rsidRPr="00EE2FA1" w:rsidRDefault="00EE2FA1" w:rsidP="00C833B9">
      <w:pPr>
        <w:pStyle w:val="Prrafodelista"/>
        <w:spacing w:line="0" w:lineRule="atLeast"/>
        <w:ind w:left="0"/>
        <w:jc w:val="both"/>
        <w:rPr>
          <w:rFonts w:ascii="Times New Roman" w:eastAsia="Calibri" w:hAnsi="Times New Roman" w:cs="Times New Roman"/>
          <w:b/>
          <w:bCs/>
          <w:i/>
          <w:iCs/>
          <w:sz w:val="28"/>
          <w:szCs w:val="28"/>
          <w:lang w:eastAsia="es-ES"/>
        </w:rPr>
      </w:pPr>
    </w:p>
    <w:p w:rsidR="007E61D3" w:rsidRPr="00EE2FA1" w:rsidRDefault="00EE2FA1" w:rsidP="00C833B9">
      <w:pPr>
        <w:pStyle w:val="Prrafodelista"/>
        <w:spacing w:line="0" w:lineRule="atLeast"/>
        <w:ind w:left="567"/>
        <w:jc w:val="both"/>
        <w:rPr>
          <w:rFonts w:ascii="Times New Roman" w:hAnsi="Times New Roman" w:cs="Times New Roman"/>
          <w:sz w:val="28"/>
        </w:rPr>
      </w:pPr>
      <w:r w:rsidRPr="00EE2FA1">
        <w:rPr>
          <w:rFonts w:ascii="Times New Roman" w:hAnsi="Times New Roman" w:cs="Times New Roman"/>
          <w:sz w:val="28"/>
        </w:rPr>
        <w:t>“como bien no se pone en consideración de la Comisión Tercera de Senado, pues, evidentemente yo hubiera apoyado irrestrictamente mi ponencia. Solo es para decirle eso a usted y a los col</w:t>
      </w:r>
      <w:r w:rsidRPr="00EE2FA1">
        <w:rPr>
          <w:rFonts w:ascii="Times New Roman" w:hAnsi="Times New Roman" w:cs="Times New Roman"/>
          <w:sz w:val="28"/>
        </w:rPr>
        <w:t>ombianos que les preocupa esta ponencia, que evidentemente en la Cámara, Ciro Ramírez y yo, hubiéramos apoyado esta ponencia negativa a esta Tributaria inconveniente que aumentará la pobreza, el desempleo y la inflación”</w:t>
      </w:r>
      <w:r w:rsidRPr="00EE2FA1">
        <w:rPr>
          <w:rStyle w:val="Refdenotaalpie"/>
          <w:rFonts w:ascii="Times New Roman" w:hAnsi="Times New Roman" w:cs="Times New Roman"/>
          <w:sz w:val="28"/>
        </w:rPr>
        <w:footnoteReference w:id="127"/>
      </w:r>
      <w:r w:rsidRPr="00EE2FA1">
        <w:rPr>
          <w:rFonts w:ascii="Times New Roman" w:hAnsi="Times New Roman" w:cs="Times New Roman"/>
          <w:sz w:val="28"/>
        </w:rPr>
        <w:t>.</w:t>
      </w:r>
    </w:p>
    <w:p w:rsidR="00855269" w:rsidRPr="00EE2FA1" w:rsidRDefault="00EE2FA1" w:rsidP="00C833B9">
      <w:pPr>
        <w:pStyle w:val="Prrafodelista"/>
        <w:spacing w:line="0" w:lineRule="atLeast"/>
        <w:ind w:left="0"/>
        <w:jc w:val="both"/>
        <w:rPr>
          <w:rFonts w:ascii="Times New Roman" w:eastAsia="Calibri" w:hAnsi="Times New Roman" w:cs="Times New Roman"/>
          <w:b/>
          <w:bCs/>
          <w:i/>
          <w:iCs/>
          <w:sz w:val="28"/>
          <w:szCs w:val="28"/>
          <w:lang w:eastAsia="es-ES"/>
        </w:rPr>
      </w:pPr>
      <w:r w:rsidRPr="00EE2FA1">
        <w:rPr>
          <w:rFonts w:ascii="Times New Roman" w:eastAsia="Calibri" w:hAnsi="Times New Roman" w:cs="Times New Roman"/>
          <w:sz w:val="28"/>
          <w:szCs w:val="28"/>
          <w:lang w:eastAsia="es-ES"/>
        </w:rPr>
        <w:t xml:space="preserve"> </w:t>
      </w:r>
    </w:p>
    <w:p w:rsidR="0073284B" w:rsidRPr="00EE2FA1" w:rsidRDefault="00EE2FA1" w:rsidP="00C833B9">
      <w:pPr>
        <w:pStyle w:val="Prrafodelista"/>
        <w:numPr>
          <w:ilvl w:val="0"/>
          <w:numId w:val="1"/>
        </w:numPr>
        <w:spacing w:line="0" w:lineRule="atLeast"/>
        <w:ind w:left="0" w:firstLine="0"/>
        <w:jc w:val="both"/>
        <w:rPr>
          <w:rFonts w:ascii="Times New Roman" w:eastAsia="Calibri" w:hAnsi="Times New Roman" w:cs="Times New Roman"/>
          <w:b/>
          <w:bCs/>
          <w:i/>
          <w:iCs/>
          <w:sz w:val="28"/>
          <w:szCs w:val="28"/>
          <w:lang w:eastAsia="es-ES"/>
        </w:rPr>
      </w:pPr>
      <w:r w:rsidRPr="00EE2FA1">
        <w:rPr>
          <w:rFonts w:ascii="Times New Roman" w:eastAsia="Calibri" w:hAnsi="Times New Roman" w:cs="Times New Roman"/>
          <w:sz w:val="28"/>
          <w:szCs w:val="28"/>
          <w:lang w:eastAsia="es-ES"/>
        </w:rPr>
        <w:t xml:space="preserve">Adicionalmente, ningún </w:t>
      </w:r>
      <w:r w:rsidRPr="00EE2FA1">
        <w:rPr>
          <w:rFonts w:ascii="Times New Roman" w:eastAsia="Calibri" w:hAnsi="Times New Roman" w:cs="Times New Roman"/>
          <w:sz w:val="28"/>
          <w:szCs w:val="28"/>
          <w:lang w:eastAsia="es-ES"/>
        </w:rPr>
        <w:t>congresista, incluido el otro coponente, se opus</w:t>
      </w:r>
      <w:r w:rsidRPr="00EE2FA1">
        <w:rPr>
          <w:rFonts w:ascii="Times New Roman" w:eastAsia="Calibri" w:hAnsi="Times New Roman" w:cs="Times New Roman"/>
          <w:sz w:val="28"/>
          <w:szCs w:val="28"/>
          <w:lang w:eastAsia="es-ES"/>
        </w:rPr>
        <w:t>o</w:t>
      </w:r>
      <w:r w:rsidRPr="00EE2FA1">
        <w:rPr>
          <w:rFonts w:ascii="Times New Roman" w:eastAsia="Calibri" w:hAnsi="Times New Roman" w:cs="Times New Roman"/>
          <w:sz w:val="28"/>
          <w:szCs w:val="28"/>
          <w:lang w:eastAsia="es-ES"/>
        </w:rPr>
        <w:t xml:space="preserve"> a la decisión de la presidencia de la sesión conjunta. En tal sentido, si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hubiese considerado que se trataba de una irregularidad o vicio, estaban</w:t>
      </w:r>
      <w:r w:rsidRPr="00EE2FA1">
        <w:rPr>
          <w:rFonts w:ascii="Times New Roman" w:eastAsia="Calibri" w:hAnsi="Times New Roman" w:cs="Times New Roman"/>
          <w:sz w:val="28"/>
          <w:szCs w:val="28"/>
          <w:lang w:eastAsia="es-ES"/>
        </w:rPr>
        <w:t xml:space="preserve"> los autores de la ponencia negativa</w:t>
      </w:r>
      <w:r w:rsidRPr="00EE2FA1">
        <w:rPr>
          <w:rFonts w:ascii="Times New Roman" w:eastAsia="Calibri" w:hAnsi="Times New Roman" w:cs="Times New Roman"/>
          <w:sz w:val="28"/>
          <w:szCs w:val="28"/>
          <w:lang w:eastAsia="es-ES"/>
        </w:rPr>
        <w:t xml:space="preserve"> en el deber de asumi</w:t>
      </w:r>
      <w:r w:rsidRPr="00EE2FA1">
        <w:rPr>
          <w:rFonts w:ascii="Times New Roman" w:eastAsia="Calibri" w:hAnsi="Times New Roman" w:cs="Times New Roman"/>
          <w:sz w:val="28"/>
          <w:szCs w:val="28"/>
          <w:lang w:eastAsia="es-ES"/>
        </w:rPr>
        <w:t xml:space="preserve">r con diligencia </w:t>
      </w:r>
      <w:r w:rsidRPr="00EE2FA1">
        <w:rPr>
          <w:rFonts w:ascii="Times New Roman" w:eastAsia="Calibri" w:hAnsi="Times New Roman" w:cs="Times New Roman"/>
          <w:sz w:val="28"/>
          <w:szCs w:val="28"/>
          <w:lang w:eastAsia="es-ES"/>
        </w:rPr>
        <w:t>y oportunidad todas las actuaciones necesarias para superar la circunstancia que consideraban irregular</w:t>
      </w:r>
      <w:r w:rsidRPr="00EE2FA1">
        <w:rPr>
          <w:rFonts w:ascii="Times New Roman" w:eastAsia="Calibri" w:hAnsi="Times New Roman" w:cs="Times New Roman"/>
          <w:sz w:val="28"/>
          <w:szCs w:val="28"/>
          <w:lang w:eastAsia="es-ES"/>
        </w:rPr>
        <w:t xml:space="preserve">, lo mismo que los demás congresistas tuvieron la oportunidad de expresarse sobre el particular, pues lo contrario implicaba convalidar </w:t>
      </w:r>
      <w:r w:rsidRPr="00EE2FA1">
        <w:rPr>
          <w:rFonts w:ascii="Times New Roman" w:eastAsia="Calibri" w:hAnsi="Times New Roman" w:cs="Times New Roman"/>
          <w:sz w:val="28"/>
          <w:szCs w:val="28"/>
          <w:lang w:eastAsia="es-ES"/>
        </w:rPr>
        <w:t>la decisión adoptada por la presidencia de las comisiones conjuntas</w:t>
      </w:r>
      <w:r w:rsidRPr="00EE2FA1">
        <w:rPr>
          <w:rFonts w:ascii="Times New Roman" w:eastAsia="Calibri" w:hAnsi="Times New Roman" w:cs="Times New Roman"/>
          <w:sz w:val="28"/>
          <w:szCs w:val="28"/>
          <w:lang w:eastAsia="es-ES"/>
        </w:rPr>
        <w:t>, tal y como ocurrió.</w:t>
      </w:r>
    </w:p>
    <w:p w:rsidR="000A3882" w:rsidRPr="00EE2FA1" w:rsidRDefault="00EE2FA1" w:rsidP="000A3882">
      <w:pPr>
        <w:pStyle w:val="Prrafodelista"/>
        <w:spacing w:line="0" w:lineRule="atLeast"/>
        <w:ind w:left="0"/>
        <w:jc w:val="both"/>
        <w:rPr>
          <w:rFonts w:ascii="Times New Roman" w:eastAsia="Calibri" w:hAnsi="Times New Roman" w:cs="Times New Roman"/>
          <w:b/>
          <w:bCs/>
          <w:i/>
          <w:iCs/>
          <w:sz w:val="28"/>
          <w:szCs w:val="28"/>
          <w:lang w:eastAsia="es-ES"/>
        </w:rPr>
      </w:pPr>
    </w:p>
    <w:p w:rsidR="000A3882" w:rsidRPr="00EE2FA1" w:rsidRDefault="00EE2FA1" w:rsidP="000A3882">
      <w:pPr>
        <w:pStyle w:val="Prrafodelista"/>
        <w:numPr>
          <w:ilvl w:val="0"/>
          <w:numId w:val="1"/>
        </w:numPr>
        <w:spacing w:line="0" w:lineRule="atLeast"/>
        <w:ind w:left="0" w:firstLine="0"/>
        <w:jc w:val="both"/>
        <w:rPr>
          <w:rFonts w:ascii="Times New Roman" w:eastAsia="Calibri" w:hAnsi="Times New Roman" w:cs="Times New Roman"/>
          <w:b/>
          <w:bCs/>
          <w:i/>
          <w:iCs/>
          <w:sz w:val="28"/>
          <w:szCs w:val="28"/>
          <w:lang w:eastAsia="es-ES"/>
        </w:rPr>
      </w:pPr>
      <w:r w:rsidRPr="00EE2FA1">
        <w:rPr>
          <w:rFonts w:ascii="Times New Roman" w:eastAsia="Calibri" w:hAnsi="Times New Roman" w:cs="Times New Roman"/>
          <w:i/>
          <w:iCs/>
          <w:sz w:val="28"/>
          <w:szCs w:val="28"/>
          <w:lang w:eastAsia="es-ES"/>
        </w:rPr>
        <w:t>No se impidió que las comisiones que sesionaban de manera conjunta manifestaran su voluntad de aprobar la ponencia positiva para primer debate.</w:t>
      </w:r>
      <w:r w:rsidRPr="00EE2FA1">
        <w:rPr>
          <w:rFonts w:ascii="Times New Roman" w:eastAsia="Calibri" w:hAnsi="Times New Roman" w:cs="Times New Roman"/>
          <w:b/>
          <w:bCs/>
          <w:i/>
          <w:iCs/>
          <w:sz w:val="28"/>
          <w:szCs w:val="28"/>
          <w:lang w:eastAsia="es-ES"/>
        </w:rPr>
        <w:t xml:space="preserve"> </w:t>
      </w:r>
      <w:r w:rsidRPr="00EE2FA1">
        <w:rPr>
          <w:rFonts w:ascii="Times New Roman" w:hAnsi="Times New Roman" w:cs="Times New Roman"/>
          <w:sz w:val="28"/>
          <w:szCs w:val="28"/>
        </w:rPr>
        <w:t>Al respecto, la presid</w:t>
      </w:r>
      <w:r w:rsidRPr="00EE2FA1">
        <w:rPr>
          <w:rFonts w:ascii="Times New Roman" w:hAnsi="Times New Roman" w:cs="Times New Roman"/>
          <w:sz w:val="28"/>
          <w:szCs w:val="28"/>
        </w:rPr>
        <w:t>enta de las comisiones conjuntas ordenó a la secretaría que leyera la proposición con la que terminaba la ponencia positiva mayoritaria</w:t>
      </w:r>
      <w:r w:rsidRPr="00EE2FA1">
        <w:rPr>
          <w:rStyle w:val="Refdenotaalpie"/>
          <w:rFonts w:ascii="Times New Roman" w:hAnsi="Times New Roman" w:cs="Times New Roman"/>
          <w:sz w:val="28"/>
          <w:szCs w:val="28"/>
        </w:rPr>
        <w:footnoteReference w:id="128"/>
      </w:r>
      <w:r w:rsidRPr="00EE2FA1">
        <w:rPr>
          <w:rFonts w:ascii="Times New Roman" w:hAnsi="Times New Roman" w:cs="Times New Roman"/>
          <w:sz w:val="28"/>
          <w:szCs w:val="28"/>
        </w:rPr>
        <w:t xml:space="preserve">. Después de que se cerró su discusión, la Comisión Tercera de la Cámara votó de la siguiente manera: “[p]or el Sí, </w:t>
      </w:r>
      <w:r w:rsidRPr="00EE2FA1">
        <w:rPr>
          <w:rFonts w:ascii="Times New Roman" w:hAnsi="Times New Roman" w:cs="Times New Roman"/>
          <w:sz w:val="28"/>
          <w:szCs w:val="28"/>
        </w:rPr>
        <w:t>veintidós (22); por el No, dos (2); ha sido aprobada la proposición con que termina el informe de ponencia mayoritario positivo”</w:t>
      </w:r>
      <w:r w:rsidRPr="00EE2FA1">
        <w:rPr>
          <w:rFonts w:ascii="Times New Roman" w:hAnsi="Times New Roman" w:cs="Times New Roman"/>
          <w:sz w:val="28"/>
          <w:szCs w:val="28"/>
          <w:vertAlign w:val="superscript"/>
        </w:rPr>
        <w:footnoteReference w:id="129"/>
      </w:r>
      <w:r w:rsidRPr="00EE2FA1">
        <w:rPr>
          <w:rFonts w:ascii="Times New Roman" w:hAnsi="Times New Roman" w:cs="Times New Roman"/>
          <w:sz w:val="28"/>
          <w:szCs w:val="28"/>
        </w:rPr>
        <w:t>. En la Comisión Tercera del Senado la votación fue “[p]or el Sí, doce (12) votos; por el No, cuatro (4) votos; ha sido aprobad</w:t>
      </w:r>
      <w:r w:rsidRPr="00EE2FA1">
        <w:rPr>
          <w:rFonts w:ascii="Times New Roman" w:hAnsi="Times New Roman" w:cs="Times New Roman"/>
          <w:sz w:val="28"/>
          <w:szCs w:val="28"/>
        </w:rPr>
        <w:t>a la proposición con que termina el informe de la ponencia mayoritaria”</w:t>
      </w:r>
      <w:r w:rsidRPr="00EE2FA1">
        <w:rPr>
          <w:rFonts w:ascii="Times New Roman" w:hAnsi="Times New Roman" w:cs="Times New Roman"/>
          <w:sz w:val="28"/>
          <w:szCs w:val="28"/>
          <w:vertAlign w:val="superscript"/>
        </w:rPr>
        <w:footnoteReference w:id="130"/>
      </w:r>
      <w:r w:rsidRPr="00EE2FA1">
        <w:rPr>
          <w:rFonts w:ascii="Times New Roman" w:hAnsi="Times New Roman" w:cs="Times New Roman"/>
          <w:sz w:val="28"/>
          <w:szCs w:val="28"/>
        </w:rPr>
        <w:t xml:space="preserve">. Lo expuesto pone de manifiesto que la voluntad legislativa expresada por las </w:t>
      </w:r>
      <w:r w:rsidRPr="00EE2FA1">
        <w:rPr>
          <w:rFonts w:ascii="Times New Roman" w:hAnsi="Times New Roman" w:cs="Times New Roman"/>
          <w:sz w:val="28"/>
          <w:szCs w:val="28"/>
        </w:rPr>
        <w:t xml:space="preserve">Comisiones Terceras Conjuntas </w:t>
      </w:r>
      <w:r w:rsidRPr="00EE2FA1">
        <w:rPr>
          <w:rFonts w:ascii="Times New Roman" w:hAnsi="Times New Roman" w:cs="Times New Roman"/>
          <w:sz w:val="28"/>
          <w:szCs w:val="28"/>
        </w:rPr>
        <w:t>no era archivar la iniciativa, sino que consistía en aprobar la ponencia po</w:t>
      </w:r>
      <w:r w:rsidRPr="00EE2FA1">
        <w:rPr>
          <w:rFonts w:ascii="Times New Roman" w:hAnsi="Times New Roman" w:cs="Times New Roman"/>
          <w:sz w:val="28"/>
          <w:szCs w:val="28"/>
        </w:rPr>
        <w:t>sitiva. Esto es, darle primer debate al proyecto de ley 118 de 2022 Cámara, 131 de 2022 Senado.</w:t>
      </w:r>
    </w:p>
    <w:p w:rsidR="000A3882" w:rsidRPr="00EE2FA1" w:rsidRDefault="00EE2FA1" w:rsidP="00C833B9">
      <w:pPr>
        <w:pStyle w:val="Prrafodelista"/>
        <w:spacing w:line="0" w:lineRule="atLeast"/>
        <w:ind w:left="0"/>
        <w:jc w:val="both"/>
        <w:rPr>
          <w:rFonts w:ascii="Times New Roman" w:eastAsia="Calibri" w:hAnsi="Times New Roman" w:cs="Times New Roman"/>
          <w:sz w:val="28"/>
          <w:szCs w:val="28"/>
          <w:lang w:eastAsia="es-ES"/>
        </w:rPr>
      </w:pPr>
    </w:p>
    <w:p w:rsidR="00626CD6" w:rsidRPr="00EE2FA1" w:rsidRDefault="00EE2FA1" w:rsidP="00626CD6">
      <w:pPr>
        <w:pStyle w:val="Prrafodelista"/>
        <w:numPr>
          <w:ilvl w:val="0"/>
          <w:numId w:val="1"/>
        </w:numPr>
        <w:spacing w:line="0" w:lineRule="atLeast"/>
        <w:ind w:left="0" w:firstLine="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sz w:val="28"/>
          <w:szCs w:val="28"/>
          <w:lang w:eastAsia="es-ES"/>
        </w:rPr>
        <w:t xml:space="preserve">En conclusión, </w:t>
      </w:r>
      <w:r w:rsidRPr="00EE2FA1">
        <w:rPr>
          <w:rFonts w:ascii="Times New Roman" w:eastAsia="Calibri" w:hAnsi="Times New Roman" w:cs="Times New Roman"/>
          <w:sz w:val="28"/>
          <w:szCs w:val="28"/>
          <w:lang w:eastAsia="es-ES"/>
        </w:rPr>
        <w:t xml:space="preserve">en </w:t>
      </w:r>
      <w:r w:rsidRPr="00EE2FA1">
        <w:rPr>
          <w:rFonts w:ascii="Times New Roman" w:eastAsia="Calibri" w:hAnsi="Times New Roman" w:cs="Times New Roman"/>
          <w:sz w:val="28"/>
          <w:szCs w:val="28"/>
          <w:lang w:eastAsia="es-ES"/>
        </w:rPr>
        <w:t>la aprobación d</w:t>
      </w:r>
      <w:r w:rsidRPr="00EE2FA1">
        <w:rPr>
          <w:rFonts w:ascii="Times New Roman" w:eastAsia="Calibri" w:hAnsi="Times New Roman" w:cs="Times New Roman"/>
          <w:sz w:val="28"/>
          <w:szCs w:val="28"/>
          <w:lang w:eastAsia="es-ES"/>
        </w:rPr>
        <w:t xml:space="preserve">el </w:t>
      </w:r>
      <w:r w:rsidRPr="00EE2FA1">
        <w:rPr>
          <w:rFonts w:ascii="Times New Roman" w:eastAsia="Calibri" w:hAnsi="Times New Roman" w:cs="Times New Roman"/>
          <w:sz w:val="28"/>
          <w:szCs w:val="28"/>
          <w:lang w:eastAsia="es-ES"/>
        </w:rPr>
        <w:t xml:space="preserve">proyecto de ley que contenía el </w:t>
      </w:r>
      <w:r w:rsidRPr="00EE2FA1">
        <w:rPr>
          <w:rFonts w:ascii="Times New Roman" w:eastAsia="Calibri" w:hAnsi="Times New Roman" w:cs="Times New Roman"/>
          <w:sz w:val="28"/>
          <w:szCs w:val="28"/>
          <w:lang w:eastAsia="es-ES"/>
        </w:rPr>
        <w:t>parágrafo 3º (parcial) del artículo 10</w:t>
      </w:r>
      <w:r w:rsidRPr="00EE2FA1">
        <w:rPr>
          <w:rFonts w:ascii="Times New Roman" w:eastAsia="Calibri" w:hAnsi="Times New Roman" w:cs="Times New Roman"/>
          <w:sz w:val="28"/>
          <w:szCs w:val="28"/>
          <w:lang w:eastAsia="es-ES"/>
        </w:rPr>
        <w:t xml:space="preserve"> y </w:t>
      </w:r>
      <w:r w:rsidRPr="00EE2FA1">
        <w:rPr>
          <w:rFonts w:ascii="Times New Roman" w:eastAsia="Calibri" w:hAnsi="Times New Roman" w:cs="Times New Roman"/>
          <w:sz w:val="28"/>
          <w:szCs w:val="28"/>
          <w:lang w:eastAsia="es-ES"/>
        </w:rPr>
        <w:t>d</w:t>
      </w:r>
      <w:r w:rsidRPr="00EE2FA1">
        <w:rPr>
          <w:rFonts w:ascii="Times New Roman" w:eastAsia="Calibri" w:hAnsi="Times New Roman" w:cs="Times New Roman"/>
          <w:sz w:val="28"/>
          <w:szCs w:val="28"/>
          <w:lang w:eastAsia="es-ES"/>
        </w:rPr>
        <w:t>el artículo 19</w:t>
      </w:r>
      <w:r w:rsidRPr="00EE2FA1">
        <w:rPr>
          <w:rFonts w:ascii="Times New Roman" w:eastAsia="Calibri" w:hAnsi="Times New Roman" w:cs="Times New Roman"/>
          <w:sz w:val="28"/>
          <w:szCs w:val="28"/>
          <w:lang w:eastAsia="es-ES"/>
        </w:rPr>
        <w:t xml:space="preserve"> de la Ley 2277 de 2022 no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aplic</w:t>
      </w:r>
      <w:r w:rsidRPr="00EE2FA1">
        <w:rPr>
          <w:rFonts w:ascii="Times New Roman" w:eastAsia="Calibri" w:hAnsi="Times New Roman" w:cs="Times New Roman"/>
          <w:sz w:val="28"/>
          <w:szCs w:val="28"/>
          <w:lang w:eastAsia="es-ES"/>
        </w:rPr>
        <w:t xml:space="preserve">ó </w:t>
      </w:r>
      <w:r w:rsidRPr="00EE2FA1">
        <w:rPr>
          <w:rFonts w:ascii="Times New Roman" w:eastAsia="Calibri" w:hAnsi="Times New Roman" w:cs="Times New Roman"/>
          <w:sz w:val="28"/>
          <w:szCs w:val="28"/>
          <w:lang w:eastAsia="es-ES"/>
        </w:rPr>
        <w:t>el artículo 157 de la Constitución</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ni </w:t>
      </w:r>
      <w:r w:rsidRPr="00EE2FA1">
        <w:rPr>
          <w:rFonts w:ascii="Times New Roman" w:eastAsia="Calibri" w:hAnsi="Times New Roman" w:cs="Times New Roman"/>
          <w:sz w:val="28"/>
          <w:szCs w:val="28"/>
          <w:lang w:eastAsia="es-ES"/>
        </w:rPr>
        <w:t>los artículos 157 y 173 de la Ley 5ª de 1992</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pues </w:t>
      </w:r>
      <w:r w:rsidRPr="00EE2FA1">
        <w:rPr>
          <w:rFonts w:ascii="Times New Roman" w:eastAsia="Calibri" w:hAnsi="Times New Roman" w:cs="Times New Roman"/>
          <w:sz w:val="28"/>
          <w:szCs w:val="28"/>
          <w:lang w:eastAsia="es-ES"/>
        </w:rPr>
        <w:t>ante la votación negativa de la ponencia de archivo por la Comisión Tercera de la Cámara</w:t>
      </w:r>
      <w:r w:rsidRPr="00EE2FA1">
        <w:rPr>
          <w:rFonts w:ascii="Times New Roman" w:eastAsia="Calibri" w:hAnsi="Times New Roman" w:cs="Times New Roman"/>
          <w:sz w:val="28"/>
          <w:szCs w:val="28"/>
          <w:lang w:eastAsia="es-ES"/>
        </w:rPr>
        <w:t xml:space="preserve"> de Representantes</w:t>
      </w:r>
      <w:r w:rsidRPr="00EE2FA1">
        <w:rPr>
          <w:rFonts w:ascii="Times New Roman" w:eastAsia="Calibri" w:hAnsi="Times New Roman" w:cs="Times New Roman"/>
          <w:sz w:val="28"/>
          <w:szCs w:val="28"/>
          <w:lang w:eastAsia="es-ES"/>
        </w:rPr>
        <w:t xml:space="preserve"> en sesión conjunta, era necesario adelantar la votación por parte de su homóloga en Senado.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En ese sentido, se </w:t>
      </w:r>
      <w:r w:rsidRPr="00EE2FA1">
        <w:rPr>
          <w:rFonts w:ascii="Times New Roman" w:eastAsia="Calibri" w:hAnsi="Times New Roman" w:cs="Times New Roman"/>
          <w:sz w:val="28"/>
          <w:szCs w:val="28"/>
          <w:lang w:eastAsia="es-ES"/>
        </w:rPr>
        <w:t>evidenció</w:t>
      </w:r>
      <w:r w:rsidRPr="00EE2FA1">
        <w:rPr>
          <w:rFonts w:ascii="Times New Roman" w:eastAsia="Calibri" w:hAnsi="Times New Roman" w:cs="Times New Roman"/>
          <w:sz w:val="28"/>
          <w:szCs w:val="28"/>
          <w:lang w:eastAsia="es-ES"/>
        </w:rPr>
        <w:t xml:space="preserve"> un vicio de inconstitucionalidad</w:t>
      </w:r>
      <w:r w:rsidRPr="00EE2FA1">
        <w:rPr>
          <w:rFonts w:ascii="Times New Roman" w:eastAsia="Calibri" w:hAnsi="Times New Roman" w:cs="Times New Roman"/>
          <w:sz w:val="28"/>
          <w:szCs w:val="28"/>
          <w:lang w:eastAsia="es-ES"/>
        </w:rPr>
        <w:t xml:space="preserve"> pero</w:t>
      </w:r>
      <w:r w:rsidRPr="00EE2FA1">
        <w:rPr>
          <w:rFonts w:ascii="Times New Roman" w:eastAsia="Calibri" w:hAnsi="Times New Roman" w:cs="Times New Roman"/>
          <w:sz w:val="28"/>
          <w:szCs w:val="28"/>
          <w:lang w:eastAsia="es-ES"/>
        </w:rPr>
        <w:t xml:space="preserve"> aquel</w:t>
      </w:r>
      <w:r w:rsidRPr="00EE2FA1">
        <w:rPr>
          <w:rFonts w:ascii="Times New Roman" w:eastAsia="Calibri" w:hAnsi="Times New Roman" w:cs="Times New Roman"/>
          <w:sz w:val="28"/>
          <w:szCs w:val="28"/>
          <w:lang w:eastAsia="es-ES"/>
        </w:rPr>
        <w:t xml:space="preserve"> fue convalidado</w:t>
      </w:r>
      <w:r w:rsidRPr="00EE2FA1">
        <w:rPr>
          <w:rFonts w:ascii="Times New Roman" w:eastAsia="Calibri" w:hAnsi="Times New Roman" w:cs="Times New Roman"/>
          <w:sz w:val="28"/>
          <w:szCs w:val="28"/>
          <w:lang w:eastAsia="es-ES"/>
        </w:rPr>
        <w:t xml:space="preserve"> y subsanado</w:t>
      </w:r>
      <w:r w:rsidRPr="00EE2FA1">
        <w:rPr>
          <w:rFonts w:ascii="Times New Roman" w:eastAsia="Calibri" w:hAnsi="Times New Roman" w:cs="Times New Roman"/>
          <w:sz w:val="28"/>
          <w:szCs w:val="28"/>
          <w:lang w:eastAsia="es-ES"/>
        </w:rPr>
        <w:t xml:space="preserve"> por la actuación de las propias comisiones que dio vía a la ap</w:t>
      </w:r>
      <w:r w:rsidRPr="00EE2FA1">
        <w:rPr>
          <w:rFonts w:ascii="Times New Roman" w:eastAsia="Calibri" w:hAnsi="Times New Roman" w:cs="Times New Roman"/>
          <w:sz w:val="28"/>
          <w:szCs w:val="28"/>
          <w:lang w:eastAsia="es-ES"/>
        </w:rPr>
        <w:t xml:space="preserve">robación del proyecto de ley en cuestión. </w:t>
      </w:r>
    </w:p>
    <w:p w:rsidR="00626CD6" w:rsidRPr="00EE2FA1" w:rsidRDefault="00EE2FA1" w:rsidP="00626CD6">
      <w:pPr>
        <w:pStyle w:val="Prrafodelista"/>
        <w:spacing w:line="0" w:lineRule="atLeast"/>
        <w:ind w:left="0"/>
        <w:jc w:val="both"/>
        <w:rPr>
          <w:rFonts w:ascii="Times New Roman" w:eastAsia="Calibri" w:hAnsi="Times New Roman" w:cs="Times New Roman"/>
          <w:b/>
          <w:bCs/>
          <w:sz w:val="28"/>
          <w:szCs w:val="28"/>
          <w:lang w:eastAsia="es-ES"/>
        </w:rPr>
      </w:pPr>
    </w:p>
    <w:p w:rsidR="002C41C1" w:rsidRPr="00EE2FA1" w:rsidRDefault="00EE2FA1" w:rsidP="00C833B9">
      <w:pPr>
        <w:pStyle w:val="Prrafodelista"/>
        <w:spacing w:line="0" w:lineRule="atLeast"/>
        <w:ind w:left="0"/>
        <w:jc w:val="both"/>
        <w:rPr>
          <w:rFonts w:ascii="Times New Roman" w:hAnsi="Times New Roman" w:cs="Times New Roman"/>
          <w:b/>
          <w:bCs/>
          <w:sz w:val="28"/>
          <w:szCs w:val="28"/>
        </w:rPr>
      </w:pPr>
      <w:r w:rsidRPr="00EE2FA1">
        <w:rPr>
          <w:rFonts w:ascii="Times New Roman" w:hAnsi="Times New Roman" w:cs="Times New Roman"/>
          <w:b/>
          <w:bCs/>
          <w:sz w:val="28"/>
          <w:szCs w:val="28"/>
        </w:rPr>
        <w:t>Segundo cargo.  Los artículos 10</w:t>
      </w:r>
      <w:r w:rsidRPr="00EE2FA1">
        <w:rPr>
          <w:rFonts w:ascii="Times New Roman" w:hAnsi="Times New Roman" w:cs="Times New Roman"/>
          <w:b/>
          <w:bCs/>
          <w:sz w:val="28"/>
          <w:szCs w:val="28"/>
        </w:rPr>
        <w:t xml:space="preserve"> (parcial)</w:t>
      </w:r>
      <w:r w:rsidRPr="00EE2FA1">
        <w:rPr>
          <w:rFonts w:ascii="Times New Roman" w:hAnsi="Times New Roman" w:cs="Times New Roman"/>
          <w:b/>
          <w:bCs/>
          <w:sz w:val="28"/>
          <w:szCs w:val="28"/>
        </w:rPr>
        <w:t xml:space="preserve"> y 19 de la Ley 2277 de 2022 fueron aprobados sin que se debatieran y votaran las proposiciones modificativas y</w:t>
      </w:r>
      <w:r w:rsidRPr="00EE2FA1">
        <w:rPr>
          <w:rFonts w:ascii="Times New Roman" w:hAnsi="Times New Roman" w:cs="Times New Roman"/>
          <w:b/>
          <w:bCs/>
          <w:sz w:val="28"/>
          <w:szCs w:val="28"/>
        </w:rPr>
        <w:t>,</w:t>
      </w:r>
      <w:r w:rsidRPr="00EE2FA1">
        <w:rPr>
          <w:rFonts w:ascii="Times New Roman" w:hAnsi="Times New Roman" w:cs="Times New Roman"/>
          <w:b/>
          <w:bCs/>
          <w:sz w:val="28"/>
          <w:szCs w:val="28"/>
        </w:rPr>
        <w:t xml:space="preserve"> por ende</w:t>
      </w:r>
      <w:r w:rsidRPr="00EE2FA1">
        <w:rPr>
          <w:rFonts w:ascii="Times New Roman" w:hAnsi="Times New Roman" w:cs="Times New Roman"/>
          <w:b/>
          <w:bCs/>
          <w:sz w:val="28"/>
          <w:szCs w:val="28"/>
        </w:rPr>
        <w:t>,</w:t>
      </w:r>
      <w:r w:rsidRPr="00EE2FA1">
        <w:rPr>
          <w:rFonts w:ascii="Times New Roman" w:hAnsi="Times New Roman" w:cs="Times New Roman"/>
          <w:b/>
          <w:bCs/>
          <w:sz w:val="28"/>
          <w:szCs w:val="28"/>
        </w:rPr>
        <w:t xml:space="preserve"> se vulnera</w:t>
      </w:r>
      <w:r w:rsidRPr="00EE2FA1">
        <w:rPr>
          <w:rFonts w:ascii="Times New Roman" w:hAnsi="Times New Roman" w:cs="Times New Roman"/>
          <w:b/>
          <w:bCs/>
          <w:sz w:val="28"/>
          <w:szCs w:val="28"/>
        </w:rPr>
        <w:t>ro</w:t>
      </w:r>
      <w:r w:rsidRPr="00EE2FA1">
        <w:rPr>
          <w:rFonts w:ascii="Times New Roman" w:hAnsi="Times New Roman" w:cs="Times New Roman"/>
          <w:b/>
          <w:bCs/>
          <w:sz w:val="28"/>
          <w:szCs w:val="28"/>
        </w:rPr>
        <w:t xml:space="preserve">n el artículo 157 superior y los </w:t>
      </w:r>
      <w:r w:rsidRPr="00EE2FA1">
        <w:rPr>
          <w:rFonts w:ascii="Times New Roman" w:hAnsi="Times New Roman" w:cs="Times New Roman"/>
          <w:b/>
          <w:bCs/>
          <w:sz w:val="28"/>
          <w:szCs w:val="28"/>
        </w:rPr>
        <w:t>artículos 112,</w:t>
      </w:r>
      <w:r w:rsidRPr="00EE2FA1">
        <w:rPr>
          <w:rFonts w:ascii="Times New Roman" w:hAnsi="Times New Roman" w:cs="Times New Roman"/>
          <w:b/>
          <w:bCs/>
          <w:sz w:val="28"/>
          <w:szCs w:val="28"/>
        </w:rPr>
        <w:t xml:space="preserve"> </w:t>
      </w:r>
      <w:r w:rsidRPr="00EE2FA1">
        <w:rPr>
          <w:rFonts w:ascii="Times New Roman" w:hAnsi="Times New Roman" w:cs="Times New Roman"/>
          <w:b/>
          <w:bCs/>
          <w:sz w:val="28"/>
          <w:szCs w:val="28"/>
        </w:rPr>
        <w:t>115, 160 y 162 de la Ley 5ª de 1992</w:t>
      </w:r>
    </w:p>
    <w:p w:rsidR="004D721C" w:rsidRPr="00EE2FA1" w:rsidRDefault="00EE2FA1" w:rsidP="00C833B9">
      <w:pPr>
        <w:pStyle w:val="Prrafodelista"/>
        <w:spacing w:line="0" w:lineRule="atLeast"/>
        <w:ind w:left="0"/>
        <w:jc w:val="both"/>
        <w:rPr>
          <w:rFonts w:ascii="Times New Roman" w:hAnsi="Times New Roman" w:cs="Times New Roman"/>
          <w:b/>
          <w:bCs/>
          <w:sz w:val="28"/>
          <w:szCs w:val="28"/>
        </w:rPr>
      </w:pPr>
    </w:p>
    <w:p w:rsidR="00007647" w:rsidRPr="00EE2FA1" w:rsidRDefault="00EE2FA1" w:rsidP="00C833B9">
      <w:pPr>
        <w:pStyle w:val="Prrafodelista"/>
        <w:numPr>
          <w:ilvl w:val="0"/>
          <w:numId w:val="1"/>
        </w:numPr>
        <w:spacing w:line="0" w:lineRule="atLeast"/>
        <w:ind w:left="0" w:firstLine="0"/>
        <w:jc w:val="both"/>
        <w:rPr>
          <w:rFonts w:ascii="Times New Roman" w:eastAsia="Calibri" w:hAnsi="Times New Roman" w:cs="Times New Roman"/>
          <w:b/>
          <w:bCs/>
          <w:i/>
          <w:iCs/>
          <w:sz w:val="28"/>
          <w:szCs w:val="28"/>
          <w:lang w:eastAsia="es-ES"/>
        </w:rPr>
      </w:pPr>
      <w:r w:rsidRPr="00EE2FA1">
        <w:rPr>
          <w:rFonts w:ascii="Times New Roman" w:hAnsi="Times New Roman" w:cs="Times New Roman"/>
          <w:sz w:val="28"/>
          <w:szCs w:val="28"/>
        </w:rPr>
        <w:t xml:space="preserve">La ciudadana </w:t>
      </w:r>
      <w:r w:rsidRPr="00EE2FA1">
        <w:rPr>
          <w:rFonts w:ascii="Times New Roman" w:hAnsi="Times New Roman" w:cs="Times New Roman"/>
          <w:sz w:val="28"/>
          <w:szCs w:val="28"/>
        </w:rPr>
        <w:t xml:space="preserve">demandante </w:t>
      </w:r>
      <w:r w:rsidRPr="00EE2FA1">
        <w:rPr>
          <w:rFonts w:ascii="Times New Roman" w:hAnsi="Times New Roman" w:cs="Times New Roman"/>
          <w:sz w:val="28"/>
          <w:szCs w:val="28"/>
        </w:rPr>
        <w:t>presentó los siguientes argumentos</w:t>
      </w:r>
      <w:r w:rsidRPr="00EE2FA1">
        <w:rPr>
          <w:rFonts w:ascii="Times New Roman" w:hAnsi="Times New Roman" w:cs="Times New Roman"/>
          <w:sz w:val="28"/>
          <w:szCs w:val="28"/>
        </w:rPr>
        <w:t xml:space="preserve"> considerando que</w:t>
      </w:r>
      <w:r w:rsidRPr="00EE2FA1">
        <w:rPr>
          <w:rFonts w:ascii="Times New Roman" w:hAnsi="Times New Roman" w:cs="Times New Roman"/>
          <w:sz w:val="28"/>
          <w:szCs w:val="28"/>
        </w:rPr>
        <w:t xml:space="preserve"> “el cargo consiste en que los artículos 9 y 12 de la ponencia para primer debate fueron votados sin que esas cuatro proposiciones que versaban específicamente sobre estos dos artículos hubieran sido debatidas o votadas.” </w:t>
      </w:r>
      <w:r w:rsidRPr="00EE2FA1">
        <w:rPr>
          <w:rFonts w:ascii="Times New Roman" w:hAnsi="Times New Roman" w:cs="Times New Roman"/>
          <w:sz w:val="28"/>
          <w:szCs w:val="28"/>
        </w:rPr>
        <w:t>También manifestó</w:t>
      </w:r>
      <w:r w:rsidRPr="00EE2FA1">
        <w:rPr>
          <w:rFonts w:ascii="Times New Roman" w:hAnsi="Times New Roman" w:cs="Times New Roman"/>
          <w:sz w:val="28"/>
          <w:szCs w:val="28"/>
        </w:rPr>
        <w:t xml:space="preserve"> que lo ocurrido </w:t>
      </w:r>
      <w:r w:rsidRPr="00EE2FA1">
        <w:rPr>
          <w:rFonts w:ascii="Times New Roman" w:hAnsi="Times New Roman" w:cs="Times New Roman"/>
          <w:sz w:val="28"/>
          <w:szCs w:val="28"/>
        </w:rPr>
        <w:t xml:space="preserve">con las demás 951 proposiciones “se relató a título de contexto, pero no es necesario para sustentar específicamente el cargo contra las dos normas acusadas. (…) se solicita omitir del juicio de constitucionalidad la referencia a las 951 proposiciones que </w:t>
      </w:r>
      <w:r w:rsidRPr="00EE2FA1">
        <w:rPr>
          <w:rFonts w:ascii="Times New Roman" w:hAnsi="Times New Roman" w:cs="Times New Roman"/>
          <w:sz w:val="28"/>
          <w:szCs w:val="28"/>
        </w:rPr>
        <w:t xml:space="preserve">no tienen que ver con los dos artículos acusados, o que fueron retiradas oportunamente por sus autores.” </w:t>
      </w:r>
    </w:p>
    <w:p w:rsidR="00007647" w:rsidRPr="00EE2FA1" w:rsidRDefault="00EE2FA1" w:rsidP="00C833B9">
      <w:pPr>
        <w:pStyle w:val="Prrafodelista"/>
        <w:spacing w:line="0" w:lineRule="atLeast"/>
        <w:ind w:left="0"/>
        <w:jc w:val="both"/>
        <w:rPr>
          <w:rFonts w:ascii="Times New Roman" w:eastAsia="Calibri" w:hAnsi="Times New Roman" w:cs="Times New Roman"/>
          <w:b/>
          <w:bCs/>
          <w:i/>
          <w:iCs/>
          <w:sz w:val="28"/>
          <w:szCs w:val="28"/>
          <w:lang w:eastAsia="es-ES"/>
        </w:rPr>
      </w:pPr>
    </w:p>
    <w:p w:rsidR="00007647" w:rsidRPr="00EE2FA1" w:rsidRDefault="00EE2FA1" w:rsidP="00C833B9">
      <w:pPr>
        <w:pStyle w:val="Prrafodelista"/>
        <w:numPr>
          <w:ilvl w:val="0"/>
          <w:numId w:val="1"/>
        </w:numPr>
        <w:spacing w:line="0" w:lineRule="atLeast"/>
        <w:ind w:left="0" w:firstLine="0"/>
        <w:jc w:val="both"/>
        <w:rPr>
          <w:rFonts w:ascii="Times New Roman" w:eastAsia="Calibri" w:hAnsi="Times New Roman" w:cs="Times New Roman"/>
          <w:b/>
          <w:bCs/>
          <w:sz w:val="28"/>
          <w:szCs w:val="28"/>
          <w:lang w:eastAsia="es-ES"/>
        </w:rPr>
      </w:pPr>
      <w:r w:rsidRPr="00EE2FA1">
        <w:rPr>
          <w:rFonts w:ascii="Times New Roman" w:hAnsi="Times New Roman" w:cs="Times New Roman"/>
          <w:sz w:val="28"/>
          <w:szCs w:val="28"/>
        </w:rPr>
        <w:t>Luego, exp</w:t>
      </w:r>
      <w:r w:rsidRPr="00EE2FA1">
        <w:rPr>
          <w:rFonts w:ascii="Times New Roman" w:hAnsi="Times New Roman" w:cs="Times New Roman"/>
          <w:sz w:val="28"/>
          <w:szCs w:val="28"/>
        </w:rPr>
        <w:t>uso</w:t>
      </w:r>
      <w:r w:rsidRPr="00EE2FA1">
        <w:rPr>
          <w:rFonts w:ascii="Times New Roman" w:hAnsi="Times New Roman" w:cs="Times New Roman"/>
          <w:sz w:val="28"/>
          <w:szCs w:val="28"/>
        </w:rPr>
        <w:t xml:space="preserve"> que “</w:t>
      </w:r>
      <w:r w:rsidRPr="00EE2FA1">
        <w:rPr>
          <w:rFonts w:ascii="Times New Roman" w:hAnsi="Times New Roman" w:cs="Times New Roman"/>
          <w:sz w:val="28"/>
          <w:szCs w:val="28"/>
        </w:rPr>
        <w:t xml:space="preserve">los </w:t>
      </w:r>
      <w:r w:rsidRPr="00EE2FA1">
        <w:rPr>
          <w:rFonts w:ascii="Times New Roman" w:hAnsi="Times New Roman" w:cs="Times New Roman"/>
          <w:sz w:val="28"/>
          <w:szCs w:val="28"/>
        </w:rPr>
        <w:t>artículos 9 y 12 fueron votados dentro de un bloque de artículos, a pesar de que sobre estos aun seguían pendientes de deliber</w:t>
      </w:r>
      <w:r w:rsidRPr="00EE2FA1">
        <w:rPr>
          <w:rFonts w:ascii="Times New Roman" w:hAnsi="Times New Roman" w:cs="Times New Roman"/>
          <w:sz w:val="28"/>
          <w:szCs w:val="28"/>
        </w:rPr>
        <w:t>ación y votación cuatro proposiciones, que habían sido presentadas previamente y nunca fueron retiradas por sus autores. Esta circunstancia constituye una violación del artículo 157, numeral 2, de la Constitución, en concordancia con los artículos 111 a 11</w:t>
      </w:r>
      <w:r w:rsidRPr="00EE2FA1">
        <w:rPr>
          <w:rFonts w:ascii="Times New Roman" w:hAnsi="Times New Roman" w:cs="Times New Roman"/>
          <w:sz w:val="28"/>
          <w:szCs w:val="28"/>
        </w:rPr>
        <w:t>5 de la Ley 5ª de 1992 que permiten a todo congresista presentar una proposición y sustentarla, y ordenan a la presidencia cerrar la discusión y preguntar a la comisión si aprueba o no la proposición.”</w:t>
      </w:r>
    </w:p>
    <w:p w:rsidR="000765AA" w:rsidRPr="00EE2FA1" w:rsidRDefault="00EE2FA1" w:rsidP="000765AA">
      <w:pPr>
        <w:pStyle w:val="Prrafodelista"/>
        <w:spacing w:line="0" w:lineRule="atLeast"/>
        <w:ind w:left="0"/>
        <w:jc w:val="both"/>
        <w:rPr>
          <w:rFonts w:ascii="Times New Roman" w:eastAsia="Calibri" w:hAnsi="Times New Roman" w:cs="Times New Roman"/>
          <w:b/>
          <w:bCs/>
          <w:sz w:val="28"/>
          <w:szCs w:val="28"/>
          <w:lang w:eastAsia="es-ES"/>
        </w:rPr>
      </w:pPr>
    </w:p>
    <w:p w:rsidR="00007647" w:rsidRPr="00EE2FA1" w:rsidRDefault="00EE2FA1" w:rsidP="00B51993">
      <w:pPr>
        <w:pStyle w:val="Prrafodelista"/>
        <w:numPr>
          <w:ilvl w:val="0"/>
          <w:numId w:val="1"/>
        </w:numPr>
        <w:spacing w:line="0" w:lineRule="atLeast"/>
        <w:ind w:left="0" w:firstLine="0"/>
        <w:jc w:val="both"/>
        <w:rPr>
          <w:rFonts w:ascii="Times New Roman" w:eastAsia="Calibri" w:hAnsi="Times New Roman" w:cs="Times New Roman"/>
          <w:b/>
          <w:bCs/>
          <w:i/>
          <w:iCs/>
          <w:sz w:val="28"/>
          <w:szCs w:val="28"/>
          <w:lang w:eastAsia="es-ES"/>
        </w:rPr>
      </w:pPr>
      <w:r w:rsidRPr="00EE2FA1">
        <w:rPr>
          <w:rFonts w:ascii="Times New Roman" w:hAnsi="Times New Roman" w:cs="Times New Roman"/>
          <w:sz w:val="28"/>
          <w:szCs w:val="28"/>
        </w:rPr>
        <w:t>En lo que respecta a la falta de retiro de las propos</w:t>
      </w:r>
      <w:r w:rsidRPr="00EE2FA1">
        <w:rPr>
          <w:rFonts w:ascii="Times New Roman" w:hAnsi="Times New Roman" w:cs="Times New Roman"/>
          <w:sz w:val="28"/>
          <w:szCs w:val="28"/>
        </w:rPr>
        <w:t xml:space="preserve">iciones, </w:t>
      </w:r>
      <w:r w:rsidRPr="00EE2FA1">
        <w:rPr>
          <w:rFonts w:ascii="Times New Roman" w:hAnsi="Times New Roman" w:cs="Times New Roman"/>
          <w:sz w:val="28"/>
          <w:szCs w:val="28"/>
        </w:rPr>
        <w:t xml:space="preserve">señaló </w:t>
      </w:r>
      <w:r w:rsidRPr="00EE2FA1">
        <w:rPr>
          <w:rFonts w:ascii="Times New Roman" w:hAnsi="Times New Roman" w:cs="Times New Roman"/>
          <w:sz w:val="28"/>
          <w:szCs w:val="28"/>
        </w:rPr>
        <w:t xml:space="preserve">que el cargo se refiere a que aquellas no fueron deliberadas y votadas. </w:t>
      </w:r>
      <w:r w:rsidRPr="00EE2FA1">
        <w:rPr>
          <w:rFonts w:ascii="Times New Roman" w:hAnsi="Times New Roman" w:cs="Times New Roman"/>
          <w:sz w:val="28"/>
          <w:szCs w:val="28"/>
        </w:rPr>
        <w:t xml:space="preserve">En cuanto </w:t>
      </w:r>
      <w:r w:rsidRPr="00EE2FA1">
        <w:rPr>
          <w:rFonts w:ascii="Times New Roman" w:hAnsi="Times New Roman" w:cs="Times New Roman"/>
          <w:sz w:val="28"/>
          <w:szCs w:val="28"/>
        </w:rPr>
        <w:t>que la votación por parte de la comisión conjunta para que las proposiciones fueran consideradas como constancias “</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precisa que las cuatro proposiciones de l</w:t>
      </w:r>
      <w:r w:rsidRPr="00EE2FA1">
        <w:rPr>
          <w:rFonts w:ascii="Times New Roman" w:hAnsi="Times New Roman" w:cs="Times New Roman"/>
          <w:sz w:val="28"/>
          <w:szCs w:val="28"/>
        </w:rPr>
        <w:t xml:space="preserve">as que trata este cargo no fueron dejadas como constancia”. </w:t>
      </w:r>
    </w:p>
    <w:p w:rsidR="005A5022" w:rsidRPr="00EE2FA1" w:rsidRDefault="00EE2FA1" w:rsidP="00C833B9">
      <w:pPr>
        <w:spacing w:line="0" w:lineRule="atLeast"/>
        <w:ind w:left="3969" w:right="49"/>
        <w:jc w:val="both"/>
        <w:rPr>
          <w:rFonts w:ascii="Times New Roman" w:hAnsi="Times New Roman" w:cs="Times New Roman"/>
          <w:sz w:val="28"/>
          <w:szCs w:val="28"/>
        </w:rPr>
      </w:pPr>
      <w:r w:rsidRPr="00EE2FA1">
        <w:rPr>
          <w:rFonts w:ascii="Times New Roman" w:hAnsi="Times New Roman" w:cs="Times New Roman"/>
          <w:sz w:val="28"/>
          <w:szCs w:val="28"/>
          <w:lang w:val="es-ES_tradnl"/>
        </w:rPr>
        <w:t> </w:t>
      </w:r>
    </w:p>
    <w:p w:rsidR="00ED1478" w:rsidRPr="00EE2FA1" w:rsidRDefault="00EE2FA1" w:rsidP="00ED1478">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Cuestión previa</w:t>
      </w:r>
      <w:r w:rsidRPr="00EE2FA1">
        <w:rPr>
          <w:rFonts w:ascii="Times New Roman" w:eastAsia="Calibri" w:hAnsi="Times New Roman" w:cs="Times New Roman"/>
          <w:i/>
          <w:iCs/>
          <w:sz w:val="28"/>
          <w:szCs w:val="28"/>
          <w:lang w:eastAsia="es-ES"/>
        </w:rPr>
        <w:t xml:space="preserve"> frente al análisis del cargo</w:t>
      </w:r>
      <w:r w:rsidRPr="00EE2FA1">
        <w:rPr>
          <w:rFonts w:ascii="Times New Roman" w:eastAsia="Calibri" w:hAnsi="Times New Roman" w:cs="Times New Roman"/>
          <w:sz w:val="28"/>
          <w:szCs w:val="28"/>
          <w:lang w:eastAsia="es-ES"/>
        </w:rPr>
        <w:t>. La Corte</w:t>
      </w:r>
      <w:r w:rsidRPr="00EE2FA1">
        <w:rPr>
          <w:rFonts w:ascii="Times New Roman" w:eastAsia="Calibri" w:hAnsi="Times New Roman" w:cs="Times New Roman"/>
          <w:sz w:val="28"/>
          <w:szCs w:val="28"/>
          <w:lang w:eastAsia="es-ES"/>
        </w:rPr>
        <w:t xml:space="preserve"> Constitucional</w:t>
      </w:r>
      <w:r w:rsidRPr="00EE2FA1">
        <w:rPr>
          <w:rFonts w:ascii="Times New Roman" w:eastAsia="Calibri" w:hAnsi="Times New Roman" w:cs="Times New Roman"/>
          <w:sz w:val="28"/>
          <w:szCs w:val="28"/>
          <w:lang w:eastAsia="es-ES"/>
        </w:rPr>
        <w:t xml:space="preserve"> reitera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que mediante Sentencia C-489 de 2023 se declaró inexequible </w:t>
      </w:r>
      <w:r w:rsidRPr="00EE2FA1">
        <w:rPr>
          <w:rFonts w:ascii="Times New Roman" w:hAnsi="Times New Roman" w:cs="Times New Roman"/>
          <w:sz w:val="28"/>
          <w:szCs w:val="28"/>
          <w:shd w:val="clear" w:color="auto" w:fill="FFFFFF"/>
        </w:rPr>
        <w:t>el parágrafo 1</w:t>
      </w:r>
      <w:r w:rsidRPr="00EE2FA1">
        <w:rPr>
          <w:rFonts w:ascii="Times New Roman" w:hAnsi="Times New Roman" w:cs="Times New Roman"/>
          <w:sz w:val="28"/>
          <w:szCs w:val="28"/>
          <w:shd w:val="clear" w:color="auto" w:fill="FFFFFF"/>
        </w:rPr>
        <w:t>º</w:t>
      </w:r>
      <w:r w:rsidRPr="00EE2FA1">
        <w:rPr>
          <w:rFonts w:ascii="Times New Roman" w:hAnsi="Times New Roman" w:cs="Times New Roman"/>
          <w:sz w:val="28"/>
          <w:szCs w:val="28"/>
          <w:shd w:val="clear" w:color="auto" w:fill="FFFFFF"/>
        </w:rPr>
        <w:t xml:space="preserve"> del artículo 19 de la Ley 2277 de 2022,</w:t>
      </w:r>
      <w:r w:rsidRPr="00EE2FA1">
        <w:rPr>
          <w:rStyle w:val="apple-converted-space"/>
          <w:rFonts w:ascii="Times New Roman" w:hAnsi="Times New Roman" w:cs="Times New Roman"/>
          <w:sz w:val="28"/>
          <w:szCs w:val="28"/>
          <w:shd w:val="clear" w:color="auto" w:fill="FFFFFF"/>
        </w:rPr>
        <w:t> </w:t>
      </w:r>
      <w:r w:rsidRPr="00EE2FA1">
        <w:rPr>
          <w:rFonts w:ascii="Times New Roman" w:hAnsi="Times New Roman" w:cs="Times New Roman"/>
          <w:sz w:val="28"/>
          <w:szCs w:val="28"/>
        </w:rPr>
        <w:t>“Por medio de la cual se adopta una reforma tributaria para la igualdad y la justicia social y se dictan otras disposiciones”,</w:t>
      </w:r>
      <w:r w:rsidRPr="00EE2FA1">
        <w:rPr>
          <w:rStyle w:val="apple-converted-space"/>
          <w:rFonts w:ascii="Times New Roman" w:hAnsi="Times New Roman" w:cs="Times New Roman"/>
          <w:sz w:val="28"/>
          <w:szCs w:val="28"/>
          <w:shd w:val="clear" w:color="auto" w:fill="FFFFFF"/>
        </w:rPr>
        <w:t> </w:t>
      </w:r>
      <w:r w:rsidRPr="00EE2FA1">
        <w:rPr>
          <w:rFonts w:ascii="Times New Roman" w:hAnsi="Times New Roman" w:cs="Times New Roman"/>
          <w:sz w:val="28"/>
          <w:szCs w:val="28"/>
          <w:shd w:val="clear" w:color="auto" w:fill="FFFFFF"/>
        </w:rPr>
        <w:t>que modificó el artículo 115 del Estatuto Tributario.</w:t>
      </w:r>
      <w:r w:rsidRPr="00EE2FA1">
        <w:rPr>
          <w:rFonts w:ascii="Times New Roman" w:eastAsia="Calibri" w:hAnsi="Times New Roman" w:cs="Times New Roman"/>
          <w:sz w:val="28"/>
          <w:szCs w:val="28"/>
          <w:lang w:eastAsia="es-ES"/>
        </w:rPr>
        <w:t xml:space="preserve"> Por tal razón, el presente </w:t>
      </w:r>
      <w:r w:rsidRPr="00EE2FA1">
        <w:rPr>
          <w:rFonts w:ascii="Times New Roman" w:eastAsia="Calibri" w:hAnsi="Times New Roman" w:cs="Times New Roman"/>
          <w:sz w:val="28"/>
          <w:szCs w:val="28"/>
          <w:lang w:eastAsia="es-ES"/>
        </w:rPr>
        <w:t>análisi</w:t>
      </w:r>
      <w:r w:rsidRPr="00EE2FA1">
        <w:rPr>
          <w:rFonts w:ascii="Times New Roman" w:eastAsia="Calibri" w:hAnsi="Times New Roman" w:cs="Times New Roman"/>
          <w:sz w:val="28"/>
          <w:szCs w:val="28"/>
          <w:lang w:eastAsia="es-ES"/>
        </w:rPr>
        <w:t xml:space="preserve">s no </w:t>
      </w:r>
      <w:r w:rsidRPr="00EE2FA1">
        <w:rPr>
          <w:rFonts w:ascii="Times New Roman" w:eastAsia="Calibri" w:hAnsi="Times New Roman" w:cs="Times New Roman"/>
          <w:sz w:val="28"/>
          <w:szCs w:val="28"/>
          <w:lang w:eastAsia="es-ES"/>
        </w:rPr>
        <w:t xml:space="preserve">recaerá </w:t>
      </w:r>
      <w:r w:rsidRPr="00EE2FA1">
        <w:rPr>
          <w:rFonts w:ascii="Times New Roman" w:eastAsia="Calibri" w:hAnsi="Times New Roman" w:cs="Times New Roman"/>
          <w:sz w:val="28"/>
          <w:szCs w:val="28"/>
          <w:lang w:eastAsia="es-ES"/>
        </w:rPr>
        <w:t xml:space="preserve">sobre las proposiciones que versaban sobre el parágrafo 1º del artículo 12 del proyecto de ley, que luego se convertiría en el parágrafo 1º del artículo 19 de la Ley 2277 de 2022. </w:t>
      </w:r>
    </w:p>
    <w:p w:rsidR="004709F3" w:rsidRPr="00EE2FA1" w:rsidRDefault="00EE2FA1" w:rsidP="004709F3">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AC649D" w:rsidRPr="00EE2FA1" w:rsidRDefault="00EE2FA1" w:rsidP="004709F3">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hAnsi="Times New Roman" w:cs="Times New Roman"/>
          <w:sz w:val="28"/>
          <w:szCs w:val="28"/>
        </w:rPr>
        <w:t xml:space="preserve">El cargo formulado por la actora consiste en </w:t>
      </w:r>
      <w:r w:rsidRPr="00EE2FA1">
        <w:rPr>
          <w:rFonts w:ascii="Times New Roman" w:eastAsia="Calibri" w:hAnsi="Times New Roman" w:cs="Times New Roman"/>
          <w:bCs/>
          <w:sz w:val="28"/>
          <w:szCs w:val="28"/>
          <w:lang w:eastAsia="es-ES"/>
        </w:rPr>
        <w:t xml:space="preserve">que los artículos 10 y 19 censurados fueron aprobados sin que se debatieran y votaran las cuatro proposiciones modificativas presentadas por los </w:t>
      </w:r>
      <w:r w:rsidRPr="00EE2FA1">
        <w:rPr>
          <w:rFonts w:ascii="Times New Roman" w:eastAsia="Calibri" w:hAnsi="Times New Roman" w:cs="Times New Roman"/>
          <w:bCs/>
          <w:sz w:val="28"/>
          <w:szCs w:val="28"/>
          <w:lang w:val="es-ES_tradnl" w:eastAsia="es-ES"/>
        </w:rPr>
        <w:t>congresistas de partidos minoritarios, pese a que, a juicio de la demandante, no fueron retiradas ni dejadas co</w:t>
      </w:r>
      <w:r w:rsidRPr="00EE2FA1">
        <w:rPr>
          <w:rFonts w:ascii="Times New Roman" w:eastAsia="Calibri" w:hAnsi="Times New Roman" w:cs="Times New Roman"/>
          <w:bCs/>
          <w:sz w:val="28"/>
          <w:szCs w:val="28"/>
          <w:lang w:val="es-ES_tradnl" w:eastAsia="es-ES"/>
        </w:rPr>
        <w:t xml:space="preserve">mo constancia por sus autores. </w:t>
      </w:r>
      <w:r w:rsidRPr="00EE2FA1">
        <w:rPr>
          <w:rFonts w:ascii="Times New Roman" w:hAnsi="Times New Roman" w:cs="Times New Roman"/>
          <w:sz w:val="28"/>
          <w:szCs w:val="28"/>
        </w:rPr>
        <w:t>Las cuatro proposiciones en cuestión son</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(i)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del representante Elkin Rodolfo Ospina Ospina para eliminar el artículo 12 del proyecto de ley</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(ii)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de los representantes Oscar Darío Pérez Pineda y Olmes de Jesús Echeverr</w:t>
      </w:r>
      <w:r w:rsidRPr="00EE2FA1">
        <w:rPr>
          <w:rFonts w:ascii="Times New Roman" w:hAnsi="Times New Roman" w:cs="Times New Roman"/>
          <w:sz w:val="28"/>
          <w:szCs w:val="28"/>
        </w:rPr>
        <w:t>ía de la Rosa y de los senadores Ciro Alejandro Ramírez Cortés y Christian M. Garcés Aljure para adicionar un parágrafo al artículo 9 del proyecto de ley</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(iii)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de Jorge Rodrigo Tovar, Mauricio Parodi, Saray Robayo, José Gnecco, Hernando González, Nicol</w:t>
      </w:r>
      <w:r w:rsidRPr="00EE2FA1">
        <w:rPr>
          <w:rFonts w:ascii="Times New Roman" w:hAnsi="Times New Roman" w:cs="Times New Roman"/>
          <w:sz w:val="28"/>
          <w:szCs w:val="28"/>
        </w:rPr>
        <w:t xml:space="preserve">ás Echeverry y otras firmas no identificadas para eliminar el parágrafo 1° del artículo 12 del proyecto de ley; y (iv) </w:t>
      </w:r>
      <w:r w:rsidRPr="00EE2FA1">
        <w:rPr>
          <w:rFonts w:ascii="Times New Roman" w:hAnsi="Times New Roman" w:cs="Times New Roman"/>
          <w:sz w:val="28"/>
          <w:szCs w:val="28"/>
        </w:rPr>
        <w:t xml:space="preserve">la de </w:t>
      </w:r>
      <w:r w:rsidRPr="00EE2FA1">
        <w:rPr>
          <w:rFonts w:ascii="Times New Roman" w:hAnsi="Times New Roman" w:cs="Times New Roman"/>
          <w:sz w:val="28"/>
          <w:szCs w:val="28"/>
        </w:rPr>
        <w:t>los senadores Ciro Alejandro Ramírez Cortés, Christian M. Garcés Aljure y Miguel Uribe Turbay para eliminar el parágrafo 1° del art</w:t>
      </w:r>
      <w:r w:rsidRPr="00EE2FA1">
        <w:rPr>
          <w:rFonts w:ascii="Times New Roman" w:hAnsi="Times New Roman" w:cs="Times New Roman"/>
          <w:sz w:val="28"/>
          <w:szCs w:val="28"/>
        </w:rPr>
        <w:t>ículo 12 del proyecto de ley.</w:t>
      </w:r>
    </w:p>
    <w:p w:rsidR="004709F3" w:rsidRPr="00EE2FA1" w:rsidRDefault="00EE2FA1" w:rsidP="001850B8">
      <w:pPr>
        <w:pStyle w:val="Prrafodelista"/>
        <w:tabs>
          <w:tab w:val="left" w:pos="426"/>
        </w:tabs>
        <w:spacing w:line="0" w:lineRule="atLeast"/>
        <w:ind w:left="0"/>
        <w:jc w:val="both"/>
        <w:rPr>
          <w:rFonts w:ascii="Times New Roman" w:eastAsia="Calibri" w:hAnsi="Times New Roman" w:cs="Times New Roman"/>
          <w:sz w:val="28"/>
          <w:szCs w:val="28"/>
          <w:lang w:val="es-ES_tradnl" w:eastAsia="es-ES"/>
        </w:rPr>
      </w:pPr>
      <w:r w:rsidRPr="00EE2FA1">
        <w:rPr>
          <w:rFonts w:ascii="Times New Roman" w:hAnsi="Times New Roman" w:cs="Times New Roman"/>
          <w:sz w:val="28"/>
          <w:szCs w:val="28"/>
        </w:rPr>
        <w:t xml:space="preserve"> </w:t>
      </w:r>
    </w:p>
    <w:p w:rsidR="004709F3" w:rsidRPr="00EE2FA1" w:rsidRDefault="00EE2FA1" w:rsidP="004709F3">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hAnsi="Times New Roman" w:cs="Times New Roman"/>
          <w:sz w:val="28"/>
          <w:szCs w:val="28"/>
        </w:rPr>
        <w:t>Por lo dicho previamente</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quedan </w:t>
      </w:r>
      <w:r w:rsidRPr="00EE2FA1">
        <w:rPr>
          <w:rFonts w:ascii="Times New Roman" w:hAnsi="Times New Roman" w:cs="Times New Roman"/>
          <w:sz w:val="28"/>
          <w:szCs w:val="28"/>
        </w:rPr>
        <w:t>excluidas del presente análisis</w:t>
      </w:r>
      <w:r w:rsidRPr="00EE2FA1">
        <w:rPr>
          <w:rFonts w:ascii="Times New Roman" w:hAnsi="Times New Roman" w:cs="Times New Roman"/>
          <w:sz w:val="28"/>
          <w:szCs w:val="28"/>
        </w:rPr>
        <w:t>, por efectos de la cosa juzgada derivada de la Sentencia C-489 de 2023,</w:t>
      </w:r>
      <w:r w:rsidRPr="00EE2FA1">
        <w:rPr>
          <w:rFonts w:ascii="Times New Roman" w:hAnsi="Times New Roman" w:cs="Times New Roman"/>
          <w:sz w:val="28"/>
          <w:szCs w:val="28"/>
        </w:rPr>
        <w:t xml:space="preserve"> la proposiciones de: i)</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Jorge Rodrigo Tovar, Mauricio Parodi, Saray Robayo, José Gnecco</w:t>
      </w:r>
      <w:r w:rsidRPr="00EE2FA1">
        <w:rPr>
          <w:rFonts w:ascii="Times New Roman" w:hAnsi="Times New Roman" w:cs="Times New Roman"/>
          <w:sz w:val="28"/>
          <w:szCs w:val="28"/>
        </w:rPr>
        <w:t xml:space="preserve">, Hernando González, Nicolás Echeverry y otras firmas no identificadas para eliminar el parágrafo 1° del artículo 12 del proyecto de ley y ii) </w:t>
      </w:r>
      <w:r w:rsidRPr="00EE2FA1">
        <w:rPr>
          <w:rFonts w:ascii="Times New Roman" w:hAnsi="Times New Roman" w:cs="Times New Roman"/>
          <w:sz w:val="28"/>
          <w:szCs w:val="28"/>
        </w:rPr>
        <w:t xml:space="preserve">de </w:t>
      </w:r>
      <w:r w:rsidRPr="00EE2FA1">
        <w:rPr>
          <w:rFonts w:ascii="Times New Roman" w:hAnsi="Times New Roman" w:cs="Times New Roman"/>
          <w:sz w:val="28"/>
          <w:szCs w:val="28"/>
        </w:rPr>
        <w:t>los senadores Ciro Alejandro Ramírez Cortés, Christian M. Garcés Aljure y Miguel Uribe Turbay para eliminar el</w:t>
      </w:r>
      <w:r w:rsidRPr="00EE2FA1">
        <w:rPr>
          <w:rFonts w:ascii="Times New Roman" w:hAnsi="Times New Roman" w:cs="Times New Roman"/>
          <w:sz w:val="28"/>
          <w:szCs w:val="28"/>
        </w:rPr>
        <w:t xml:space="preserve"> parágrafo 1° del artículo 12 del proyecto de ley. </w:t>
      </w:r>
    </w:p>
    <w:p w:rsidR="004709F3" w:rsidRPr="00EE2FA1" w:rsidRDefault="00EE2FA1" w:rsidP="00ED1478">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B51993" w:rsidRPr="00EE2FA1" w:rsidRDefault="00EE2FA1" w:rsidP="000B0753">
      <w:pPr>
        <w:pStyle w:val="Prrafodelista"/>
        <w:numPr>
          <w:ilvl w:val="0"/>
          <w:numId w:val="1"/>
        </w:numPr>
        <w:tabs>
          <w:tab w:val="left" w:pos="426"/>
        </w:tabs>
        <w:spacing w:line="0" w:lineRule="atLeast"/>
        <w:ind w:left="0" w:firstLine="0"/>
        <w:jc w:val="both"/>
        <w:rPr>
          <w:rFonts w:ascii="Times New Roman" w:eastAsia="Calibri" w:hAnsi="Times New Roman" w:cs="Times New Roman"/>
          <w:i/>
          <w:iCs/>
          <w:sz w:val="28"/>
          <w:szCs w:val="28"/>
          <w:lang w:val="es-ES_tradnl" w:eastAsia="es-ES"/>
        </w:rPr>
      </w:pPr>
      <w:r w:rsidRPr="00EE2FA1">
        <w:rPr>
          <w:rFonts w:ascii="Times New Roman" w:eastAsia="Calibri" w:hAnsi="Times New Roman" w:cs="Times New Roman"/>
          <w:i/>
          <w:iCs/>
          <w:sz w:val="28"/>
          <w:szCs w:val="28"/>
          <w:lang w:eastAsia="es-ES"/>
        </w:rPr>
        <w:t>Análisis de aptitud del cargo</w:t>
      </w:r>
      <w:r w:rsidRPr="00EE2FA1">
        <w:rPr>
          <w:rFonts w:ascii="Times New Roman" w:eastAsia="Calibri" w:hAnsi="Times New Roman" w:cs="Times New Roman"/>
          <w:sz w:val="28"/>
          <w:szCs w:val="28"/>
          <w:lang w:eastAsia="es-ES"/>
        </w:rPr>
        <w:t>. E</w:t>
      </w:r>
      <w:r w:rsidRPr="00EE2FA1">
        <w:rPr>
          <w:rFonts w:ascii="Times New Roman" w:hAnsi="Times New Roman" w:cs="Times New Roman"/>
          <w:sz w:val="28"/>
          <w:szCs w:val="28"/>
          <w:lang w:val="es-ES_tradnl"/>
        </w:rPr>
        <w:t xml:space="preserve">l Ministerio de Hacienda y Crédito Público indicó que </w:t>
      </w:r>
      <w:r w:rsidRPr="00EE2FA1">
        <w:rPr>
          <w:rFonts w:ascii="Times New Roman" w:hAnsi="Times New Roman" w:cs="Times New Roman"/>
          <w:iCs/>
          <w:sz w:val="28"/>
          <w:szCs w:val="28"/>
          <w:lang w:val="es-ES_tradnl"/>
        </w:rPr>
        <w:t>“</w:t>
      </w:r>
      <w:r w:rsidRPr="00EE2FA1">
        <w:rPr>
          <w:rFonts w:ascii="Times New Roman" w:hAnsi="Times New Roman" w:cs="Times New Roman"/>
          <w:iCs/>
          <w:sz w:val="28"/>
          <w:szCs w:val="28"/>
        </w:rPr>
        <w:t>este cargo no cumple los requisitos de claridad, certeza, especificidad, pertinencia y suficiencia”</w:t>
      </w:r>
      <w:r w:rsidRPr="00EE2FA1">
        <w:rPr>
          <w:rFonts w:ascii="Times New Roman" w:hAnsi="Times New Roman" w:cs="Times New Roman"/>
          <w:iCs/>
          <w:sz w:val="28"/>
          <w:szCs w:val="28"/>
          <w:vertAlign w:val="superscript"/>
          <w:lang w:val="es-ES_tradnl"/>
        </w:rPr>
        <w:footnoteReference w:id="131"/>
      </w:r>
      <w:r w:rsidRPr="00EE2FA1">
        <w:rPr>
          <w:rFonts w:ascii="Times New Roman" w:hAnsi="Times New Roman" w:cs="Times New Roman"/>
          <w:sz w:val="28"/>
          <w:szCs w:val="28"/>
        </w:rPr>
        <w:t>. Para sustentar</w:t>
      </w:r>
      <w:r w:rsidRPr="00EE2FA1">
        <w:rPr>
          <w:rFonts w:ascii="Times New Roman" w:hAnsi="Times New Roman" w:cs="Times New Roman"/>
          <w:sz w:val="28"/>
          <w:szCs w:val="28"/>
        </w:rPr>
        <w:t xml:space="preserve"> esta tesis, presentó dos argumentos</w:t>
      </w:r>
      <w:r w:rsidRPr="00EE2FA1">
        <w:rPr>
          <w:rFonts w:ascii="Times New Roman" w:hAnsi="Times New Roman" w:cs="Times New Roman"/>
          <w:sz w:val="28"/>
          <w:szCs w:val="28"/>
        </w:rPr>
        <w:t>: p</w:t>
      </w:r>
      <w:r w:rsidRPr="00EE2FA1">
        <w:rPr>
          <w:rFonts w:ascii="Times New Roman" w:hAnsi="Times New Roman" w:cs="Times New Roman"/>
          <w:sz w:val="28"/>
          <w:szCs w:val="28"/>
        </w:rPr>
        <w:t>rimero, sostuvo que el concepto de violación no es específico y parece derivarse de interpretaciones subjetivas de la accionante, así como de un posible desacuerdo con dejar las proposiciones como constancia para segu</w:t>
      </w:r>
      <w:r w:rsidRPr="00EE2FA1">
        <w:rPr>
          <w:rFonts w:ascii="Times New Roman" w:hAnsi="Times New Roman" w:cs="Times New Roman"/>
          <w:sz w:val="28"/>
          <w:szCs w:val="28"/>
        </w:rPr>
        <w:t xml:space="preserve">ndo debate. En segundo lugar, adujo que no son ciertas las afirmaciones expuestas por la accionante sobre la manera en la que se desarrolló el trámite legislativo, en tanto las proposiciones </w:t>
      </w:r>
      <w:r w:rsidRPr="00EE2FA1">
        <w:rPr>
          <w:rFonts w:ascii="Times New Roman" w:hAnsi="Times New Roman" w:cs="Times New Roman"/>
          <w:sz w:val="28"/>
          <w:szCs w:val="28"/>
        </w:rPr>
        <w:t xml:space="preserve">relacionadas con </w:t>
      </w:r>
      <w:r w:rsidRPr="00EE2FA1">
        <w:rPr>
          <w:rFonts w:ascii="Times New Roman" w:hAnsi="Times New Roman" w:cs="Times New Roman"/>
          <w:sz w:val="28"/>
          <w:szCs w:val="28"/>
        </w:rPr>
        <w:t>los artículos 9 y 12, pues se puede observar que</w:t>
      </w:r>
      <w:r w:rsidRPr="00EE2FA1">
        <w:rPr>
          <w:rFonts w:ascii="Times New Roman" w:hAnsi="Times New Roman" w:cs="Times New Roman"/>
          <w:sz w:val="28"/>
          <w:szCs w:val="28"/>
        </w:rPr>
        <w:t xml:space="preserve"> estas proposiciones no fueron exclu</w:t>
      </w:r>
      <w:r w:rsidRPr="00EE2FA1">
        <w:rPr>
          <w:rFonts w:ascii="Times New Roman" w:hAnsi="Times New Roman" w:cs="Times New Roman"/>
          <w:sz w:val="28"/>
          <w:szCs w:val="28"/>
        </w:rPr>
        <w:t>i</w:t>
      </w:r>
      <w:r w:rsidRPr="00EE2FA1">
        <w:rPr>
          <w:rFonts w:ascii="Times New Roman" w:hAnsi="Times New Roman" w:cs="Times New Roman"/>
          <w:sz w:val="28"/>
          <w:szCs w:val="28"/>
        </w:rPr>
        <w:t xml:space="preserve">das, sino que, por el contrario, sí se tramitaron dentro del segundo debate (sesión del 2 de noviembre de 2022, Gaceta 137 del 9 de marzo de 2023). </w:t>
      </w:r>
    </w:p>
    <w:p w:rsidR="000A612F" w:rsidRPr="00EE2FA1" w:rsidRDefault="00EE2FA1" w:rsidP="000A612F">
      <w:pPr>
        <w:pStyle w:val="Prrafodelista"/>
        <w:rPr>
          <w:rFonts w:ascii="Times New Roman" w:eastAsia="Calibri" w:hAnsi="Times New Roman" w:cs="Times New Roman"/>
          <w:i/>
          <w:iCs/>
          <w:sz w:val="28"/>
          <w:szCs w:val="28"/>
          <w:lang w:val="es-ES_tradnl" w:eastAsia="es-ES"/>
        </w:rPr>
      </w:pPr>
    </w:p>
    <w:p w:rsidR="000A612F" w:rsidRPr="00EE2FA1" w:rsidRDefault="00EE2FA1" w:rsidP="000B0753">
      <w:pPr>
        <w:pStyle w:val="Prrafodelista"/>
        <w:numPr>
          <w:ilvl w:val="0"/>
          <w:numId w:val="1"/>
        </w:numPr>
        <w:tabs>
          <w:tab w:val="left" w:pos="426"/>
        </w:tabs>
        <w:spacing w:line="0" w:lineRule="atLeast"/>
        <w:ind w:left="0" w:firstLine="0"/>
        <w:jc w:val="both"/>
        <w:rPr>
          <w:rFonts w:ascii="Times New Roman" w:eastAsia="Calibri" w:hAnsi="Times New Roman" w:cs="Times New Roman"/>
          <w:i/>
          <w:iCs/>
          <w:sz w:val="28"/>
          <w:szCs w:val="28"/>
          <w:lang w:val="es-ES_tradnl" w:eastAsia="es-ES"/>
        </w:rPr>
      </w:pPr>
      <w:r w:rsidRPr="00EE2FA1">
        <w:rPr>
          <w:rFonts w:ascii="Times New Roman" w:eastAsia="Calibri" w:hAnsi="Times New Roman" w:cs="Times New Roman"/>
          <w:i/>
          <w:iCs/>
          <w:sz w:val="28"/>
          <w:szCs w:val="28"/>
          <w:lang w:val="es-ES_tradnl" w:eastAsia="es-ES"/>
        </w:rPr>
        <w:t>E</w:t>
      </w:r>
      <w:r w:rsidRPr="00EE2FA1">
        <w:rPr>
          <w:rFonts w:ascii="Times New Roman" w:eastAsia="Calibri" w:hAnsi="Times New Roman" w:cs="Times New Roman"/>
          <w:i/>
          <w:iCs/>
          <w:sz w:val="28"/>
          <w:szCs w:val="28"/>
          <w:lang w:val="es-ES_tradnl" w:eastAsia="es-ES"/>
        </w:rPr>
        <w:t>l cargo es apto</w:t>
      </w:r>
      <w:r w:rsidRPr="00EE2FA1">
        <w:rPr>
          <w:rFonts w:ascii="Times New Roman" w:eastAsia="Calibri" w:hAnsi="Times New Roman" w:cs="Times New Roman"/>
          <w:sz w:val="28"/>
          <w:szCs w:val="28"/>
          <w:lang w:val="es-ES_tradnl" w:eastAsia="es-ES"/>
        </w:rPr>
        <w:t xml:space="preserve">. La Sala considera que la censura cumple con </w:t>
      </w:r>
      <w:r w:rsidRPr="00EE2FA1">
        <w:rPr>
          <w:rFonts w:ascii="Times New Roman" w:eastAsia="Calibri" w:hAnsi="Times New Roman" w:cs="Times New Roman"/>
          <w:sz w:val="28"/>
          <w:szCs w:val="28"/>
          <w:lang w:val="es-ES_tradnl" w:eastAsia="es-ES"/>
        </w:rPr>
        <w:t xml:space="preserve">el </w:t>
      </w:r>
      <w:r w:rsidRPr="00EE2FA1">
        <w:rPr>
          <w:rFonts w:ascii="Times New Roman" w:eastAsia="Calibri" w:hAnsi="Times New Roman" w:cs="Times New Roman"/>
          <w:sz w:val="28"/>
          <w:szCs w:val="28"/>
          <w:lang w:val="es-ES_tradnl" w:eastAsia="es-ES"/>
        </w:rPr>
        <w:t>presupuesto</w:t>
      </w:r>
      <w:r w:rsidRPr="00EE2FA1">
        <w:rPr>
          <w:rFonts w:ascii="Times New Roman" w:eastAsia="Calibri" w:hAnsi="Times New Roman" w:cs="Times New Roman"/>
          <w:sz w:val="28"/>
          <w:szCs w:val="28"/>
          <w:lang w:val="es-ES_tradnl" w:eastAsia="es-ES"/>
        </w:rPr>
        <w:t xml:space="preserve"> de claridad, porque presenta una argumentación lógica que permite comprender el </w:t>
      </w:r>
      <w:r w:rsidRPr="00EE2FA1">
        <w:rPr>
          <w:rFonts w:ascii="Times New Roman" w:eastAsia="Calibri" w:hAnsi="Times New Roman" w:cs="Times New Roman"/>
          <w:sz w:val="28"/>
          <w:szCs w:val="28"/>
          <w:lang w:val="es-ES_tradnl" w:eastAsia="es-ES"/>
        </w:rPr>
        <w:t>alcance</w:t>
      </w:r>
      <w:r w:rsidRPr="00EE2FA1">
        <w:rPr>
          <w:rFonts w:ascii="Times New Roman" w:eastAsia="Calibri" w:hAnsi="Times New Roman" w:cs="Times New Roman"/>
          <w:sz w:val="28"/>
          <w:szCs w:val="28"/>
          <w:lang w:val="es-ES_tradnl" w:eastAsia="es-ES"/>
        </w:rPr>
        <w:t xml:space="preserve"> del reproche por desconocimi</w:t>
      </w:r>
      <w:r w:rsidRPr="00EE2FA1">
        <w:rPr>
          <w:rFonts w:ascii="Times New Roman" w:eastAsia="Calibri" w:hAnsi="Times New Roman" w:cs="Times New Roman"/>
          <w:sz w:val="28"/>
          <w:szCs w:val="28"/>
          <w:lang w:val="es-ES_tradnl" w:eastAsia="es-ES"/>
        </w:rPr>
        <w:t>e</w:t>
      </w:r>
      <w:r w:rsidRPr="00EE2FA1">
        <w:rPr>
          <w:rFonts w:ascii="Times New Roman" w:eastAsia="Calibri" w:hAnsi="Times New Roman" w:cs="Times New Roman"/>
          <w:sz w:val="28"/>
          <w:szCs w:val="28"/>
          <w:lang w:val="es-ES_tradnl" w:eastAsia="es-ES"/>
        </w:rPr>
        <w:t>nto del artículo 157 superior y los artículos 112, 115 , 160 y 162 de la Ley 5ª de 1992. Tambi</w:t>
      </w:r>
      <w:r w:rsidRPr="00EE2FA1">
        <w:rPr>
          <w:rFonts w:ascii="Times New Roman" w:eastAsia="Calibri" w:hAnsi="Times New Roman" w:cs="Times New Roman"/>
          <w:sz w:val="28"/>
          <w:szCs w:val="28"/>
          <w:lang w:val="es-ES_tradnl" w:eastAsia="es-ES"/>
        </w:rPr>
        <w:t>é</w:t>
      </w:r>
      <w:r w:rsidRPr="00EE2FA1">
        <w:rPr>
          <w:rFonts w:ascii="Times New Roman" w:eastAsia="Calibri" w:hAnsi="Times New Roman" w:cs="Times New Roman"/>
          <w:sz w:val="28"/>
          <w:szCs w:val="28"/>
          <w:lang w:val="es-ES_tradnl" w:eastAsia="es-ES"/>
        </w:rPr>
        <w:t>n, a diferencia de lo expuesto p</w:t>
      </w:r>
      <w:r w:rsidRPr="00EE2FA1">
        <w:rPr>
          <w:rFonts w:ascii="Times New Roman" w:eastAsia="Calibri" w:hAnsi="Times New Roman" w:cs="Times New Roman"/>
          <w:sz w:val="28"/>
          <w:szCs w:val="28"/>
          <w:lang w:val="es-ES_tradnl" w:eastAsia="es-ES"/>
        </w:rPr>
        <w:t xml:space="preserve">or el Ministerio de Hacienda y Crédito Público, es específico, porque edificó una oposición objetiva entre el supuesto trámite legislativo irregular impartido a los 2 artículos reprochados y la Constitución. </w:t>
      </w:r>
      <w:r w:rsidRPr="00EE2FA1">
        <w:rPr>
          <w:rFonts w:ascii="Times New Roman" w:eastAsia="Calibri" w:hAnsi="Times New Roman" w:cs="Times New Roman"/>
          <w:sz w:val="28"/>
          <w:szCs w:val="28"/>
          <w:lang w:val="es-ES_tradnl" w:eastAsia="es-ES"/>
        </w:rPr>
        <w:t xml:space="preserve">Aquellas </w:t>
      </w:r>
      <w:r w:rsidRPr="00EE2FA1">
        <w:rPr>
          <w:rFonts w:ascii="Times New Roman" w:eastAsia="Calibri" w:hAnsi="Times New Roman" w:cs="Times New Roman"/>
          <w:sz w:val="28"/>
          <w:szCs w:val="28"/>
          <w:lang w:val="es-ES_tradnl" w:eastAsia="es-ES"/>
        </w:rPr>
        <w:t>no fueron acusaciones genéricas</w:t>
      </w:r>
      <w:r w:rsidRPr="00EE2FA1">
        <w:rPr>
          <w:rFonts w:ascii="Times New Roman" w:eastAsia="Calibri" w:hAnsi="Times New Roman" w:cs="Times New Roman"/>
          <w:sz w:val="28"/>
          <w:szCs w:val="28"/>
          <w:lang w:val="es-ES_tradnl" w:eastAsia="es-ES"/>
        </w:rPr>
        <w:t>,</w:t>
      </w:r>
      <w:r w:rsidRPr="00EE2FA1">
        <w:rPr>
          <w:rFonts w:ascii="Times New Roman" w:eastAsia="Calibri" w:hAnsi="Times New Roman" w:cs="Times New Roman"/>
          <w:sz w:val="28"/>
          <w:szCs w:val="28"/>
          <w:lang w:val="es-ES_tradnl" w:eastAsia="es-ES"/>
        </w:rPr>
        <w:t xml:space="preserve"> </w:t>
      </w:r>
      <w:r w:rsidRPr="00EE2FA1">
        <w:rPr>
          <w:rFonts w:ascii="Times New Roman" w:eastAsia="Calibri" w:hAnsi="Times New Roman" w:cs="Times New Roman"/>
          <w:sz w:val="28"/>
          <w:szCs w:val="28"/>
          <w:lang w:val="es-ES_tradnl" w:eastAsia="es-ES"/>
        </w:rPr>
        <w:t>sino q</w:t>
      </w:r>
      <w:r w:rsidRPr="00EE2FA1">
        <w:rPr>
          <w:rFonts w:ascii="Times New Roman" w:eastAsia="Calibri" w:hAnsi="Times New Roman" w:cs="Times New Roman"/>
          <w:sz w:val="28"/>
          <w:szCs w:val="28"/>
          <w:lang w:val="es-ES_tradnl" w:eastAsia="es-ES"/>
        </w:rPr>
        <w:t xml:space="preserve">ue estuvieron centradas en demostrar el </w:t>
      </w:r>
      <w:r w:rsidRPr="00EE2FA1">
        <w:rPr>
          <w:rFonts w:ascii="Times New Roman" w:eastAsia="Calibri" w:hAnsi="Times New Roman" w:cs="Times New Roman"/>
          <w:sz w:val="28"/>
          <w:szCs w:val="28"/>
          <w:lang w:val="es-ES_tradnl" w:eastAsia="es-ES"/>
        </w:rPr>
        <w:t>desconocimiento</w:t>
      </w:r>
      <w:r w:rsidRPr="00EE2FA1">
        <w:rPr>
          <w:rFonts w:ascii="Times New Roman" w:eastAsia="Calibri" w:hAnsi="Times New Roman" w:cs="Times New Roman"/>
          <w:sz w:val="28"/>
          <w:szCs w:val="28"/>
          <w:lang w:val="es-ES_tradnl" w:eastAsia="es-ES"/>
        </w:rPr>
        <w:t xml:space="preserve"> de la Carta Política. Tal aspecto fue reforzado con la práctica de pruebas desplegada por el magistrado sustanciador, en </w:t>
      </w:r>
      <w:r w:rsidRPr="00EE2FA1">
        <w:rPr>
          <w:rFonts w:ascii="Times New Roman" w:eastAsia="Calibri" w:hAnsi="Times New Roman" w:cs="Times New Roman"/>
          <w:sz w:val="28"/>
          <w:szCs w:val="28"/>
          <w:lang w:val="es-ES_tradnl" w:eastAsia="es-ES"/>
        </w:rPr>
        <w:t xml:space="preserve">la </w:t>
      </w:r>
      <w:r w:rsidRPr="00EE2FA1">
        <w:rPr>
          <w:rFonts w:ascii="Times New Roman" w:eastAsia="Calibri" w:hAnsi="Times New Roman" w:cs="Times New Roman"/>
          <w:sz w:val="28"/>
          <w:szCs w:val="28"/>
          <w:lang w:val="es-ES_tradnl" w:eastAsia="es-ES"/>
        </w:rPr>
        <w:t>que indagó sobre la identidad de las firmas de las proposiciones y el trámit</w:t>
      </w:r>
      <w:r w:rsidRPr="00EE2FA1">
        <w:rPr>
          <w:rFonts w:ascii="Times New Roman" w:eastAsia="Calibri" w:hAnsi="Times New Roman" w:cs="Times New Roman"/>
          <w:sz w:val="28"/>
          <w:szCs w:val="28"/>
          <w:lang w:val="es-ES_tradnl" w:eastAsia="es-ES"/>
        </w:rPr>
        <w:t xml:space="preserve">e impartido a las mismas. De igual forma, </w:t>
      </w:r>
      <w:r w:rsidRPr="00EE2FA1">
        <w:rPr>
          <w:rFonts w:ascii="Times New Roman" w:eastAsia="Calibri" w:hAnsi="Times New Roman" w:cs="Times New Roman"/>
          <w:sz w:val="28"/>
          <w:szCs w:val="28"/>
          <w:lang w:val="es-ES_tradnl" w:eastAsia="es-ES"/>
        </w:rPr>
        <w:t>la censura</w:t>
      </w:r>
      <w:r w:rsidRPr="00EE2FA1">
        <w:rPr>
          <w:rFonts w:ascii="Times New Roman" w:eastAsia="Calibri" w:hAnsi="Times New Roman" w:cs="Times New Roman"/>
          <w:sz w:val="28"/>
          <w:szCs w:val="28"/>
          <w:lang w:val="es-ES_tradnl" w:eastAsia="es-ES"/>
        </w:rPr>
        <w:t xml:space="preserve"> es pertinente</w:t>
      </w:r>
      <w:r w:rsidRPr="00EE2FA1">
        <w:rPr>
          <w:rFonts w:ascii="Times New Roman" w:eastAsia="Calibri" w:hAnsi="Times New Roman" w:cs="Times New Roman"/>
          <w:sz w:val="28"/>
          <w:szCs w:val="28"/>
          <w:lang w:val="es-ES_tradnl" w:eastAsia="es-ES"/>
        </w:rPr>
        <w:t xml:space="preserve"> porque est</w:t>
      </w:r>
      <w:r w:rsidRPr="00EE2FA1">
        <w:rPr>
          <w:rFonts w:ascii="Times New Roman" w:eastAsia="Calibri" w:hAnsi="Times New Roman" w:cs="Times New Roman"/>
          <w:sz w:val="28"/>
          <w:szCs w:val="28"/>
          <w:lang w:val="es-ES_tradnl" w:eastAsia="es-ES"/>
        </w:rPr>
        <w:t>á</w:t>
      </w:r>
      <w:r w:rsidRPr="00EE2FA1">
        <w:rPr>
          <w:rFonts w:ascii="Times New Roman" w:eastAsia="Calibri" w:hAnsi="Times New Roman" w:cs="Times New Roman"/>
          <w:sz w:val="28"/>
          <w:szCs w:val="28"/>
          <w:lang w:val="es-ES_tradnl" w:eastAsia="es-ES"/>
        </w:rPr>
        <w:t xml:space="preserve"> sustentada en razones de naturaleza constitucional sobre el desconocimiento de la</w:t>
      </w:r>
      <w:r w:rsidRPr="00EE2FA1">
        <w:rPr>
          <w:rFonts w:ascii="Times New Roman" w:eastAsia="Calibri" w:hAnsi="Times New Roman" w:cs="Times New Roman"/>
          <w:sz w:val="28"/>
          <w:szCs w:val="28"/>
          <w:lang w:val="es-ES_tradnl" w:eastAsia="es-ES"/>
        </w:rPr>
        <w:t>s normas constitucionales que regulan el trámite legislativo</w:t>
      </w:r>
      <w:r w:rsidRPr="00EE2FA1">
        <w:rPr>
          <w:rFonts w:ascii="Times New Roman" w:eastAsia="Calibri" w:hAnsi="Times New Roman" w:cs="Times New Roman"/>
          <w:sz w:val="28"/>
          <w:szCs w:val="28"/>
          <w:lang w:val="es-ES_tradnl" w:eastAsia="es-ES"/>
        </w:rPr>
        <w:t xml:space="preserve"> y sobre normas orgánicas aplicables</w:t>
      </w:r>
      <w:r w:rsidRPr="00EE2FA1">
        <w:rPr>
          <w:rFonts w:ascii="Times New Roman" w:eastAsia="Calibri" w:hAnsi="Times New Roman" w:cs="Times New Roman"/>
          <w:sz w:val="28"/>
          <w:szCs w:val="28"/>
          <w:lang w:val="es-ES_tradnl" w:eastAsia="es-ES"/>
        </w:rPr>
        <w:t>.</w:t>
      </w:r>
      <w:r w:rsidRPr="00EE2FA1">
        <w:rPr>
          <w:rFonts w:ascii="Times New Roman" w:eastAsia="Calibri" w:hAnsi="Times New Roman" w:cs="Times New Roman"/>
          <w:sz w:val="28"/>
          <w:szCs w:val="28"/>
          <w:lang w:val="es-ES_tradnl" w:eastAsia="es-ES"/>
        </w:rPr>
        <w:t xml:space="preserve"> En el mismo sentido es cierta porque identificó una presunta irregularidad en el trámite legislativo de las proposiciones y</w:t>
      </w:r>
      <w:r w:rsidRPr="00EE2FA1">
        <w:rPr>
          <w:rFonts w:ascii="Times New Roman" w:eastAsia="Calibri" w:hAnsi="Times New Roman" w:cs="Times New Roman"/>
          <w:sz w:val="28"/>
          <w:szCs w:val="28"/>
          <w:lang w:val="es-ES_tradnl" w:eastAsia="es-ES"/>
        </w:rPr>
        <w:t>,</w:t>
      </w:r>
      <w:r w:rsidRPr="00EE2FA1">
        <w:rPr>
          <w:rFonts w:ascii="Times New Roman" w:eastAsia="Calibri" w:hAnsi="Times New Roman" w:cs="Times New Roman"/>
          <w:sz w:val="28"/>
          <w:szCs w:val="28"/>
          <w:lang w:val="es-ES_tradnl" w:eastAsia="es-ES"/>
        </w:rPr>
        <w:t xml:space="preserve"> finalmente, cumple con el presupuesto de suficiencia, porque genera una duda constitucional mínima y razonable sobre</w:t>
      </w:r>
      <w:r w:rsidRPr="00EE2FA1">
        <w:rPr>
          <w:rFonts w:ascii="Times New Roman" w:eastAsia="Calibri" w:hAnsi="Times New Roman" w:cs="Times New Roman"/>
          <w:sz w:val="28"/>
          <w:szCs w:val="28"/>
          <w:lang w:val="es-ES_tradnl" w:eastAsia="es-ES"/>
        </w:rPr>
        <w:t xml:space="preserve"> el</w:t>
      </w:r>
      <w:r w:rsidRPr="00EE2FA1">
        <w:rPr>
          <w:rFonts w:ascii="Times New Roman" w:eastAsia="Calibri" w:hAnsi="Times New Roman" w:cs="Times New Roman"/>
          <w:sz w:val="28"/>
          <w:szCs w:val="28"/>
          <w:lang w:val="es-ES_tradnl" w:eastAsia="es-ES"/>
        </w:rPr>
        <w:t xml:space="preserve"> presunto </w:t>
      </w:r>
      <w:r w:rsidRPr="00EE2FA1">
        <w:rPr>
          <w:rFonts w:ascii="Times New Roman" w:eastAsia="Calibri" w:hAnsi="Times New Roman" w:cs="Times New Roman"/>
          <w:sz w:val="28"/>
          <w:szCs w:val="28"/>
          <w:lang w:val="es-ES_tradnl" w:eastAsia="es-ES"/>
        </w:rPr>
        <w:t xml:space="preserve">desconocimiento de las garantías formales del trámite legislativo. </w:t>
      </w:r>
    </w:p>
    <w:p w:rsidR="00391251" w:rsidRPr="00EE2FA1" w:rsidRDefault="00EE2FA1" w:rsidP="005640F0">
      <w:pPr>
        <w:rPr>
          <w:rFonts w:ascii="Times New Roman" w:eastAsia="Calibri" w:hAnsi="Times New Roman" w:cs="Times New Roman"/>
          <w:i/>
          <w:iCs/>
          <w:sz w:val="28"/>
          <w:szCs w:val="28"/>
          <w:lang w:eastAsia="es-ES"/>
        </w:rPr>
      </w:pPr>
    </w:p>
    <w:p w:rsidR="00334333"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Planteamiento del problema jurídico</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Frente a este cargo, l</w:t>
      </w:r>
      <w:r w:rsidRPr="00EE2FA1">
        <w:rPr>
          <w:rFonts w:ascii="Times New Roman" w:eastAsia="Calibri" w:hAnsi="Times New Roman" w:cs="Times New Roman"/>
          <w:sz w:val="28"/>
          <w:szCs w:val="28"/>
          <w:lang w:eastAsia="es-ES"/>
        </w:rPr>
        <w:t>a Sala debe responder el siguiente problema jurídico</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¿la aprobación del parágrafo 3º (parcial) del artículo 10 </w:t>
      </w:r>
      <w:r w:rsidRPr="00EE2FA1">
        <w:rPr>
          <w:rFonts w:ascii="Times New Roman" w:eastAsia="Calibri" w:hAnsi="Times New Roman" w:cs="Times New Roman"/>
          <w:sz w:val="28"/>
          <w:szCs w:val="28"/>
          <w:lang w:eastAsia="es-ES"/>
        </w:rPr>
        <w:t xml:space="preserve">y del artículo 19 </w:t>
      </w:r>
      <w:r w:rsidRPr="00EE2FA1">
        <w:rPr>
          <w:rFonts w:ascii="Times New Roman" w:eastAsia="Calibri" w:hAnsi="Times New Roman" w:cs="Times New Roman"/>
          <w:sz w:val="28"/>
          <w:szCs w:val="28"/>
          <w:lang w:eastAsia="es-ES"/>
        </w:rPr>
        <w:t xml:space="preserve">de la Ley 2277 de 2022 desconoció el artículo 157.2 constitucional y los artículos 111, 112, 115, 160 y 162 de la Ley 5ª de 1992 porque en el primer debate en sesiones conjuntas, no se debatieron ni votaron </w:t>
      </w:r>
      <w:r w:rsidRPr="00EE2FA1">
        <w:rPr>
          <w:rFonts w:ascii="Times New Roman" w:eastAsia="Calibri" w:hAnsi="Times New Roman" w:cs="Times New Roman"/>
          <w:sz w:val="28"/>
          <w:szCs w:val="28"/>
          <w:lang w:eastAsia="es-ES"/>
        </w:rPr>
        <w:t>dos</w:t>
      </w:r>
      <w:r w:rsidRPr="00EE2FA1">
        <w:rPr>
          <w:rFonts w:ascii="Times New Roman" w:eastAsia="Calibri" w:hAnsi="Times New Roman" w:cs="Times New Roman"/>
          <w:sz w:val="28"/>
          <w:szCs w:val="28"/>
          <w:lang w:eastAsia="es-ES"/>
        </w:rPr>
        <w:t xml:space="preserve"> proposiciones modificativas</w:t>
      </w:r>
      <w:r w:rsidRPr="00EE2FA1">
        <w:rPr>
          <w:rFonts w:ascii="Times New Roman" w:eastAsia="Calibri" w:hAnsi="Times New Roman" w:cs="Times New Roman"/>
          <w:sz w:val="28"/>
          <w:szCs w:val="28"/>
          <w:lang w:eastAsia="es-ES"/>
        </w:rPr>
        <w:t xml:space="preserve"> de la</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norma</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acusada</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presentadas </w:t>
      </w:r>
      <w:r w:rsidRPr="00EE2FA1">
        <w:rPr>
          <w:rFonts w:ascii="Times New Roman" w:hAnsi="Times New Roman" w:cs="Times New Roman"/>
          <w:bCs/>
          <w:sz w:val="28"/>
          <w:szCs w:val="28"/>
          <w:lang w:val="es-ES_tradnl"/>
        </w:rPr>
        <w:t>por congresistas de partidos minoritarios</w:t>
      </w:r>
      <w:r w:rsidRPr="00EE2FA1">
        <w:rPr>
          <w:rStyle w:val="Refdenotaalpie"/>
          <w:rFonts w:ascii="Times New Roman" w:hAnsi="Times New Roman" w:cs="Times New Roman"/>
          <w:bCs/>
          <w:sz w:val="28"/>
          <w:szCs w:val="28"/>
          <w:lang w:val="es-ES_tradnl"/>
        </w:rPr>
        <w:footnoteReference w:id="132"/>
      </w:r>
      <w:r w:rsidRPr="00EE2FA1">
        <w:rPr>
          <w:rFonts w:ascii="Times New Roman" w:hAnsi="Times New Roman" w:cs="Times New Roman"/>
          <w:bCs/>
          <w:sz w:val="28"/>
          <w:szCs w:val="28"/>
          <w:lang w:val="es-ES_tradnl"/>
        </w:rPr>
        <w:t xml:space="preserve"> y que no fueron retiradas ni dejadas como constancia por sus autores?</w:t>
      </w:r>
    </w:p>
    <w:p w:rsidR="005A5022"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5A5022" w:rsidRPr="00EE2FA1" w:rsidRDefault="00EE2FA1" w:rsidP="00C833B9">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Metodología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Para solucionar el problema jurídico propuesto, la Sala </w:t>
      </w:r>
      <w:r w:rsidRPr="00EE2FA1">
        <w:rPr>
          <w:rFonts w:ascii="Times New Roman" w:eastAsia="Calibri" w:hAnsi="Times New Roman" w:cs="Times New Roman"/>
          <w:sz w:val="28"/>
          <w:szCs w:val="28"/>
          <w:lang w:eastAsia="es-ES"/>
        </w:rPr>
        <w:t xml:space="preserve">desarrollará </w:t>
      </w:r>
      <w:r w:rsidRPr="00EE2FA1">
        <w:rPr>
          <w:rFonts w:ascii="Times New Roman" w:eastAsia="Calibri" w:hAnsi="Times New Roman" w:cs="Times New Roman"/>
          <w:sz w:val="28"/>
          <w:szCs w:val="28"/>
          <w:lang w:eastAsia="es-ES"/>
        </w:rPr>
        <w:t xml:space="preserve">los siguientes temas: i) el principio de consecutividad y </w:t>
      </w:r>
      <w:r w:rsidRPr="00EE2FA1">
        <w:rPr>
          <w:rFonts w:ascii="Times New Roman" w:eastAsia="Calibri" w:hAnsi="Times New Roman" w:cs="Times New Roman"/>
          <w:sz w:val="28"/>
          <w:szCs w:val="28"/>
          <w:lang w:eastAsia="es-ES"/>
        </w:rPr>
        <w:t xml:space="preserve">su cumplimiento en </w:t>
      </w:r>
      <w:r w:rsidRPr="00EE2FA1">
        <w:rPr>
          <w:rFonts w:ascii="Times New Roman" w:eastAsia="Calibri" w:hAnsi="Times New Roman" w:cs="Times New Roman"/>
          <w:sz w:val="28"/>
          <w:szCs w:val="28"/>
          <w:lang w:eastAsia="es-ES"/>
        </w:rPr>
        <w:t>el debate de las proposiciones</w:t>
      </w:r>
      <w:r w:rsidRPr="00EE2FA1">
        <w:rPr>
          <w:rFonts w:ascii="Times New Roman" w:eastAsia="Calibri" w:hAnsi="Times New Roman" w:cs="Times New Roman"/>
          <w:sz w:val="28"/>
          <w:szCs w:val="28"/>
          <w:lang w:eastAsia="es-ES"/>
        </w:rPr>
        <w:t xml:space="preserve"> en el proceso legislativo</w:t>
      </w:r>
      <w:r w:rsidRPr="00EE2FA1">
        <w:rPr>
          <w:rFonts w:ascii="Times New Roman" w:eastAsia="Calibri" w:hAnsi="Times New Roman" w:cs="Times New Roman"/>
          <w:sz w:val="28"/>
          <w:szCs w:val="28"/>
          <w:lang w:eastAsia="es-ES"/>
        </w:rPr>
        <w:t>; ii) los deberes de los congresistas</w:t>
      </w:r>
      <w:r w:rsidRPr="00EE2FA1">
        <w:rPr>
          <w:rFonts w:ascii="Times New Roman" w:eastAsia="Calibri" w:hAnsi="Times New Roman" w:cs="Times New Roman"/>
          <w:sz w:val="28"/>
          <w:szCs w:val="28"/>
          <w:lang w:eastAsia="es-ES"/>
        </w:rPr>
        <w:t xml:space="preserve"> que presentan proposiciones</w:t>
      </w:r>
      <w:r w:rsidRPr="00EE2FA1">
        <w:rPr>
          <w:rFonts w:ascii="Times New Roman" w:eastAsia="Calibri" w:hAnsi="Times New Roman" w:cs="Times New Roman"/>
          <w:sz w:val="28"/>
          <w:szCs w:val="28"/>
          <w:lang w:eastAsia="es-ES"/>
        </w:rPr>
        <w:t xml:space="preserve"> en el trámite legislativo y iii) resolverá el caso concre</w:t>
      </w:r>
      <w:r w:rsidRPr="00EE2FA1">
        <w:rPr>
          <w:rFonts w:ascii="Times New Roman" w:eastAsia="Calibri" w:hAnsi="Times New Roman" w:cs="Times New Roman"/>
          <w:sz w:val="28"/>
          <w:szCs w:val="28"/>
          <w:lang w:eastAsia="es-ES"/>
        </w:rPr>
        <w:t xml:space="preserve">to. </w:t>
      </w:r>
    </w:p>
    <w:p w:rsidR="00685AB0" w:rsidRPr="00EE2FA1" w:rsidRDefault="00EE2FA1" w:rsidP="00685AB0">
      <w:pPr>
        <w:pStyle w:val="Prrafodelista"/>
        <w:tabs>
          <w:tab w:val="left" w:pos="426"/>
        </w:tabs>
        <w:spacing w:line="0" w:lineRule="atLeast"/>
        <w:ind w:left="0"/>
        <w:jc w:val="both"/>
        <w:rPr>
          <w:rFonts w:ascii="Times New Roman" w:eastAsia="Calibri" w:hAnsi="Times New Roman" w:cs="Times New Roman"/>
          <w:b/>
          <w:bCs/>
          <w:i/>
          <w:iCs/>
          <w:sz w:val="28"/>
          <w:szCs w:val="28"/>
          <w:lang w:eastAsia="es-ES"/>
        </w:rPr>
      </w:pPr>
      <w:r w:rsidRPr="00EE2FA1">
        <w:rPr>
          <w:rFonts w:ascii="Times New Roman" w:eastAsia="Calibri" w:hAnsi="Times New Roman" w:cs="Times New Roman"/>
          <w:b/>
          <w:bCs/>
          <w:sz w:val="28"/>
          <w:szCs w:val="28"/>
          <w:lang w:eastAsia="es-ES"/>
        </w:rPr>
        <w:t xml:space="preserve">El principio de consecutividad y su cumplimiento </w:t>
      </w:r>
      <w:r w:rsidRPr="00EE2FA1">
        <w:rPr>
          <w:rFonts w:ascii="Times New Roman" w:eastAsia="Calibri" w:hAnsi="Times New Roman" w:cs="Times New Roman"/>
          <w:b/>
          <w:bCs/>
          <w:sz w:val="28"/>
          <w:szCs w:val="28"/>
          <w:lang w:eastAsia="es-ES"/>
        </w:rPr>
        <w:t>frente al</w:t>
      </w:r>
      <w:r w:rsidRPr="00EE2FA1">
        <w:rPr>
          <w:rFonts w:ascii="Times New Roman" w:eastAsia="Calibri" w:hAnsi="Times New Roman" w:cs="Times New Roman"/>
          <w:b/>
          <w:bCs/>
          <w:sz w:val="28"/>
          <w:szCs w:val="28"/>
          <w:lang w:eastAsia="es-ES"/>
        </w:rPr>
        <w:t xml:space="preserve"> debate de proposiciones </w:t>
      </w:r>
      <w:r w:rsidRPr="00EE2FA1">
        <w:rPr>
          <w:rFonts w:ascii="Times New Roman" w:eastAsia="Calibri" w:hAnsi="Times New Roman" w:cs="Times New Roman"/>
          <w:b/>
          <w:bCs/>
          <w:sz w:val="28"/>
          <w:szCs w:val="28"/>
          <w:lang w:eastAsia="es-ES"/>
        </w:rPr>
        <w:t>dentro del</w:t>
      </w:r>
      <w:r w:rsidRPr="00EE2FA1">
        <w:rPr>
          <w:rFonts w:ascii="Times New Roman" w:eastAsia="Calibri" w:hAnsi="Times New Roman" w:cs="Times New Roman"/>
          <w:b/>
          <w:bCs/>
          <w:sz w:val="28"/>
          <w:szCs w:val="28"/>
          <w:lang w:eastAsia="es-ES"/>
        </w:rPr>
        <w:t xml:space="preserve"> proceso legislativo</w:t>
      </w:r>
    </w:p>
    <w:p w:rsidR="00685AB0" w:rsidRPr="00EE2FA1" w:rsidRDefault="00EE2FA1" w:rsidP="00685AB0">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217655" w:rsidRPr="00EE2FA1" w:rsidRDefault="00EE2FA1" w:rsidP="00217655">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E</w:t>
      </w:r>
      <w:r w:rsidRPr="00EE2FA1">
        <w:rPr>
          <w:rFonts w:ascii="Times New Roman" w:hAnsi="Times New Roman" w:cs="Times New Roman"/>
          <w:sz w:val="28"/>
          <w:szCs w:val="28"/>
          <w:lang w:val="es-ES"/>
        </w:rPr>
        <w:t>l principio de consecutividad</w:t>
      </w:r>
      <w:r w:rsidRPr="00EE2FA1">
        <w:rPr>
          <w:rFonts w:ascii="Times New Roman" w:hAnsi="Times New Roman" w:cs="Times New Roman"/>
          <w:sz w:val="28"/>
          <w:szCs w:val="28"/>
        </w:rPr>
        <w:t xml:space="preserve"> </w:t>
      </w:r>
      <w:r w:rsidRPr="00EE2FA1">
        <w:rPr>
          <w:rFonts w:ascii="Times New Roman" w:hAnsi="Times New Roman" w:cs="Times New Roman"/>
          <w:sz w:val="28"/>
          <w:szCs w:val="28"/>
          <w:lang w:val="es-ES"/>
        </w:rPr>
        <w:t xml:space="preserve">concurre como exigencia del proceso transparente, imparcial y reflexivo que ha de caracterizar la </w:t>
      </w:r>
      <w:r w:rsidRPr="00EE2FA1">
        <w:rPr>
          <w:rFonts w:ascii="Times New Roman" w:hAnsi="Times New Roman" w:cs="Times New Roman"/>
          <w:sz w:val="28"/>
          <w:szCs w:val="28"/>
          <w:lang w:val="es-ES"/>
        </w:rPr>
        <w:t>formación de la voluntad legislativa del Congreso de la República</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y que deriva de los mandatos establecidos en el artículo 157, numerales 2 y 3, de la Constitución. Estos conducen a afirmar que para que un proyecto se convierta en ley debe ser debatido y aprobado válidamente por cada una de las comisiones constitucional</w:t>
      </w:r>
      <w:r w:rsidRPr="00EE2FA1">
        <w:rPr>
          <w:rFonts w:ascii="Times New Roman" w:hAnsi="Times New Roman" w:cs="Times New Roman"/>
          <w:sz w:val="28"/>
          <w:szCs w:val="28"/>
          <w:lang w:val="es-ES"/>
        </w:rPr>
        <w:t>es permanentes y por las plenarias.</w:t>
      </w:r>
    </w:p>
    <w:p w:rsidR="00217655" w:rsidRPr="00EE2FA1" w:rsidRDefault="00EE2FA1" w:rsidP="00217655">
      <w:pPr>
        <w:tabs>
          <w:tab w:val="left" w:pos="426"/>
        </w:tabs>
        <w:spacing w:line="0" w:lineRule="atLeast"/>
        <w:jc w:val="both"/>
        <w:rPr>
          <w:rFonts w:ascii="Times New Roman" w:hAnsi="Times New Roman" w:cs="Times New Roman"/>
          <w:sz w:val="28"/>
          <w:szCs w:val="28"/>
        </w:rPr>
      </w:pPr>
    </w:p>
    <w:p w:rsidR="00217655" w:rsidRPr="00EE2FA1" w:rsidRDefault="00EE2FA1" w:rsidP="00224C1F">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Su aplicación, que también se predica de las proposiciones, implica una obligación con varias modalidades. Comporta para las comisiones y las plenarias de las cámaras legislativas el deber de estudiar y debatir todos lo</w:t>
      </w:r>
      <w:r w:rsidRPr="00EE2FA1">
        <w:rPr>
          <w:rFonts w:ascii="Times New Roman" w:hAnsi="Times New Roman" w:cs="Times New Roman"/>
          <w:sz w:val="28"/>
          <w:szCs w:val="28"/>
        </w:rPr>
        <w:t>s temas que hayan sido puestos a su consideración. Se trata de una competencia y un deber constitucional no susceptible de ser trasladado a otro órgano del Estado, ni al que tampoco pueden renunciar. Por lo tanto, la totalidad del articulado propuesto en l</w:t>
      </w:r>
      <w:r w:rsidRPr="00EE2FA1">
        <w:rPr>
          <w:rFonts w:ascii="Times New Roman" w:hAnsi="Times New Roman" w:cs="Times New Roman"/>
          <w:sz w:val="28"/>
          <w:szCs w:val="28"/>
        </w:rPr>
        <w:t>a ponencia presentada debe ser discutido y votado por la comisión constitucional permanente o por la plenaria, según sea el caso</w:t>
      </w:r>
      <w:r w:rsidRPr="00EE2FA1">
        <w:rPr>
          <w:rStyle w:val="Refdenotaalpie"/>
          <w:rFonts w:ascii="Times New Roman" w:hAnsi="Times New Roman" w:cs="Times New Roman"/>
          <w:sz w:val="28"/>
          <w:szCs w:val="28"/>
        </w:rPr>
        <w:footnoteReference w:id="133"/>
      </w:r>
      <w:r w:rsidRPr="00EE2FA1">
        <w:rPr>
          <w:rFonts w:ascii="Times New Roman" w:hAnsi="Times New Roman" w:cs="Times New Roman"/>
          <w:sz w:val="28"/>
          <w:szCs w:val="28"/>
        </w:rPr>
        <w:t xml:space="preserve">. </w:t>
      </w:r>
    </w:p>
    <w:p w:rsidR="007054B0" w:rsidRPr="00EE2FA1" w:rsidRDefault="00EE2FA1" w:rsidP="007054B0">
      <w:pPr>
        <w:pStyle w:val="Prrafodelista"/>
        <w:tabs>
          <w:tab w:val="left" w:pos="426"/>
        </w:tabs>
        <w:spacing w:line="0" w:lineRule="atLeast"/>
        <w:ind w:left="0"/>
        <w:jc w:val="both"/>
        <w:rPr>
          <w:rFonts w:ascii="Times New Roman" w:hAnsi="Times New Roman" w:cs="Times New Roman"/>
          <w:sz w:val="28"/>
          <w:szCs w:val="28"/>
        </w:rPr>
      </w:pPr>
    </w:p>
    <w:p w:rsidR="00217655" w:rsidRPr="00EE2FA1" w:rsidRDefault="00EE2FA1" w:rsidP="00217655">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iCs/>
          <w:sz w:val="28"/>
          <w:szCs w:val="28"/>
        </w:rPr>
        <w:t>La Ley 5</w:t>
      </w:r>
      <w:r w:rsidRPr="00EE2FA1">
        <w:rPr>
          <w:rFonts w:ascii="Times New Roman" w:hAnsi="Times New Roman" w:cs="Times New Roman"/>
          <w:iCs/>
          <w:sz w:val="28"/>
          <w:szCs w:val="28"/>
        </w:rPr>
        <w:t>ª</w:t>
      </w:r>
      <w:r w:rsidRPr="00EE2FA1">
        <w:rPr>
          <w:rFonts w:ascii="Times New Roman" w:hAnsi="Times New Roman" w:cs="Times New Roman"/>
          <w:iCs/>
          <w:sz w:val="28"/>
          <w:szCs w:val="28"/>
        </w:rPr>
        <w:t xml:space="preserve"> de 1992 exige que las proposiciones sean votadas (arts. 112 y siguientes), sin embargo, esta regla no es absoluta</w:t>
      </w:r>
      <w:r w:rsidRPr="00EE2FA1">
        <w:rPr>
          <w:rFonts w:ascii="Times New Roman" w:hAnsi="Times New Roman" w:cs="Times New Roman"/>
          <w:iCs/>
          <w:sz w:val="28"/>
          <w:szCs w:val="28"/>
        </w:rPr>
        <w:t xml:space="preserve">. </w:t>
      </w:r>
      <w:r w:rsidRPr="00EE2FA1">
        <w:rPr>
          <w:rFonts w:ascii="Times New Roman" w:hAnsi="Times New Roman" w:cs="Times New Roman"/>
          <w:sz w:val="28"/>
          <w:szCs w:val="28"/>
          <w:shd w:val="clear" w:color="auto" w:fill="FFFFFF"/>
          <w:lang w:val="es-ES"/>
        </w:rPr>
        <w:t xml:space="preserve">En </w:t>
      </w:r>
      <w:r w:rsidRPr="00EE2FA1">
        <w:rPr>
          <w:rFonts w:ascii="Times New Roman" w:hAnsi="Times New Roman" w:cs="Times New Roman"/>
          <w:sz w:val="28"/>
          <w:szCs w:val="28"/>
          <w:shd w:val="clear" w:color="auto" w:fill="FFFFFF"/>
          <w:lang w:val="es-ES"/>
        </w:rPr>
        <w:t>ese</w:t>
      </w:r>
      <w:r w:rsidRPr="00EE2FA1">
        <w:rPr>
          <w:rFonts w:ascii="Times New Roman" w:hAnsi="Times New Roman" w:cs="Times New Roman"/>
          <w:sz w:val="28"/>
          <w:szCs w:val="28"/>
          <w:shd w:val="clear" w:color="auto" w:fill="FFFFFF"/>
          <w:lang w:val="es-ES"/>
        </w:rPr>
        <w:t xml:space="preserve"> sentido, las proposiciones que se planteen en el curso del debate deben ser objeto de discusión y votación, salvo que el autor de </w:t>
      </w:r>
      <w:r w:rsidRPr="00EE2FA1">
        <w:rPr>
          <w:rFonts w:ascii="Times New Roman" w:hAnsi="Times New Roman" w:cs="Times New Roman"/>
          <w:sz w:val="28"/>
          <w:szCs w:val="28"/>
          <w:shd w:val="clear" w:color="auto" w:fill="FFFFFF"/>
          <w:lang w:val="es-ES"/>
        </w:rPr>
        <w:t>aquellas</w:t>
      </w:r>
      <w:r w:rsidRPr="00EE2FA1">
        <w:rPr>
          <w:rFonts w:ascii="Times New Roman" w:hAnsi="Times New Roman" w:cs="Times New Roman"/>
          <w:sz w:val="28"/>
          <w:szCs w:val="28"/>
          <w:shd w:val="clear" w:color="auto" w:fill="FFFFFF"/>
          <w:lang w:val="es-ES"/>
        </w:rPr>
        <w:t xml:space="preserve"> decida retirarla</w:t>
      </w:r>
      <w:r w:rsidRPr="00EE2FA1">
        <w:rPr>
          <w:rFonts w:ascii="Times New Roman" w:hAnsi="Times New Roman" w:cs="Times New Roman"/>
          <w:sz w:val="28"/>
          <w:szCs w:val="28"/>
          <w:shd w:val="clear" w:color="auto" w:fill="FFFFFF"/>
          <w:lang w:val="es-ES"/>
        </w:rPr>
        <w:t>s</w:t>
      </w:r>
      <w:r w:rsidRPr="00EE2FA1">
        <w:rPr>
          <w:rFonts w:ascii="Times New Roman" w:hAnsi="Times New Roman" w:cs="Times New Roman"/>
          <w:sz w:val="28"/>
          <w:szCs w:val="28"/>
          <w:shd w:val="clear" w:color="auto" w:fill="FFFFFF"/>
          <w:lang w:val="es-ES"/>
        </w:rPr>
        <w:t xml:space="preserve"> antes de ser sometida</w:t>
      </w:r>
      <w:r w:rsidRPr="00EE2FA1">
        <w:rPr>
          <w:rFonts w:ascii="Times New Roman" w:hAnsi="Times New Roman" w:cs="Times New Roman"/>
          <w:sz w:val="28"/>
          <w:szCs w:val="28"/>
          <w:shd w:val="clear" w:color="auto" w:fill="FFFFFF"/>
          <w:lang w:val="es-ES"/>
        </w:rPr>
        <w:t>s</w:t>
      </w:r>
      <w:r w:rsidRPr="00EE2FA1">
        <w:rPr>
          <w:rFonts w:ascii="Times New Roman" w:hAnsi="Times New Roman" w:cs="Times New Roman"/>
          <w:sz w:val="28"/>
          <w:szCs w:val="28"/>
          <w:shd w:val="clear" w:color="auto" w:fill="FFFFFF"/>
          <w:lang w:val="es-ES"/>
        </w:rPr>
        <w:t xml:space="preserve"> a votación</w:t>
      </w:r>
      <w:r w:rsidRPr="00EE2FA1">
        <w:rPr>
          <w:rStyle w:val="Refdenotaalpie"/>
          <w:rFonts w:ascii="Times New Roman" w:hAnsi="Times New Roman" w:cs="Times New Roman"/>
          <w:sz w:val="28"/>
          <w:szCs w:val="28"/>
          <w:shd w:val="clear" w:color="auto" w:fill="FFFFFF"/>
          <w:lang w:val="es-ES"/>
        </w:rPr>
        <w:footnoteReference w:id="134"/>
      </w:r>
      <w:r w:rsidRPr="00EE2FA1">
        <w:rPr>
          <w:rFonts w:ascii="Times New Roman" w:hAnsi="Times New Roman" w:cs="Times New Roman"/>
          <w:sz w:val="28"/>
          <w:szCs w:val="28"/>
          <w:shd w:val="clear" w:color="auto" w:fill="FFFFFF"/>
          <w:lang w:val="es-ES"/>
        </w:rPr>
        <w:t>. Además, las comisiones y las plenarias no pueden, como</w:t>
      </w:r>
      <w:r w:rsidRPr="00EE2FA1">
        <w:rPr>
          <w:rFonts w:ascii="Times New Roman" w:hAnsi="Times New Roman" w:cs="Times New Roman"/>
          <w:sz w:val="28"/>
          <w:szCs w:val="28"/>
          <w:shd w:val="clear" w:color="auto" w:fill="FFFFFF"/>
          <w:lang w:val="es-ES"/>
        </w:rPr>
        <w:t xml:space="preserve"> se ha dicho, renunciar a su competencia y posponer la discusión que debe llevarse a cabo en una precisa etapa del proceso legislativo, para un debate posterior</w:t>
      </w:r>
      <w:r w:rsidRPr="00EE2FA1">
        <w:rPr>
          <w:rFonts w:ascii="Times New Roman" w:hAnsi="Times New Roman" w:cs="Times New Roman"/>
          <w:sz w:val="28"/>
          <w:szCs w:val="28"/>
          <w:shd w:val="clear" w:color="auto" w:fill="FFFFFF"/>
          <w:lang w:val="es-ES"/>
        </w:rPr>
        <w:t>,</w:t>
      </w:r>
      <w:r w:rsidRPr="00EE2FA1">
        <w:rPr>
          <w:rFonts w:ascii="Times New Roman" w:hAnsi="Times New Roman" w:cs="Times New Roman"/>
          <w:sz w:val="28"/>
          <w:szCs w:val="28"/>
          <w:shd w:val="clear" w:color="auto" w:fill="FFFFFF"/>
          <w:lang w:val="es-ES"/>
        </w:rPr>
        <w:t xml:space="preserve"> ni siquiera por razones de apremio o complejidad, ante </w:t>
      </w:r>
      <w:r w:rsidRPr="00EE2FA1">
        <w:rPr>
          <w:rFonts w:ascii="Times New Roman" w:hAnsi="Times New Roman" w:cs="Times New Roman"/>
          <w:sz w:val="28"/>
          <w:szCs w:val="28"/>
          <w:shd w:val="clear" w:color="auto" w:fill="FFFFFF"/>
          <w:lang w:val="es-ES_tradnl"/>
        </w:rPr>
        <w:t>la proximidad de la expiración del tiem</w:t>
      </w:r>
      <w:r w:rsidRPr="00EE2FA1">
        <w:rPr>
          <w:rFonts w:ascii="Times New Roman" w:hAnsi="Times New Roman" w:cs="Times New Roman"/>
          <w:sz w:val="28"/>
          <w:szCs w:val="28"/>
          <w:shd w:val="clear" w:color="auto" w:fill="FFFFFF"/>
          <w:lang w:val="es-ES_tradnl"/>
        </w:rPr>
        <w:t>po correspondiente</w:t>
      </w:r>
      <w:r w:rsidRPr="00EE2FA1">
        <w:rPr>
          <w:rStyle w:val="Refdenotaalpie"/>
          <w:rFonts w:ascii="Times New Roman" w:hAnsi="Times New Roman" w:cs="Times New Roman"/>
          <w:sz w:val="28"/>
          <w:szCs w:val="28"/>
          <w:shd w:val="clear" w:color="auto" w:fill="FFFFFF"/>
          <w:lang w:val="es-ES_tradnl"/>
        </w:rPr>
        <w:footnoteReference w:id="135"/>
      </w:r>
      <w:r w:rsidRPr="00EE2FA1">
        <w:rPr>
          <w:rFonts w:ascii="Times New Roman" w:hAnsi="Times New Roman" w:cs="Times New Roman"/>
          <w:sz w:val="28"/>
          <w:szCs w:val="28"/>
          <w:shd w:val="clear" w:color="auto" w:fill="FFFFFF"/>
        </w:rPr>
        <w:t>.</w:t>
      </w:r>
    </w:p>
    <w:p w:rsidR="00217655" w:rsidRPr="00EE2FA1" w:rsidRDefault="00EE2FA1" w:rsidP="00217655">
      <w:pPr>
        <w:pStyle w:val="Prrafodelista"/>
        <w:tabs>
          <w:tab w:val="left" w:pos="426"/>
        </w:tabs>
        <w:spacing w:line="0" w:lineRule="atLeast"/>
        <w:ind w:left="0"/>
        <w:jc w:val="both"/>
        <w:rPr>
          <w:rFonts w:ascii="Times New Roman" w:hAnsi="Times New Roman" w:cs="Times New Roman"/>
          <w:i/>
          <w:sz w:val="28"/>
          <w:szCs w:val="28"/>
        </w:rPr>
      </w:pPr>
    </w:p>
    <w:p w:rsidR="00C739F9" w:rsidRPr="00EE2FA1" w:rsidRDefault="00EE2FA1" w:rsidP="00217655">
      <w:pPr>
        <w:pStyle w:val="Prrafodelista"/>
        <w:tabs>
          <w:tab w:val="left" w:pos="426"/>
        </w:tabs>
        <w:spacing w:line="0" w:lineRule="atLeast"/>
        <w:ind w:left="0"/>
        <w:jc w:val="both"/>
        <w:rPr>
          <w:rFonts w:ascii="Times New Roman" w:hAnsi="Times New Roman" w:cs="Times New Roman"/>
          <w:b/>
          <w:bCs/>
          <w:iCs/>
          <w:sz w:val="28"/>
          <w:szCs w:val="28"/>
        </w:rPr>
      </w:pPr>
      <w:r w:rsidRPr="00EE2FA1">
        <w:rPr>
          <w:rFonts w:ascii="Times New Roman" w:eastAsia="Calibri" w:hAnsi="Times New Roman" w:cs="Times New Roman"/>
          <w:b/>
          <w:bCs/>
          <w:sz w:val="28"/>
          <w:szCs w:val="28"/>
          <w:lang w:eastAsia="es-ES"/>
        </w:rPr>
        <w:t>Los deberes de los congresistas que presentan proposiciones en el trámite legislativo</w:t>
      </w:r>
    </w:p>
    <w:p w:rsidR="00217655" w:rsidRPr="00EE2FA1" w:rsidRDefault="00EE2FA1" w:rsidP="00217655">
      <w:pPr>
        <w:pStyle w:val="Prrafodelista"/>
        <w:tabs>
          <w:tab w:val="left" w:pos="426"/>
        </w:tabs>
        <w:spacing w:line="0" w:lineRule="atLeast"/>
        <w:ind w:left="0"/>
        <w:jc w:val="both"/>
        <w:rPr>
          <w:rFonts w:ascii="Times New Roman" w:hAnsi="Times New Roman" w:cs="Times New Roman"/>
          <w:i/>
          <w:sz w:val="28"/>
          <w:szCs w:val="28"/>
        </w:rPr>
      </w:pPr>
    </w:p>
    <w:p w:rsidR="00217655" w:rsidRPr="00EE2FA1" w:rsidRDefault="00EE2FA1" w:rsidP="000E7427">
      <w:pPr>
        <w:pStyle w:val="Prrafodelista"/>
        <w:numPr>
          <w:ilvl w:val="0"/>
          <w:numId w:val="1"/>
        </w:numPr>
        <w:tabs>
          <w:tab w:val="left" w:pos="426"/>
        </w:tabs>
        <w:spacing w:line="0" w:lineRule="atLeast"/>
        <w:ind w:left="0" w:firstLine="0"/>
        <w:jc w:val="both"/>
        <w:rPr>
          <w:rFonts w:ascii="Times New Roman" w:hAnsi="Times New Roman" w:cs="Times New Roman"/>
          <w:i/>
          <w:sz w:val="28"/>
          <w:szCs w:val="28"/>
        </w:rPr>
      </w:pPr>
      <w:r w:rsidRPr="00EE2FA1">
        <w:rPr>
          <w:rFonts w:ascii="Times New Roman" w:hAnsi="Times New Roman" w:cs="Times New Roman"/>
          <w:iCs/>
          <w:sz w:val="28"/>
          <w:szCs w:val="28"/>
        </w:rPr>
        <w:t xml:space="preserve">Previamente, la Sala referenció los deberes </w:t>
      </w:r>
      <w:r w:rsidRPr="00EE2FA1">
        <w:rPr>
          <w:rFonts w:ascii="Times New Roman" w:hAnsi="Times New Roman" w:cs="Times New Roman"/>
          <w:iCs/>
          <w:sz w:val="28"/>
          <w:szCs w:val="28"/>
        </w:rPr>
        <w:t xml:space="preserve">de </w:t>
      </w:r>
      <w:r w:rsidRPr="00EE2FA1">
        <w:rPr>
          <w:rFonts w:ascii="Times New Roman" w:hAnsi="Times New Roman" w:cs="Times New Roman"/>
          <w:iCs/>
          <w:sz w:val="28"/>
          <w:szCs w:val="28"/>
        </w:rPr>
        <w:t xml:space="preserve">diligencia de los </w:t>
      </w:r>
      <w:r w:rsidRPr="00EE2FA1">
        <w:rPr>
          <w:rFonts w:ascii="Times New Roman" w:hAnsi="Times New Roman" w:cs="Times New Roman"/>
          <w:iCs/>
          <w:sz w:val="28"/>
          <w:szCs w:val="28"/>
        </w:rPr>
        <w:t>congresistas</w:t>
      </w:r>
      <w:r w:rsidRPr="00EE2FA1">
        <w:rPr>
          <w:rFonts w:ascii="Times New Roman" w:hAnsi="Times New Roman" w:cs="Times New Roman"/>
          <w:iCs/>
          <w:sz w:val="28"/>
          <w:szCs w:val="28"/>
        </w:rPr>
        <w:t xml:space="preserve"> en el trámi</w:t>
      </w:r>
      <w:r w:rsidRPr="00EE2FA1">
        <w:rPr>
          <w:rFonts w:ascii="Times New Roman" w:hAnsi="Times New Roman" w:cs="Times New Roman"/>
          <w:iCs/>
          <w:sz w:val="28"/>
          <w:szCs w:val="28"/>
        </w:rPr>
        <w:t>t</w:t>
      </w:r>
      <w:r w:rsidRPr="00EE2FA1">
        <w:rPr>
          <w:rFonts w:ascii="Times New Roman" w:hAnsi="Times New Roman" w:cs="Times New Roman"/>
          <w:iCs/>
          <w:sz w:val="28"/>
          <w:szCs w:val="28"/>
        </w:rPr>
        <w:t xml:space="preserve">e legislativo.  </w:t>
      </w:r>
      <w:r w:rsidRPr="00EE2FA1">
        <w:rPr>
          <w:rFonts w:ascii="Times New Roman" w:hAnsi="Times New Roman" w:cs="Times New Roman"/>
          <w:iCs/>
          <w:sz w:val="28"/>
          <w:szCs w:val="28"/>
        </w:rPr>
        <w:t xml:space="preserve">A tal efecto, </w:t>
      </w:r>
      <w:r w:rsidRPr="00EE2FA1">
        <w:rPr>
          <w:rFonts w:ascii="Times New Roman" w:hAnsi="Times New Roman" w:cs="Times New Roman"/>
          <w:sz w:val="28"/>
          <w:szCs w:val="28"/>
          <w:lang w:val="es-ES"/>
        </w:rPr>
        <w:t xml:space="preserve">la jurisprudencia constitucional ha explicado </w:t>
      </w:r>
      <w:r w:rsidRPr="00EE2FA1">
        <w:rPr>
          <w:rFonts w:ascii="Times New Roman" w:hAnsi="Times New Roman" w:cs="Times New Roman"/>
          <w:iCs/>
          <w:sz w:val="28"/>
          <w:szCs w:val="28"/>
        </w:rPr>
        <w:t xml:space="preserve">que la sola presentación de una proposición </w:t>
      </w:r>
      <w:r w:rsidRPr="00EE2FA1">
        <w:rPr>
          <w:rFonts w:ascii="Times New Roman" w:hAnsi="Times New Roman" w:cs="Times New Roman"/>
          <w:iCs/>
          <w:sz w:val="28"/>
          <w:szCs w:val="28"/>
        </w:rPr>
        <w:t xml:space="preserve">no exime </w:t>
      </w:r>
      <w:r w:rsidRPr="00EE2FA1">
        <w:rPr>
          <w:rFonts w:ascii="Times New Roman" w:hAnsi="Times New Roman" w:cs="Times New Roman"/>
          <w:iCs/>
          <w:sz w:val="28"/>
          <w:szCs w:val="28"/>
        </w:rPr>
        <w:t>a su autor de su deber de diligencia</w:t>
      </w:r>
      <w:r w:rsidRPr="00EE2FA1">
        <w:rPr>
          <w:rFonts w:ascii="Times New Roman" w:hAnsi="Times New Roman" w:cs="Times New Roman"/>
          <w:iCs/>
          <w:sz w:val="28"/>
          <w:szCs w:val="28"/>
        </w:rPr>
        <w:t>,</w:t>
      </w:r>
      <w:r w:rsidRPr="00EE2FA1">
        <w:rPr>
          <w:rFonts w:ascii="Times New Roman" w:hAnsi="Times New Roman" w:cs="Times New Roman"/>
          <w:iCs/>
          <w:sz w:val="28"/>
          <w:szCs w:val="28"/>
        </w:rPr>
        <w:t xml:space="preserve"> </w:t>
      </w:r>
      <w:r w:rsidRPr="00EE2FA1">
        <w:rPr>
          <w:rFonts w:ascii="Times New Roman" w:hAnsi="Times New Roman" w:cs="Times New Roman"/>
          <w:iCs/>
          <w:sz w:val="28"/>
          <w:szCs w:val="28"/>
        </w:rPr>
        <w:t xml:space="preserve">el cual </w:t>
      </w:r>
      <w:r w:rsidRPr="00EE2FA1">
        <w:rPr>
          <w:rFonts w:ascii="Times New Roman" w:hAnsi="Times New Roman" w:cs="Times New Roman"/>
          <w:iCs/>
          <w:sz w:val="28"/>
          <w:szCs w:val="28"/>
        </w:rPr>
        <w:t xml:space="preserve">se manifiesta en la obligación de explicar su contenido y de solicitar, antes de la culminación y votación del </w:t>
      </w:r>
      <w:r w:rsidRPr="00EE2FA1">
        <w:rPr>
          <w:rFonts w:ascii="Times New Roman" w:hAnsi="Times New Roman" w:cs="Times New Roman"/>
          <w:iCs/>
          <w:sz w:val="28"/>
          <w:szCs w:val="28"/>
        </w:rPr>
        <w:t>proyecto, su sometimiento a discusión y decisión mediante una moción de orden</w:t>
      </w:r>
      <w:r w:rsidRPr="00EE2FA1">
        <w:rPr>
          <w:rStyle w:val="Refdenotaalpie"/>
          <w:rFonts w:ascii="Times New Roman" w:hAnsi="Times New Roman" w:cs="Times New Roman"/>
          <w:iCs/>
          <w:sz w:val="28"/>
          <w:szCs w:val="28"/>
        </w:rPr>
        <w:footnoteReference w:id="136"/>
      </w:r>
      <w:r w:rsidRPr="00EE2FA1">
        <w:rPr>
          <w:rFonts w:ascii="Times New Roman" w:hAnsi="Times New Roman" w:cs="Times New Roman"/>
          <w:iCs/>
          <w:sz w:val="28"/>
          <w:szCs w:val="28"/>
        </w:rPr>
        <w:t>. Asimismo, se ha considerado que la abstención de los congresistas de promover dicha moción para que se discutan y voten las proposiciones pendientes “</w:t>
      </w:r>
      <w:r w:rsidRPr="00EE2FA1">
        <w:rPr>
          <w:rFonts w:ascii="Times New Roman" w:hAnsi="Times New Roman" w:cs="Times New Roman"/>
          <w:sz w:val="28"/>
          <w:szCs w:val="28"/>
          <w:shd w:val="clear" w:color="auto" w:fill="FFFFFF"/>
        </w:rPr>
        <w:t>equivale a un desistimiento o renuncia de las propuestas, que no tiene entidad alguna para afectar la validez del trabajo legislativo”</w:t>
      </w:r>
      <w:r w:rsidRPr="00EE2FA1">
        <w:rPr>
          <w:rStyle w:val="Refdenotaalpie"/>
          <w:rFonts w:ascii="Times New Roman" w:hAnsi="Times New Roman" w:cs="Times New Roman"/>
          <w:sz w:val="28"/>
          <w:szCs w:val="28"/>
          <w:shd w:val="clear" w:color="auto" w:fill="FFFFFF"/>
        </w:rPr>
        <w:footnoteReference w:id="137"/>
      </w:r>
      <w:r w:rsidRPr="00EE2FA1">
        <w:rPr>
          <w:rFonts w:ascii="Times New Roman" w:hAnsi="Times New Roman" w:cs="Times New Roman"/>
          <w:sz w:val="28"/>
          <w:szCs w:val="28"/>
          <w:shd w:val="clear" w:color="auto" w:fill="FFFFFF"/>
        </w:rPr>
        <w:t>.</w:t>
      </w:r>
    </w:p>
    <w:p w:rsidR="00217655" w:rsidRPr="00EE2FA1" w:rsidRDefault="00EE2FA1" w:rsidP="00217655">
      <w:pPr>
        <w:pStyle w:val="Prrafodelista"/>
        <w:spacing w:line="0" w:lineRule="atLeast"/>
        <w:ind w:left="0"/>
        <w:jc w:val="both"/>
        <w:rPr>
          <w:rFonts w:ascii="Times New Roman" w:eastAsia="Calibri" w:hAnsi="Times New Roman" w:cs="Times New Roman"/>
          <w:sz w:val="28"/>
          <w:szCs w:val="28"/>
          <w:lang w:val="es-ES_tradnl" w:eastAsia="es-ES"/>
        </w:rPr>
      </w:pPr>
    </w:p>
    <w:p w:rsidR="00217655" w:rsidRPr="00EE2FA1" w:rsidRDefault="00EE2FA1" w:rsidP="00217655">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eastAsia="Calibri" w:hAnsi="Times New Roman" w:cs="Times New Roman"/>
          <w:sz w:val="28"/>
          <w:szCs w:val="28"/>
          <w:lang w:val="es-ES_tradnl" w:eastAsia="es-ES"/>
        </w:rPr>
        <w:t xml:space="preserve">Con fundamento en esta regla, la Corte ha concluido que de la omisión de discusión y votación de una proposición </w:t>
      </w:r>
      <w:r w:rsidRPr="00EE2FA1">
        <w:rPr>
          <w:rFonts w:ascii="Times New Roman" w:eastAsia="Calibri" w:hAnsi="Times New Roman" w:cs="Times New Roman"/>
          <w:sz w:val="28"/>
          <w:szCs w:val="28"/>
          <w:lang w:val="es-ES_tradnl" w:eastAsia="es-ES"/>
        </w:rPr>
        <w:t xml:space="preserve">sobre la cual </w:t>
      </w:r>
      <w:r w:rsidRPr="00EE2FA1">
        <w:rPr>
          <w:rFonts w:ascii="Times New Roman" w:eastAsia="Calibri" w:hAnsi="Times New Roman" w:cs="Times New Roman"/>
          <w:sz w:val="28"/>
          <w:szCs w:val="28"/>
          <w:lang w:val="es-ES_tradnl" w:eastAsia="es-ES"/>
        </w:rPr>
        <w:t>su autor no fue diligente para que se tramitara no se deriva un vicio de trámite. Así lo sostuvo la Sentencia C-168 de 2012</w:t>
      </w:r>
      <w:r w:rsidRPr="00EE2FA1">
        <w:rPr>
          <w:rStyle w:val="Refdenotaalpie"/>
          <w:rFonts w:ascii="Times New Roman" w:eastAsia="Calibri" w:hAnsi="Times New Roman" w:cs="Times New Roman"/>
          <w:sz w:val="28"/>
          <w:szCs w:val="28"/>
          <w:lang w:val="es-ES_tradnl" w:eastAsia="es-ES"/>
        </w:rPr>
        <w:footnoteReference w:id="138"/>
      </w:r>
      <w:r w:rsidRPr="00EE2FA1">
        <w:rPr>
          <w:rFonts w:ascii="Times New Roman" w:eastAsia="Calibri" w:hAnsi="Times New Roman" w:cs="Times New Roman"/>
          <w:sz w:val="28"/>
          <w:szCs w:val="28"/>
          <w:lang w:val="es-ES_tradnl" w:eastAsia="es-ES"/>
        </w:rPr>
        <w:t xml:space="preserve"> que, entre los presuntos vicios de procedimiento estudiados, se </w:t>
      </w:r>
      <w:r w:rsidRPr="00EE2FA1">
        <w:rPr>
          <w:rFonts w:ascii="Times New Roman" w:eastAsia="Calibri" w:hAnsi="Times New Roman" w:cs="Times New Roman"/>
          <w:sz w:val="28"/>
          <w:szCs w:val="28"/>
          <w:lang w:val="es-ES_tradnl" w:eastAsia="es-ES"/>
        </w:rPr>
        <w:t xml:space="preserve">refirió a </w:t>
      </w:r>
      <w:r w:rsidRPr="00EE2FA1">
        <w:rPr>
          <w:rFonts w:ascii="Times New Roman" w:eastAsia="Calibri" w:hAnsi="Times New Roman" w:cs="Times New Roman"/>
          <w:sz w:val="28"/>
          <w:szCs w:val="28"/>
          <w:lang w:val="es-ES_tradnl" w:eastAsia="es-ES"/>
        </w:rPr>
        <w:t xml:space="preserve">la ausencia de trámite </w:t>
      </w:r>
      <w:r w:rsidRPr="00EE2FA1">
        <w:rPr>
          <w:rFonts w:ascii="Times New Roman" w:eastAsia="Calibri" w:hAnsi="Times New Roman" w:cs="Times New Roman"/>
          <w:sz w:val="28"/>
          <w:szCs w:val="28"/>
          <w:lang w:val="es-ES_tradnl" w:eastAsia="es-ES"/>
        </w:rPr>
        <w:t xml:space="preserve">sobre </w:t>
      </w:r>
      <w:r w:rsidRPr="00EE2FA1">
        <w:rPr>
          <w:rFonts w:ascii="Times New Roman" w:eastAsia="Calibri" w:hAnsi="Times New Roman" w:cs="Times New Roman"/>
          <w:sz w:val="28"/>
          <w:szCs w:val="28"/>
          <w:lang w:val="es-ES_tradnl" w:eastAsia="es-ES"/>
        </w:rPr>
        <w:t>una proposició</w:t>
      </w:r>
      <w:r w:rsidRPr="00EE2FA1">
        <w:rPr>
          <w:rFonts w:ascii="Times New Roman" w:eastAsia="Calibri" w:hAnsi="Times New Roman" w:cs="Times New Roman"/>
          <w:sz w:val="28"/>
          <w:szCs w:val="28"/>
          <w:lang w:val="es-ES_tradnl" w:eastAsia="es-ES"/>
        </w:rPr>
        <w:t>n presentada por una senadora en el marco del procedimiento legislativo que condujo a la expedición de la Ley 1403 de 2010. Al respecto, la Corte corroboró que la proposición modificativa fue presentada, pero no recibió trámite alguno. No obstante, también</w:t>
      </w:r>
      <w:r w:rsidRPr="00EE2FA1">
        <w:rPr>
          <w:rFonts w:ascii="Times New Roman" w:eastAsia="Calibri" w:hAnsi="Times New Roman" w:cs="Times New Roman"/>
          <w:sz w:val="28"/>
          <w:szCs w:val="28"/>
          <w:lang w:val="es-ES_tradnl" w:eastAsia="es-ES"/>
        </w:rPr>
        <w:t xml:space="preserve"> constató que la senadora autora de la proposición no adelantó “</w:t>
      </w:r>
      <w:r w:rsidRPr="00EE2FA1">
        <w:rPr>
          <w:rFonts w:ascii="Times New Roman" w:eastAsia="Calibri" w:hAnsi="Times New Roman" w:cs="Times New Roman"/>
          <w:sz w:val="28"/>
          <w:szCs w:val="28"/>
          <w:lang w:eastAsia="es-ES"/>
        </w:rPr>
        <w:t>alguna diligencia para impulsar la discusión y votación sobre su proposición”</w:t>
      </w:r>
      <w:r w:rsidRPr="00EE2FA1">
        <w:rPr>
          <w:rStyle w:val="Refdenotaalpie"/>
          <w:rFonts w:ascii="Times New Roman" w:eastAsia="Calibri" w:hAnsi="Times New Roman" w:cs="Times New Roman"/>
          <w:sz w:val="28"/>
          <w:szCs w:val="28"/>
          <w:lang w:eastAsia="es-ES"/>
        </w:rPr>
        <w:footnoteReference w:id="139"/>
      </w:r>
      <w:r w:rsidRPr="00EE2FA1">
        <w:rPr>
          <w:rFonts w:ascii="Times New Roman" w:eastAsia="Calibri" w:hAnsi="Times New Roman" w:cs="Times New Roman"/>
          <w:sz w:val="28"/>
          <w:szCs w:val="28"/>
          <w:lang w:val="es-ES_tradnl" w:eastAsia="es-ES"/>
        </w:rPr>
        <w:t>. Por lo tanto, concluyó que “de la aludida circunstancia no se deriva ningún vicio de trámite, porque la conducta</w:t>
      </w:r>
      <w:r w:rsidRPr="00EE2FA1">
        <w:rPr>
          <w:rFonts w:ascii="Times New Roman" w:eastAsia="Calibri" w:hAnsi="Times New Roman" w:cs="Times New Roman"/>
          <w:sz w:val="28"/>
          <w:szCs w:val="28"/>
          <w:lang w:val="es-ES_tradnl" w:eastAsia="es-ES"/>
        </w:rPr>
        <w:t xml:space="preserve"> omisiva de la senadora Rodríguez equivale a una renuncia de la proposición presentada”</w:t>
      </w:r>
      <w:r w:rsidRPr="00EE2FA1">
        <w:rPr>
          <w:rStyle w:val="Refdenotaalpie"/>
          <w:rFonts w:ascii="Times New Roman" w:eastAsia="Calibri" w:hAnsi="Times New Roman" w:cs="Times New Roman"/>
          <w:sz w:val="28"/>
          <w:szCs w:val="28"/>
          <w:lang w:val="es-ES_tradnl" w:eastAsia="es-ES"/>
        </w:rPr>
        <w:footnoteReference w:id="140"/>
      </w:r>
      <w:r w:rsidRPr="00EE2FA1">
        <w:rPr>
          <w:rFonts w:ascii="Times New Roman" w:eastAsia="Calibri" w:hAnsi="Times New Roman" w:cs="Times New Roman"/>
          <w:sz w:val="28"/>
          <w:szCs w:val="28"/>
          <w:lang w:val="es-ES_tradnl" w:eastAsia="es-ES"/>
        </w:rPr>
        <w:t>. En ese caso, la Corte estimó que la senadora autora había desistido de su proposición, al verificar que no intervino en el debate para solicitar la discusión de su pr</w:t>
      </w:r>
      <w:r w:rsidRPr="00EE2FA1">
        <w:rPr>
          <w:rFonts w:ascii="Times New Roman" w:eastAsia="Calibri" w:hAnsi="Times New Roman" w:cs="Times New Roman"/>
          <w:sz w:val="28"/>
          <w:szCs w:val="28"/>
          <w:lang w:val="es-ES_tradnl" w:eastAsia="es-ES"/>
        </w:rPr>
        <w:t>opuesta</w:t>
      </w:r>
      <w:r w:rsidRPr="00EE2FA1">
        <w:rPr>
          <w:rFonts w:ascii="Times New Roman" w:eastAsia="Calibri" w:hAnsi="Times New Roman" w:cs="Times New Roman"/>
          <w:sz w:val="28"/>
          <w:szCs w:val="28"/>
          <w:lang w:val="es-ES_tradnl" w:eastAsia="es-ES"/>
        </w:rPr>
        <w:t>,</w:t>
      </w:r>
      <w:r w:rsidRPr="00EE2FA1">
        <w:rPr>
          <w:rFonts w:ascii="Times New Roman" w:eastAsia="Calibri" w:hAnsi="Times New Roman" w:cs="Times New Roman"/>
          <w:sz w:val="28"/>
          <w:szCs w:val="28"/>
          <w:lang w:val="es-ES_tradnl" w:eastAsia="es-ES"/>
        </w:rPr>
        <w:t xml:space="preserve"> ni protestó por la omisión en el procedimiento.</w:t>
      </w:r>
      <w:r w:rsidRPr="00EE2FA1">
        <w:rPr>
          <w:rFonts w:ascii="Times New Roman" w:eastAsia="Calibri" w:hAnsi="Times New Roman" w:cs="Times New Roman"/>
          <w:sz w:val="28"/>
          <w:szCs w:val="28"/>
          <w:lang w:val="es-ES_tradnl" w:eastAsia="es-ES"/>
        </w:rPr>
        <w:t xml:space="preserve"> </w:t>
      </w:r>
    </w:p>
    <w:p w:rsidR="000E7427" w:rsidRPr="00EE2FA1" w:rsidRDefault="00EE2FA1" w:rsidP="000E7427">
      <w:pPr>
        <w:pStyle w:val="Prrafodelista"/>
        <w:tabs>
          <w:tab w:val="left" w:pos="426"/>
        </w:tabs>
        <w:spacing w:line="0" w:lineRule="atLeast"/>
        <w:ind w:left="0"/>
        <w:jc w:val="both"/>
        <w:rPr>
          <w:rFonts w:ascii="Times New Roman" w:eastAsia="Calibri" w:hAnsi="Times New Roman" w:cs="Times New Roman"/>
          <w:sz w:val="28"/>
          <w:szCs w:val="28"/>
          <w:lang w:val="es-ES_tradnl" w:eastAsia="es-ES"/>
        </w:rPr>
      </w:pPr>
    </w:p>
    <w:p w:rsidR="008A50F0" w:rsidRPr="00EE2FA1" w:rsidRDefault="00EE2FA1" w:rsidP="00217655">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eastAsia="Calibri" w:hAnsi="Times New Roman" w:cs="Times New Roman"/>
          <w:sz w:val="28"/>
          <w:szCs w:val="28"/>
          <w:lang w:val="es-ES_tradnl" w:eastAsia="es-ES"/>
        </w:rPr>
        <w:t xml:space="preserve">De igual manera, </w:t>
      </w:r>
      <w:r w:rsidRPr="00EE2FA1">
        <w:rPr>
          <w:rFonts w:ascii="Times New Roman" w:hAnsi="Times New Roman" w:cs="Times New Roman"/>
          <w:sz w:val="28"/>
          <w:szCs w:val="28"/>
          <w:shd w:val="clear" w:color="auto" w:fill="FFFFFF"/>
        </w:rPr>
        <w:t xml:space="preserve">encontró que </w:t>
      </w:r>
    </w:p>
    <w:p w:rsidR="008A50F0" w:rsidRPr="00EE2FA1" w:rsidRDefault="00EE2FA1" w:rsidP="008A50F0">
      <w:pPr>
        <w:pStyle w:val="Prrafodelista"/>
        <w:rPr>
          <w:rFonts w:ascii="Times New Roman" w:hAnsi="Times New Roman" w:cs="Times New Roman"/>
          <w:sz w:val="28"/>
          <w:szCs w:val="28"/>
          <w:shd w:val="clear" w:color="auto" w:fill="FFFFFF"/>
        </w:rPr>
      </w:pPr>
    </w:p>
    <w:p w:rsidR="000E7427" w:rsidRPr="00EE2FA1" w:rsidRDefault="00EE2FA1" w:rsidP="008A50F0">
      <w:pPr>
        <w:pStyle w:val="Prrafodelista"/>
        <w:spacing w:line="0" w:lineRule="atLeast"/>
        <w:ind w:left="567"/>
        <w:jc w:val="both"/>
        <w:rPr>
          <w:rFonts w:ascii="Times New Roman" w:eastAsia="Calibri" w:hAnsi="Times New Roman" w:cs="Times New Roman"/>
          <w:sz w:val="28"/>
          <w:lang w:val="es-ES_tradnl" w:eastAsia="es-ES"/>
        </w:rPr>
      </w:pPr>
      <w:r w:rsidRPr="00EE2FA1">
        <w:rPr>
          <w:rFonts w:ascii="Times New Roman" w:hAnsi="Times New Roman" w:cs="Times New Roman"/>
          <w:sz w:val="28"/>
          <w:shd w:val="clear" w:color="auto" w:fill="FFFFFF"/>
        </w:rPr>
        <w:t xml:space="preserve">“las actitudes reticentes de los congresistas en el curso de los debates y las constancias posteriores a la conclusión del mismo y a la votación del proyecto, </w:t>
      </w:r>
      <w:r w:rsidRPr="00EE2FA1">
        <w:rPr>
          <w:rFonts w:ascii="Times New Roman" w:hAnsi="Times New Roman" w:cs="Times New Roman"/>
          <w:sz w:val="28"/>
          <w:shd w:val="clear" w:color="auto" w:fill="FFFFFF"/>
        </w:rPr>
        <w:t xml:space="preserve">constituyen comportamientos contrarios al citado deber de diligencia, que no pueden invalidarla expresión legítima de la voluntad democrática y concluyó que en el caso sometido a su consideración no había vicio de procedimiento atribuible a la ausencia de </w:t>
      </w:r>
      <w:r w:rsidRPr="00EE2FA1">
        <w:rPr>
          <w:rFonts w:ascii="Times New Roman" w:hAnsi="Times New Roman" w:cs="Times New Roman"/>
          <w:sz w:val="28"/>
          <w:shd w:val="clear" w:color="auto" w:fill="FFFFFF"/>
        </w:rPr>
        <w:t>trámite de unas proposiciones, porque quienes las presentaron, a pesar de haber tenido una participación activa en el debate legislativo</w:t>
      </w:r>
      <w:r w:rsidRPr="00EE2FA1">
        <w:rPr>
          <w:rStyle w:val="apple-converted-space"/>
          <w:rFonts w:ascii="Times New Roman" w:hAnsi="Times New Roman" w:cs="Times New Roman"/>
          <w:sz w:val="28"/>
          <w:shd w:val="clear" w:color="auto" w:fill="FFFFFF"/>
        </w:rPr>
        <w:t> </w:t>
      </w:r>
      <w:r w:rsidRPr="00EE2FA1">
        <w:rPr>
          <w:rFonts w:ascii="Times New Roman" w:hAnsi="Times New Roman" w:cs="Times New Roman"/>
          <w:sz w:val="28"/>
        </w:rPr>
        <w:t>‘(…)  en ningún momento plantearon una moción de orden para someter a discusión y votación sus proposiciones, optando p</w:t>
      </w:r>
      <w:r w:rsidRPr="00EE2FA1">
        <w:rPr>
          <w:rFonts w:ascii="Times New Roman" w:hAnsi="Times New Roman" w:cs="Times New Roman"/>
          <w:sz w:val="28"/>
        </w:rPr>
        <w:t>or guardar silencio en contravención al deber que les incumbía de acudir a los diversos mecanismos legales para hacer valer sus derechos parlamentarios ante la Comisión respectiva.’”</w:t>
      </w:r>
      <w:r w:rsidRPr="00EE2FA1">
        <w:rPr>
          <w:rStyle w:val="Refdenotaalpie"/>
          <w:rFonts w:ascii="Times New Roman" w:hAnsi="Times New Roman" w:cs="Times New Roman"/>
          <w:sz w:val="28"/>
        </w:rPr>
        <w:footnoteReference w:id="141"/>
      </w:r>
    </w:p>
    <w:p w:rsidR="00217655" w:rsidRPr="00EE2FA1" w:rsidRDefault="00EE2FA1" w:rsidP="00217655">
      <w:pPr>
        <w:pStyle w:val="Prrafodelista"/>
        <w:tabs>
          <w:tab w:val="left" w:pos="426"/>
        </w:tabs>
        <w:spacing w:line="0" w:lineRule="atLeast"/>
        <w:ind w:left="0"/>
        <w:jc w:val="both"/>
        <w:rPr>
          <w:rFonts w:ascii="Times New Roman" w:eastAsia="Calibri" w:hAnsi="Times New Roman" w:cs="Times New Roman"/>
          <w:sz w:val="28"/>
          <w:szCs w:val="28"/>
          <w:lang w:val="es-ES_tradnl" w:eastAsia="es-ES"/>
        </w:rPr>
      </w:pPr>
    </w:p>
    <w:p w:rsidR="00217655" w:rsidRPr="00EE2FA1" w:rsidRDefault="00EE2FA1" w:rsidP="00217655">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eastAsia="Calibri" w:hAnsi="Times New Roman" w:cs="Times New Roman"/>
          <w:sz w:val="28"/>
          <w:szCs w:val="28"/>
          <w:lang w:val="es-ES_tradnl" w:eastAsia="es-ES"/>
        </w:rPr>
        <w:t xml:space="preserve">La Corte </w:t>
      </w:r>
      <w:r w:rsidRPr="00EE2FA1">
        <w:rPr>
          <w:rFonts w:ascii="Times New Roman" w:eastAsia="Calibri" w:hAnsi="Times New Roman" w:cs="Times New Roman"/>
          <w:sz w:val="28"/>
          <w:szCs w:val="28"/>
          <w:lang w:val="es-ES_tradnl" w:eastAsia="es-ES"/>
        </w:rPr>
        <w:t xml:space="preserve">Constitucional </w:t>
      </w:r>
      <w:r w:rsidRPr="00EE2FA1">
        <w:rPr>
          <w:rFonts w:ascii="Times New Roman" w:eastAsia="Calibri" w:hAnsi="Times New Roman" w:cs="Times New Roman"/>
          <w:sz w:val="28"/>
          <w:szCs w:val="28"/>
          <w:lang w:val="es-ES_tradnl" w:eastAsia="es-ES"/>
        </w:rPr>
        <w:t xml:space="preserve">también se ha referido a la posibilidad de que </w:t>
      </w:r>
      <w:r w:rsidRPr="00EE2FA1">
        <w:rPr>
          <w:rFonts w:ascii="Times New Roman" w:eastAsia="Calibri" w:hAnsi="Times New Roman" w:cs="Times New Roman"/>
          <w:sz w:val="28"/>
          <w:szCs w:val="28"/>
          <w:lang w:val="es-ES_tradnl" w:eastAsia="es-ES"/>
        </w:rPr>
        <w:t xml:space="preserve">el retiro de proposiciones obre aún sin intervención de los autores. En este sentido, la Sentencia C-080 de 2018 avaló que algunas proposiciones presentadas por congresistas que estaban ausentes </w:t>
      </w:r>
      <w:r w:rsidRPr="00EE2FA1">
        <w:rPr>
          <w:rFonts w:ascii="Times New Roman" w:eastAsia="Calibri" w:hAnsi="Times New Roman" w:cs="Times New Roman"/>
          <w:sz w:val="28"/>
          <w:szCs w:val="28"/>
          <w:lang w:val="es-ES_tradnl" w:eastAsia="es-ES"/>
        </w:rPr>
        <w:t xml:space="preserve">hubieran </w:t>
      </w:r>
      <w:r w:rsidRPr="00EE2FA1">
        <w:rPr>
          <w:rFonts w:ascii="Times New Roman" w:eastAsia="Calibri" w:hAnsi="Times New Roman" w:cs="Times New Roman"/>
          <w:sz w:val="28"/>
          <w:szCs w:val="28"/>
          <w:lang w:val="es-ES_tradnl" w:eastAsia="es-ES"/>
        </w:rPr>
        <w:t>sido dejadas como constancias por decisión del presi</w:t>
      </w:r>
      <w:r w:rsidRPr="00EE2FA1">
        <w:rPr>
          <w:rFonts w:ascii="Times New Roman" w:eastAsia="Calibri" w:hAnsi="Times New Roman" w:cs="Times New Roman"/>
          <w:sz w:val="28"/>
          <w:szCs w:val="28"/>
          <w:lang w:val="es-ES_tradnl" w:eastAsia="es-ES"/>
        </w:rPr>
        <w:t xml:space="preserve">dente de la respectiva corporación. Lo anterior, justificado nuevamente en el deber de diligencia </w:t>
      </w:r>
      <w:r w:rsidRPr="00EE2FA1">
        <w:rPr>
          <w:rFonts w:ascii="Times New Roman" w:hAnsi="Times New Roman" w:cs="Times New Roman"/>
          <w:sz w:val="28"/>
          <w:szCs w:val="28"/>
          <w:shd w:val="clear" w:color="auto" w:fill="FFFFFF"/>
        </w:rPr>
        <w:t xml:space="preserve">mínima de los congresistas de asistir a los debates. De hecho, la Corte agregó que, a falta de esta diligencia del autor de la proposición, </w:t>
      </w:r>
      <w:r w:rsidRPr="00EE2FA1">
        <w:rPr>
          <w:rFonts w:ascii="Times New Roman" w:hAnsi="Times New Roman" w:cs="Times New Roman"/>
          <w:sz w:val="28"/>
          <w:szCs w:val="28"/>
          <w:shd w:val="clear" w:color="auto" w:fill="FFFFFF"/>
        </w:rPr>
        <w:t xml:space="preserve">correspondería a </w:t>
      </w:r>
      <w:r w:rsidRPr="00EE2FA1">
        <w:rPr>
          <w:rFonts w:ascii="Times New Roman" w:hAnsi="Times New Roman" w:cs="Times New Roman"/>
          <w:sz w:val="28"/>
          <w:szCs w:val="28"/>
          <w:shd w:val="clear" w:color="auto" w:fill="FFFFFF"/>
        </w:rPr>
        <w:t>“los otros parlamentarios que hacen parte de sus partidos y movimientos políticos de asumir como propias las referidas proposiciones ante la ausencia de sus compañeros de bancada”</w:t>
      </w:r>
      <w:r w:rsidRPr="00EE2FA1">
        <w:rPr>
          <w:rStyle w:val="Refdenotaalpie"/>
          <w:rFonts w:ascii="Times New Roman" w:hAnsi="Times New Roman" w:cs="Times New Roman"/>
          <w:sz w:val="28"/>
          <w:szCs w:val="28"/>
          <w:shd w:val="clear" w:color="auto" w:fill="FFFFFF"/>
        </w:rPr>
        <w:footnoteReference w:id="142"/>
      </w:r>
      <w:r w:rsidRPr="00EE2FA1">
        <w:rPr>
          <w:rFonts w:ascii="Times New Roman" w:hAnsi="Times New Roman" w:cs="Times New Roman"/>
          <w:sz w:val="28"/>
          <w:szCs w:val="28"/>
          <w:shd w:val="clear" w:color="auto" w:fill="FFFFFF"/>
        </w:rPr>
        <w:t>.</w:t>
      </w:r>
    </w:p>
    <w:p w:rsidR="003919D4" w:rsidRPr="00EE2FA1" w:rsidRDefault="00EE2FA1" w:rsidP="003919D4">
      <w:pPr>
        <w:pStyle w:val="Prrafodelista"/>
        <w:tabs>
          <w:tab w:val="left" w:pos="426"/>
        </w:tabs>
        <w:spacing w:line="0" w:lineRule="atLeast"/>
        <w:ind w:left="0"/>
        <w:jc w:val="both"/>
        <w:rPr>
          <w:rFonts w:ascii="Times New Roman" w:eastAsia="Calibri" w:hAnsi="Times New Roman" w:cs="Times New Roman"/>
          <w:sz w:val="28"/>
          <w:szCs w:val="28"/>
          <w:lang w:val="es-ES_tradnl" w:eastAsia="es-ES"/>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eastAsia="Calibri" w:hAnsi="Times New Roman" w:cs="Times New Roman"/>
          <w:sz w:val="28"/>
          <w:szCs w:val="28"/>
          <w:lang w:val="es-ES_tradnl" w:eastAsia="es-ES"/>
        </w:rPr>
      </w:pPr>
      <w:r w:rsidRPr="00EE2FA1">
        <w:rPr>
          <w:rFonts w:ascii="Times New Roman" w:eastAsia="Calibri" w:hAnsi="Times New Roman" w:cs="Times New Roman"/>
          <w:sz w:val="28"/>
          <w:szCs w:val="28"/>
          <w:lang w:val="es-ES_tradnl" w:eastAsia="es-ES"/>
        </w:rPr>
        <w:t>De esta manera, la</w:t>
      </w:r>
      <w:r w:rsidRPr="00EE2FA1">
        <w:rPr>
          <w:rFonts w:ascii="Times New Roman" w:hAnsi="Times New Roman" w:cs="Times New Roman"/>
          <w:sz w:val="28"/>
          <w:szCs w:val="28"/>
        </w:rPr>
        <w:t xml:space="preserve"> Corte Constitucional ha sostenido que </w:t>
      </w:r>
      <w:r w:rsidRPr="00EE2FA1">
        <w:rPr>
          <w:rFonts w:ascii="Times New Roman" w:hAnsi="Times New Roman" w:cs="Times New Roman"/>
          <w:bCs/>
          <w:sz w:val="28"/>
          <w:szCs w:val="28"/>
        </w:rPr>
        <w:t>no concurre un v</w:t>
      </w:r>
      <w:r w:rsidRPr="00EE2FA1">
        <w:rPr>
          <w:rFonts w:ascii="Times New Roman" w:hAnsi="Times New Roman" w:cs="Times New Roman"/>
          <w:bCs/>
          <w:sz w:val="28"/>
          <w:szCs w:val="28"/>
        </w:rPr>
        <w:t xml:space="preserve">icio de procedimiento cuando su causa </w:t>
      </w:r>
      <w:r w:rsidRPr="00EE2FA1">
        <w:rPr>
          <w:rFonts w:ascii="Times New Roman" w:hAnsi="Times New Roman" w:cs="Times New Roman"/>
          <w:bCs/>
          <w:sz w:val="28"/>
          <w:szCs w:val="28"/>
        </w:rPr>
        <w:t xml:space="preserve">compromete </w:t>
      </w:r>
      <w:r w:rsidRPr="00EE2FA1">
        <w:rPr>
          <w:rFonts w:ascii="Times New Roman" w:hAnsi="Times New Roman" w:cs="Times New Roman"/>
          <w:bCs/>
          <w:sz w:val="28"/>
          <w:szCs w:val="28"/>
        </w:rPr>
        <w:t>la negligencia de quien, pudiendo actuar de manera compatible con las reglas del trámite, se abstiene voluntariamente de hacerlo</w:t>
      </w:r>
      <w:r w:rsidRPr="00EE2FA1">
        <w:rPr>
          <w:rStyle w:val="Refdenotaalpie"/>
          <w:rFonts w:ascii="Times New Roman" w:hAnsi="Times New Roman" w:cs="Times New Roman"/>
          <w:bCs/>
          <w:sz w:val="28"/>
          <w:szCs w:val="28"/>
        </w:rPr>
        <w:footnoteReference w:id="143"/>
      </w:r>
      <w:r w:rsidRPr="00EE2FA1">
        <w:rPr>
          <w:rFonts w:ascii="Times New Roman" w:hAnsi="Times New Roman" w:cs="Times New Roman"/>
          <w:sz w:val="28"/>
          <w:szCs w:val="28"/>
        </w:rPr>
        <w:t xml:space="preserve">. Al respecto, en la medida en que </w:t>
      </w:r>
      <w:r w:rsidRPr="00EE2FA1">
        <w:rPr>
          <w:rFonts w:ascii="Times New Roman" w:hAnsi="Times New Roman" w:cs="Times New Roman"/>
          <w:sz w:val="28"/>
          <w:szCs w:val="28"/>
        </w:rPr>
        <w:t>quienes participan</w:t>
      </w:r>
      <w:r w:rsidRPr="00EE2FA1">
        <w:rPr>
          <w:rFonts w:ascii="Times New Roman" w:hAnsi="Times New Roman" w:cs="Times New Roman"/>
          <w:sz w:val="28"/>
          <w:szCs w:val="28"/>
        </w:rPr>
        <w:t xml:space="preserve"> en el trámite legislativ</w:t>
      </w:r>
      <w:r w:rsidRPr="00EE2FA1">
        <w:rPr>
          <w:rFonts w:ascii="Times New Roman" w:hAnsi="Times New Roman" w:cs="Times New Roman"/>
          <w:sz w:val="28"/>
          <w:szCs w:val="28"/>
        </w:rPr>
        <w:t xml:space="preserve">o tienen definidos sus deberes en precisas normas constitucionales y orgánicas, su deber de diligencia </w:t>
      </w:r>
      <w:r w:rsidRPr="00EE2FA1">
        <w:rPr>
          <w:rFonts w:ascii="Times New Roman" w:hAnsi="Times New Roman" w:cs="Times New Roman"/>
          <w:sz w:val="28"/>
          <w:szCs w:val="28"/>
        </w:rPr>
        <w:t xml:space="preserve">para </w:t>
      </w:r>
      <w:r w:rsidRPr="00EE2FA1">
        <w:rPr>
          <w:rFonts w:ascii="Times New Roman" w:hAnsi="Times New Roman" w:cs="Times New Roman"/>
          <w:sz w:val="28"/>
          <w:szCs w:val="28"/>
        </w:rPr>
        <w:t xml:space="preserve">su cumplimiento es de carácter cualificado. En virtud de esta regla, </w:t>
      </w:r>
      <w:r w:rsidRPr="00EE2FA1">
        <w:rPr>
          <w:rFonts w:ascii="Times New Roman" w:hAnsi="Times New Roman" w:cs="Times New Roman"/>
          <w:iCs/>
          <w:sz w:val="28"/>
          <w:szCs w:val="28"/>
        </w:rPr>
        <w:t>la Corte ha señalado que no existe vicio de procedimiento con aptitud para prov</w:t>
      </w:r>
      <w:r w:rsidRPr="00EE2FA1">
        <w:rPr>
          <w:rFonts w:ascii="Times New Roman" w:hAnsi="Times New Roman" w:cs="Times New Roman"/>
          <w:iCs/>
          <w:sz w:val="28"/>
          <w:szCs w:val="28"/>
        </w:rPr>
        <w:t>ocar la declaratoria de inexequibilidad de una norma, cuando no se tramita una proposición, si quien la presentó no puso la diligencia necesaria para impulsar su consideración y la decisión en torno a la misma. Por consiguiente, se ha considerado que las a</w:t>
      </w:r>
      <w:r w:rsidRPr="00EE2FA1">
        <w:rPr>
          <w:rFonts w:ascii="Times New Roman" w:hAnsi="Times New Roman" w:cs="Times New Roman"/>
          <w:iCs/>
          <w:sz w:val="28"/>
          <w:szCs w:val="28"/>
        </w:rPr>
        <w:t>ctitudes reticentes de los congresistas en el curso de los debates y las constancias posteriores a la conclusión de este y a la votación del proyecto, constituyen comportamientos contrarios al citado deber de diligencia, que no pueden invalidar la expresió</w:t>
      </w:r>
      <w:r w:rsidRPr="00EE2FA1">
        <w:rPr>
          <w:rFonts w:ascii="Times New Roman" w:hAnsi="Times New Roman" w:cs="Times New Roman"/>
          <w:iCs/>
          <w:sz w:val="28"/>
          <w:szCs w:val="28"/>
        </w:rPr>
        <w:t>n legítima de la voluntad democrática</w:t>
      </w:r>
      <w:r w:rsidRPr="00EE2FA1">
        <w:rPr>
          <w:rStyle w:val="Refdenotaalpie"/>
          <w:rFonts w:ascii="Times New Roman" w:hAnsi="Times New Roman" w:cs="Times New Roman"/>
          <w:sz w:val="28"/>
          <w:szCs w:val="28"/>
        </w:rPr>
        <w:footnoteReference w:id="144"/>
      </w:r>
      <w:r w:rsidRPr="00EE2FA1">
        <w:rPr>
          <w:rFonts w:ascii="Times New Roman" w:hAnsi="Times New Roman" w:cs="Times New Roman"/>
          <w:iCs/>
          <w:sz w:val="28"/>
          <w:szCs w:val="28"/>
        </w:rPr>
        <w:t>.</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i/>
          <w:sz w:val="28"/>
          <w:szCs w:val="28"/>
        </w:rPr>
      </w:pPr>
      <w:r w:rsidRPr="00EE2FA1">
        <w:rPr>
          <w:rFonts w:ascii="Times New Roman" w:hAnsi="Times New Roman" w:cs="Times New Roman"/>
          <w:iCs/>
          <w:sz w:val="28"/>
          <w:szCs w:val="28"/>
        </w:rPr>
        <w:t>Por ejemplo, la Sentencia C-1040 de 2005</w:t>
      </w:r>
      <w:r w:rsidRPr="00EE2FA1">
        <w:rPr>
          <w:rStyle w:val="Refdenotaalpie"/>
          <w:rFonts w:ascii="Times New Roman" w:hAnsi="Times New Roman" w:cs="Times New Roman"/>
          <w:iCs/>
          <w:sz w:val="28"/>
          <w:szCs w:val="28"/>
        </w:rPr>
        <w:footnoteReference w:id="145"/>
      </w:r>
      <w:r w:rsidRPr="00EE2FA1">
        <w:rPr>
          <w:rFonts w:ascii="Times New Roman" w:hAnsi="Times New Roman" w:cs="Times New Roman"/>
          <w:iCs/>
          <w:sz w:val="28"/>
          <w:szCs w:val="28"/>
        </w:rPr>
        <w:t xml:space="preserve"> analizó una demanda de inconstitucionalidad contra el Acto Legislativo n.° 02 de 2004 por vicios competenciales y de procedimiento. En lo que se refiere a estos últimos, la demandante sostuvo que no se tramitaron algunas proposiciones presentadas por algu</w:t>
      </w:r>
      <w:r w:rsidRPr="00EE2FA1">
        <w:rPr>
          <w:rFonts w:ascii="Times New Roman" w:hAnsi="Times New Roman" w:cs="Times New Roman"/>
          <w:iCs/>
          <w:sz w:val="28"/>
          <w:szCs w:val="28"/>
        </w:rPr>
        <w:t xml:space="preserve">nos senadores en el primer debate en la Comisión Primera del Senado. Incluso, destacó que los autores de las proposiciones dejaron constancias al finalizar el debate </w:t>
      </w:r>
      <w:r w:rsidRPr="00EE2FA1">
        <w:rPr>
          <w:rFonts w:ascii="Times New Roman" w:hAnsi="Times New Roman" w:cs="Times New Roman"/>
          <w:iCs/>
          <w:sz w:val="28"/>
          <w:szCs w:val="28"/>
        </w:rPr>
        <w:t xml:space="preserve">en cuanto </w:t>
      </w:r>
      <w:r w:rsidRPr="00EE2FA1">
        <w:rPr>
          <w:rFonts w:ascii="Times New Roman" w:hAnsi="Times New Roman" w:cs="Times New Roman"/>
          <w:iCs/>
          <w:sz w:val="28"/>
          <w:szCs w:val="28"/>
        </w:rPr>
        <w:t xml:space="preserve">que sus proposiciones no fueron consideradas. </w:t>
      </w:r>
    </w:p>
    <w:p w:rsidR="003919D4" w:rsidRPr="00EE2FA1" w:rsidRDefault="00EE2FA1" w:rsidP="003919D4">
      <w:pPr>
        <w:pStyle w:val="Prrafodelista"/>
        <w:spacing w:line="0" w:lineRule="atLeast"/>
        <w:ind w:left="0"/>
        <w:jc w:val="both"/>
        <w:rPr>
          <w:rFonts w:ascii="Times New Roman" w:hAnsi="Times New Roman" w:cs="Times New Roman"/>
          <w:iCs/>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i/>
          <w:sz w:val="28"/>
          <w:szCs w:val="28"/>
        </w:rPr>
      </w:pPr>
      <w:r w:rsidRPr="00EE2FA1">
        <w:rPr>
          <w:rFonts w:ascii="Times New Roman" w:hAnsi="Times New Roman" w:cs="Times New Roman"/>
          <w:iCs/>
          <w:sz w:val="28"/>
          <w:szCs w:val="28"/>
        </w:rPr>
        <w:t xml:space="preserve">Esta </w:t>
      </w:r>
      <w:r w:rsidRPr="00EE2FA1">
        <w:rPr>
          <w:rFonts w:ascii="Times New Roman" w:hAnsi="Times New Roman" w:cs="Times New Roman"/>
          <w:iCs/>
          <w:sz w:val="28"/>
          <w:szCs w:val="28"/>
        </w:rPr>
        <w:t xml:space="preserve">Corte recordó que el </w:t>
      </w:r>
      <w:r w:rsidRPr="00EE2FA1">
        <w:rPr>
          <w:rFonts w:ascii="Times New Roman" w:hAnsi="Times New Roman" w:cs="Times New Roman"/>
          <w:iCs/>
          <w:sz w:val="28"/>
          <w:szCs w:val="28"/>
        </w:rPr>
        <w:t>Reglamento del Congreso reconoce el derecho de los congresistas a formular proposiciones y a que estas se sometan a consideración de la comisión o plenaria respectiva</w:t>
      </w:r>
      <w:r w:rsidRPr="00EE2FA1">
        <w:rPr>
          <w:rStyle w:val="Refdenotaalpie"/>
          <w:rFonts w:ascii="Times New Roman" w:hAnsi="Times New Roman" w:cs="Times New Roman"/>
          <w:iCs/>
          <w:sz w:val="28"/>
          <w:szCs w:val="28"/>
        </w:rPr>
        <w:footnoteReference w:id="146"/>
      </w:r>
      <w:r w:rsidRPr="00EE2FA1">
        <w:rPr>
          <w:rFonts w:ascii="Times New Roman" w:hAnsi="Times New Roman" w:cs="Times New Roman"/>
          <w:iCs/>
          <w:sz w:val="28"/>
          <w:szCs w:val="28"/>
        </w:rPr>
        <w:t xml:space="preserve">. No obstante, precisó dos reglas al respecto. Por una parte,  </w:t>
      </w:r>
      <w:r w:rsidRPr="00EE2FA1">
        <w:rPr>
          <w:rFonts w:ascii="Times New Roman" w:hAnsi="Times New Roman" w:cs="Times New Roman"/>
          <w:iCs/>
          <w:sz w:val="28"/>
          <w:szCs w:val="28"/>
        </w:rPr>
        <w:t xml:space="preserve">ello </w:t>
      </w:r>
      <w:r w:rsidRPr="00EE2FA1">
        <w:rPr>
          <w:rFonts w:ascii="Times New Roman" w:hAnsi="Times New Roman" w:cs="Times New Roman"/>
          <w:iCs/>
          <w:sz w:val="28"/>
          <w:szCs w:val="28"/>
        </w:rPr>
        <w:t>no significa que la s</w:t>
      </w:r>
      <w:r w:rsidRPr="00EE2FA1">
        <w:rPr>
          <w:rFonts w:ascii="Times New Roman" w:hAnsi="Times New Roman" w:cs="Times New Roman"/>
          <w:iCs/>
          <w:sz w:val="28"/>
          <w:szCs w:val="28"/>
        </w:rPr>
        <w:t xml:space="preserve">ola presentación de una proposición exima a su autor de su deber de diligencia que se manifiesta en la obligación de explicar su contenido y de solicitar, antes de la culminación y votación del proyecto, su sometimiento a discusión y decisión mediante una </w:t>
      </w:r>
      <w:r w:rsidRPr="00EE2FA1">
        <w:rPr>
          <w:rFonts w:ascii="Times New Roman" w:hAnsi="Times New Roman" w:cs="Times New Roman"/>
          <w:iCs/>
          <w:sz w:val="28"/>
          <w:szCs w:val="28"/>
        </w:rPr>
        <w:t>moción de orden</w:t>
      </w:r>
      <w:r w:rsidRPr="00EE2FA1">
        <w:rPr>
          <w:rStyle w:val="Refdenotaalpie"/>
          <w:rFonts w:ascii="Times New Roman" w:hAnsi="Times New Roman" w:cs="Times New Roman"/>
          <w:iCs/>
          <w:sz w:val="28"/>
          <w:szCs w:val="28"/>
        </w:rPr>
        <w:footnoteReference w:id="147"/>
      </w:r>
      <w:r w:rsidRPr="00EE2FA1">
        <w:rPr>
          <w:rFonts w:ascii="Times New Roman" w:hAnsi="Times New Roman" w:cs="Times New Roman"/>
          <w:iCs/>
          <w:sz w:val="28"/>
          <w:szCs w:val="28"/>
        </w:rPr>
        <w:t xml:space="preserve">. Adicionalmente, dicha providencia planteó que la abstención de los congresistas de promover la moción de orden para que se </w:t>
      </w:r>
      <w:r w:rsidRPr="00EE2FA1">
        <w:rPr>
          <w:rFonts w:ascii="Times New Roman" w:hAnsi="Times New Roman" w:cs="Times New Roman"/>
          <w:iCs/>
          <w:sz w:val="28"/>
          <w:szCs w:val="28"/>
        </w:rPr>
        <w:t>discutían</w:t>
      </w:r>
      <w:r w:rsidRPr="00EE2FA1">
        <w:rPr>
          <w:rFonts w:ascii="Times New Roman" w:hAnsi="Times New Roman" w:cs="Times New Roman"/>
          <w:iCs/>
          <w:sz w:val="28"/>
          <w:szCs w:val="28"/>
        </w:rPr>
        <w:t xml:space="preserve"> y </w:t>
      </w:r>
      <w:r w:rsidRPr="00EE2FA1">
        <w:rPr>
          <w:rFonts w:ascii="Times New Roman" w:hAnsi="Times New Roman" w:cs="Times New Roman"/>
          <w:iCs/>
          <w:sz w:val="28"/>
          <w:szCs w:val="28"/>
        </w:rPr>
        <w:t xml:space="preserve">voten </w:t>
      </w:r>
      <w:r w:rsidRPr="00EE2FA1">
        <w:rPr>
          <w:rFonts w:ascii="Times New Roman" w:hAnsi="Times New Roman" w:cs="Times New Roman"/>
          <w:iCs/>
          <w:sz w:val="28"/>
          <w:szCs w:val="28"/>
        </w:rPr>
        <w:t>las proposiciones “</w:t>
      </w:r>
      <w:r w:rsidRPr="00EE2FA1">
        <w:rPr>
          <w:rFonts w:ascii="Times New Roman" w:hAnsi="Times New Roman" w:cs="Times New Roman"/>
          <w:sz w:val="28"/>
          <w:szCs w:val="28"/>
          <w:shd w:val="clear" w:color="auto" w:fill="FFFFFF"/>
        </w:rPr>
        <w:t>equivale a un desistimiento o renuncia de las propuestas, que no tiene entidad</w:t>
      </w:r>
      <w:r w:rsidRPr="00EE2FA1">
        <w:rPr>
          <w:rFonts w:ascii="Times New Roman" w:hAnsi="Times New Roman" w:cs="Times New Roman"/>
          <w:sz w:val="28"/>
          <w:szCs w:val="28"/>
          <w:shd w:val="clear" w:color="auto" w:fill="FFFFFF"/>
        </w:rPr>
        <w:t xml:space="preserve"> alguna para afectar la validez del trabajo legislativo”</w:t>
      </w:r>
      <w:r w:rsidRPr="00EE2FA1">
        <w:rPr>
          <w:rStyle w:val="Refdenotaalpie"/>
          <w:rFonts w:ascii="Times New Roman" w:hAnsi="Times New Roman" w:cs="Times New Roman"/>
          <w:sz w:val="28"/>
          <w:szCs w:val="28"/>
          <w:shd w:val="clear" w:color="auto" w:fill="FFFFFF"/>
        </w:rPr>
        <w:footnoteReference w:id="148"/>
      </w:r>
      <w:r w:rsidRPr="00EE2FA1">
        <w:rPr>
          <w:rFonts w:ascii="Times New Roman" w:hAnsi="Times New Roman" w:cs="Times New Roman"/>
          <w:sz w:val="28"/>
          <w:szCs w:val="28"/>
          <w:shd w:val="clear" w:color="auto" w:fill="FFFFFF"/>
        </w:rPr>
        <w:t>.</w:t>
      </w:r>
    </w:p>
    <w:p w:rsidR="003919D4" w:rsidRPr="00EE2FA1" w:rsidRDefault="00EE2FA1" w:rsidP="003919D4">
      <w:pPr>
        <w:pStyle w:val="Prrafodelista"/>
        <w:spacing w:line="0" w:lineRule="atLeast"/>
        <w:ind w:left="0"/>
        <w:jc w:val="both"/>
        <w:rPr>
          <w:rFonts w:ascii="Times New Roman" w:hAnsi="Times New Roman" w:cs="Times New Roman"/>
          <w:iCs/>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i/>
          <w:sz w:val="28"/>
          <w:szCs w:val="28"/>
        </w:rPr>
      </w:pPr>
      <w:r w:rsidRPr="00EE2FA1">
        <w:rPr>
          <w:rFonts w:ascii="Times New Roman" w:hAnsi="Times New Roman" w:cs="Times New Roman"/>
          <w:iCs/>
          <w:sz w:val="28"/>
          <w:szCs w:val="28"/>
        </w:rPr>
        <w:t>Al analizar el trámite de las proposiciones presuntamente omitidas</w:t>
      </w:r>
      <w:r w:rsidRPr="00EE2FA1">
        <w:rPr>
          <w:rFonts w:ascii="Times New Roman" w:hAnsi="Times New Roman" w:cs="Times New Roman"/>
          <w:iCs/>
          <w:sz w:val="28"/>
          <w:szCs w:val="28"/>
        </w:rPr>
        <w:t xml:space="preserve"> en aquel caso</w:t>
      </w:r>
      <w:r w:rsidRPr="00EE2FA1">
        <w:rPr>
          <w:rFonts w:ascii="Times New Roman" w:hAnsi="Times New Roman" w:cs="Times New Roman"/>
          <w:iCs/>
          <w:sz w:val="28"/>
          <w:szCs w:val="28"/>
        </w:rPr>
        <w:t>, la corporación concluyó que los congresistas que las formularon no plantearon la correspondiente moción para que s</w:t>
      </w:r>
      <w:r w:rsidRPr="00EE2FA1">
        <w:rPr>
          <w:rFonts w:ascii="Times New Roman" w:hAnsi="Times New Roman" w:cs="Times New Roman"/>
          <w:iCs/>
          <w:sz w:val="28"/>
          <w:szCs w:val="28"/>
        </w:rPr>
        <w:t>e sometieran a discusión y votación. Por lo anterior, estimó que el cargo formulado no estaba llamado a prosperar.</w:t>
      </w:r>
    </w:p>
    <w:p w:rsidR="00BA0978" w:rsidRPr="00EE2FA1" w:rsidRDefault="00EE2FA1" w:rsidP="001850B8">
      <w:pPr>
        <w:pStyle w:val="Prrafodelista"/>
        <w:tabs>
          <w:tab w:val="left" w:pos="426"/>
        </w:tabs>
        <w:spacing w:line="0" w:lineRule="atLeast"/>
        <w:ind w:left="0"/>
        <w:jc w:val="both"/>
        <w:rPr>
          <w:rFonts w:ascii="Times New Roman" w:hAnsi="Times New Roman" w:cs="Times New Roman"/>
          <w:i/>
          <w:sz w:val="28"/>
          <w:szCs w:val="28"/>
        </w:rPr>
      </w:pPr>
    </w:p>
    <w:p w:rsidR="000C7349" w:rsidRPr="00EE2FA1" w:rsidRDefault="00EE2FA1" w:rsidP="000C7349">
      <w:pPr>
        <w:pStyle w:val="Prrafodelista"/>
        <w:numPr>
          <w:ilvl w:val="0"/>
          <w:numId w:val="1"/>
        </w:numPr>
        <w:tabs>
          <w:tab w:val="left" w:pos="426"/>
        </w:tabs>
        <w:spacing w:line="0" w:lineRule="atLeast"/>
        <w:ind w:left="0" w:firstLine="0"/>
        <w:jc w:val="both"/>
        <w:rPr>
          <w:rFonts w:ascii="Times New Roman" w:hAnsi="Times New Roman" w:cs="Times New Roman"/>
          <w:i/>
          <w:sz w:val="28"/>
          <w:szCs w:val="28"/>
        </w:rPr>
      </w:pPr>
      <w:r w:rsidRPr="00EE2FA1">
        <w:rPr>
          <w:rFonts w:ascii="Times New Roman" w:hAnsi="Times New Roman" w:cs="Times New Roman"/>
          <w:iCs/>
          <w:sz w:val="28"/>
          <w:szCs w:val="28"/>
        </w:rPr>
        <w:t>De forma similar ocurrió en la Sentencia C-044 de 2017</w:t>
      </w:r>
      <w:r w:rsidRPr="00EE2FA1">
        <w:rPr>
          <w:rStyle w:val="Refdenotaalpie"/>
          <w:rFonts w:ascii="Times New Roman" w:hAnsi="Times New Roman" w:cs="Times New Roman"/>
          <w:iCs/>
          <w:sz w:val="28"/>
          <w:szCs w:val="28"/>
        </w:rPr>
        <w:footnoteReference w:id="149"/>
      </w:r>
      <w:r w:rsidRPr="00EE2FA1">
        <w:rPr>
          <w:rFonts w:ascii="Times New Roman" w:hAnsi="Times New Roman" w:cs="Times New Roman"/>
          <w:iCs/>
          <w:sz w:val="28"/>
          <w:szCs w:val="28"/>
        </w:rPr>
        <w:t>. Uno de los cargos examinados en esa providencia fue la falta de discusión y aprobac</w:t>
      </w:r>
      <w:r w:rsidRPr="00EE2FA1">
        <w:rPr>
          <w:rFonts w:ascii="Times New Roman" w:hAnsi="Times New Roman" w:cs="Times New Roman"/>
          <w:iCs/>
          <w:sz w:val="28"/>
          <w:szCs w:val="28"/>
        </w:rPr>
        <w:t>ión de una proposición a un artículo del proyecto de ley del plan nacional de desarrollo 2014-2018. Al respecto, la Corte encontró que, en efecto, la proposición presentada por un senador de la República no fue leída, ni discutida en ningún momento del trá</w:t>
      </w:r>
      <w:r w:rsidRPr="00EE2FA1">
        <w:rPr>
          <w:rFonts w:ascii="Times New Roman" w:hAnsi="Times New Roman" w:cs="Times New Roman"/>
          <w:iCs/>
          <w:sz w:val="28"/>
          <w:szCs w:val="28"/>
        </w:rPr>
        <w:t>mite legislativo. No obstante, enfatizó en que “el congresista no desplegó un mínimo de diligencia, y no intervino, ni presentó una moción específicamente destinada a exigir la discusión de la Proposición 148, situación en la que, de acuerdo con las subreg</w:t>
      </w:r>
      <w:r w:rsidRPr="00EE2FA1">
        <w:rPr>
          <w:rFonts w:ascii="Times New Roman" w:hAnsi="Times New Roman" w:cs="Times New Roman"/>
          <w:iCs/>
          <w:sz w:val="28"/>
          <w:szCs w:val="28"/>
        </w:rPr>
        <w:t>las establecidas por la jurisprudencia constitucional y reiteradas en los fundamentos normativos de esta providencia, debe concluirse que la irregularidad no tiene la fuerza necesaria para provocar la invalidación de la norma”</w:t>
      </w:r>
      <w:r w:rsidRPr="00EE2FA1">
        <w:rPr>
          <w:rStyle w:val="Refdenotaalpie"/>
          <w:rFonts w:ascii="Times New Roman" w:hAnsi="Times New Roman" w:cs="Times New Roman"/>
          <w:iCs/>
          <w:sz w:val="28"/>
          <w:szCs w:val="28"/>
        </w:rPr>
        <w:footnoteReference w:id="150"/>
      </w:r>
      <w:r w:rsidRPr="00EE2FA1">
        <w:rPr>
          <w:rFonts w:ascii="Times New Roman" w:hAnsi="Times New Roman" w:cs="Times New Roman"/>
          <w:iCs/>
          <w:sz w:val="28"/>
          <w:szCs w:val="28"/>
        </w:rPr>
        <w:t>. Es decir, aunque la Corte c</w:t>
      </w:r>
      <w:r w:rsidRPr="00EE2FA1">
        <w:rPr>
          <w:rFonts w:ascii="Times New Roman" w:hAnsi="Times New Roman" w:cs="Times New Roman"/>
          <w:iCs/>
          <w:sz w:val="28"/>
          <w:szCs w:val="28"/>
        </w:rPr>
        <w:t>onstató que hubo una irregularidad en el procedimiento, la falta de diligencia por parte del congresista que estaba en capacidad de utilizar los medios reglamentarios para subsanar el defecto impedía que aquella configurara un vicio que afectara la validez</w:t>
      </w:r>
      <w:r w:rsidRPr="00EE2FA1">
        <w:rPr>
          <w:rFonts w:ascii="Times New Roman" w:hAnsi="Times New Roman" w:cs="Times New Roman"/>
          <w:iCs/>
          <w:sz w:val="28"/>
          <w:szCs w:val="28"/>
        </w:rPr>
        <w:t xml:space="preserve"> de la ley.</w:t>
      </w:r>
    </w:p>
    <w:p w:rsidR="000C7349" w:rsidRPr="00EE2FA1" w:rsidRDefault="00EE2FA1" w:rsidP="000C7349">
      <w:pPr>
        <w:pStyle w:val="Prrafodelista"/>
        <w:tabs>
          <w:tab w:val="left" w:pos="426"/>
        </w:tabs>
        <w:spacing w:line="0" w:lineRule="atLeast"/>
        <w:ind w:left="0"/>
        <w:jc w:val="both"/>
        <w:rPr>
          <w:rFonts w:ascii="Times New Roman" w:hAnsi="Times New Roman" w:cs="Times New Roman"/>
          <w:i/>
          <w:sz w:val="28"/>
          <w:szCs w:val="28"/>
        </w:rPr>
      </w:pPr>
    </w:p>
    <w:p w:rsidR="000C7349" w:rsidRPr="00EE2FA1" w:rsidRDefault="00EE2FA1" w:rsidP="000C734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rPr>
      </w:pPr>
      <w:r w:rsidRPr="00EE2FA1">
        <w:rPr>
          <w:rFonts w:ascii="Times New Roman" w:hAnsi="Times New Roman" w:cs="Times New Roman"/>
          <w:iCs/>
          <w:sz w:val="28"/>
          <w:szCs w:val="28"/>
        </w:rPr>
        <w:t xml:space="preserve">La Sala </w:t>
      </w:r>
      <w:r w:rsidRPr="00EE2FA1">
        <w:rPr>
          <w:rFonts w:ascii="Times New Roman" w:hAnsi="Times New Roman" w:cs="Times New Roman"/>
          <w:iCs/>
          <w:sz w:val="28"/>
          <w:szCs w:val="28"/>
        </w:rPr>
        <w:t xml:space="preserve">Plena reitera </w:t>
      </w:r>
      <w:r w:rsidRPr="00EE2FA1">
        <w:rPr>
          <w:rFonts w:ascii="Times New Roman" w:hAnsi="Times New Roman" w:cs="Times New Roman"/>
          <w:iCs/>
          <w:sz w:val="28"/>
          <w:szCs w:val="28"/>
        </w:rPr>
        <w:t>que en el proceso legislativo se requiere que los congresistas actúen con diligencia y responsabilidad al evaluar y votar sobre las propuestas de ley</w:t>
      </w:r>
      <w:r w:rsidRPr="00EE2FA1">
        <w:rPr>
          <w:rFonts w:ascii="Times New Roman" w:hAnsi="Times New Roman" w:cs="Times New Roman"/>
          <w:iCs/>
          <w:sz w:val="28"/>
          <w:szCs w:val="28"/>
        </w:rPr>
        <w:t>,</w:t>
      </w:r>
      <w:r w:rsidRPr="00EE2FA1">
        <w:rPr>
          <w:rFonts w:ascii="Times New Roman" w:hAnsi="Times New Roman" w:cs="Times New Roman"/>
          <w:iCs/>
          <w:sz w:val="28"/>
          <w:szCs w:val="28"/>
        </w:rPr>
        <w:t xml:space="preserve"> </w:t>
      </w:r>
      <w:r w:rsidRPr="00EE2FA1">
        <w:rPr>
          <w:rFonts w:ascii="Times New Roman" w:hAnsi="Times New Roman" w:cs="Times New Roman"/>
          <w:iCs/>
          <w:sz w:val="28"/>
          <w:szCs w:val="28"/>
        </w:rPr>
        <w:t xml:space="preserve">pues </w:t>
      </w:r>
      <w:r w:rsidRPr="00EE2FA1">
        <w:rPr>
          <w:rFonts w:ascii="Times New Roman" w:hAnsi="Times New Roman" w:cs="Times New Roman"/>
          <w:iCs/>
          <w:sz w:val="28"/>
          <w:szCs w:val="28"/>
        </w:rPr>
        <w:t xml:space="preserve">debe quedar claro que esta situación no puede impactar negativamente los derechos de los ciudadanos. </w:t>
      </w:r>
      <w:r w:rsidRPr="00EE2FA1">
        <w:rPr>
          <w:rFonts w:ascii="Times New Roman" w:hAnsi="Times New Roman" w:cs="Times New Roman"/>
          <w:iCs/>
          <w:sz w:val="28"/>
          <w:szCs w:val="28"/>
        </w:rPr>
        <w:t xml:space="preserve">El debido proceso legislativo </w:t>
      </w:r>
      <w:r w:rsidRPr="00EE2FA1">
        <w:rPr>
          <w:rFonts w:ascii="Times New Roman" w:hAnsi="Times New Roman" w:cs="Times New Roman"/>
          <w:iCs/>
          <w:sz w:val="28"/>
          <w:szCs w:val="28"/>
        </w:rPr>
        <w:t>no es solo un derecho del congresista, sino de sus electores y de la ciudadanía en general. Por lo tanto, es importante que l</w:t>
      </w:r>
      <w:r w:rsidRPr="00EE2FA1">
        <w:rPr>
          <w:rFonts w:ascii="Times New Roman" w:hAnsi="Times New Roman" w:cs="Times New Roman"/>
          <w:iCs/>
          <w:sz w:val="28"/>
          <w:szCs w:val="28"/>
        </w:rPr>
        <w:t xml:space="preserve">a Corte como guardiana de la Constitución controle que el Congreso no </w:t>
      </w:r>
      <w:r w:rsidRPr="00EE2FA1">
        <w:rPr>
          <w:rFonts w:ascii="Times New Roman" w:hAnsi="Times New Roman" w:cs="Times New Roman"/>
          <w:iCs/>
          <w:sz w:val="28"/>
          <w:szCs w:val="28"/>
        </w:rPr>
        <w:t xml:space="preserve">afecte las garantías ciudadanas ni </w:t>
      </w:r>
      <w:r w:rsidRPr="00EE2FA1">
        <w:rPr>
          <w:rFonts w:ascii="Times New Roman" w:hAnsi="Times New Roman" w:cs="Times New Roman"/>
          <w:iCs/>
          <w:sz w:val="28"/>
          <w:szCs w:val="28"/>
        </w:rPr>
        <w:t xml:space="preserve">los límites estipulados al momento de legislar </w:t>
      </w:r>
      <w:r w:rsidRPr="00EE2FA1">
        <w:rPr>
          <w:rFonts w:ascii="Times New Roman" w:hAnsi="Times New Roman" w:cs="Times New Roman"/>
          <w:iCs/>
          <w:sz w:val="28"/>
          <w:szCs w:val="28"/>
        </w:rPr>
        <w:t xml:space="preserve">sobre una </w:t>
      </w:r>
      <w:r w:rsidRPr="00EE2FA1">
        <w:rPr>
          <w:rFonts w:ascii="Times New Roman" w:hAnsi="Times New Roman" w:cs="Times New Roman"/>
          <w:iCs/>
          <w:sz w:val="28"/>
          <w:szCs w:val="28"/>
        </w:rPr>
        <w:t>materia.</w:t>
      </w:r>
    </w:p>
    <w:p w:rsidR="000C7349" w:rsidRPr="00EE2FA1" w:rsidRDefault="00EE2FA1" w:rsidP="000C7349">
      <w:pPr>
        <w:pStyle w:val="Prrafodelista"/>
        <w:rPr>
          <w:rFonts w:ascii="Times New Roman" w:hAnsi="Times New Roman" w:cs="Times New Roman"/>
          <w:iCs/>
          <w:sz w:val="28"/>
          <w:szCs w:val="28"/>
        </w:rPr>
      </w:pPr>
    </w:p>
    <w:p w:rsidR="000C7349" w:rsidRPr="00EE2FA1" w:rsidRDefault="00EE2FA1" w:rsidP="000C734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rPr>
      </w:pPr>
      <w:r w:rsidRPr="00EE2FA1">
        <w:rPr>
          <w:rFonts w:ascii="Times New Roman" w:hAnsi="Times New Roman" w:cs="Times New Roman"/>
          <w:iCs/>
          <w:sz w:val="28"/>
          <w:szCs w:val="28"/>
        </w:rPr>
        <w:t>Los congresistas tienen el deber de velar por los intereses de los ciudadanos, quien</w:t>
      </w:r>
      <w:r w:rsidRPr="00EE2FA1">
        <w:rPr>
          <w:rFonts w:ascii="Times New Roman" w:hAnsi="Times New Roman" w:cs="Times New Roman"/>
          <w:iCs/>
          <w:sz w:val="28"/>
          <w:szCs w:val="28"/>
        </w:rPr>
        <w:t>es son los destinatarios finales de la legislación. De manera que, el proceso legislativo debe ser conducido de manera que garantice la participación y consideración de todas las voces, asegurando así que las leyes sean resultado de un debate amplio y deli</w:t>
      </w:r>
      <w:r w:rsidRPr="00EE2FA1">
        <w:rPr>
          <w:rFonts w:ascii="Times New Roman" w:hAnsi="Times New Roman" w:cs="Times New Roman"/>
          <w:iCs/>
          <w:sz w:val="28"/>
          <w:szCs w:val="28"/>
        </w:rPr>
        <w:t xml:space="preserve">berativo. En este contexto, </w:t>
      </w:r>
      <w:r w:rsidRPr="00EE2FA1">
        <w:rPr>
          <w:rFonts w:ascii="Times New Roman" w:hAnsi="Times New Roman" w:cs="Times New Roman"/>
          <w:iCs/>
          <w:sz w:val="28"/>
          <w:szCs w:val="28"/>
        </w:rPr>
        <w:t>la ciudadanía</w:t>
      </w:r>
      <w:r w:rsidRPr="00EE2FA1">
        <w:rPr>
          <w:rFonts w:ascii="Times New Roman" w:hAnsi="Times New Roman" w:cs="Times New Roman"/>
          <w:iCs/>
          <w:sz w:val="28"/>
          <w:szCs w:val="28"/>
        </w:rPr>
        <w:t xml:space="preserve"> y </w:t>
      </w:r>
      <w:r w:rsidRPr="00EE2FA1">
        <w:rPr>
          <w:rFonts w:ascii="Times New Roman" w:hAnsi="Times New Roman" w:cs="Times New Roman"/>
          <w:iCs/>
          <w:sz w:val="28"/>
          <w:szCs w:val="28"/>
        </w:rPr>
        <w:t>los impactados</w:t>
      </w:r>
      <w:r w:rsidRPr="00EE2FA1">
        <w:rPr>
          <w:rFonts w:ascii="Times New Roman" w:hAnsi="Times New Roman" w:cs="Times New Roman"/>
          <w:iCs/>
          <w:sz w:val="28"/>
          <w:szCs w:val="28"/>
        </w:rPr>
        <w:t xml:space="preserve"> por la legislación tienen derecho a que las decisiones que les </w:t>
      </w:r>
      <w:r w:rsidRPr="00EE2FA1">
        <w:rPr>
          <w:rFonts w:ascii="Times New Roman" w:hAnsi="Times New Roman" w:cs="Times New Roman"/>
          <w:iCs/>
          <w:sz w:val="28"/>
          <w:szCs w:val="28"/>
        </w:rPr>
        <w:t xml:space="preserve">afecte de alguna manera </w:t>
      </w:r>
      <w:r w:rsidRPr="00EE2FA1">
        <w:rPr>
          <w:rFonts w:ascii="Times New Roman" w:hAnsi="Times New Roman" w:cs="Times New Roman"/>
          <w:iCs/>
          <w:sz w:val="28"/>
          <w:szCs w:val="28"/>
        </w:rPr>
        <w:t>sean producto de un proceso transparente y diligente, que refleje una consideración exhaustiva de todos los ar</w:t>
      </w:r>
      <w:r w:rsidRPr="00EE2FA1">
        <w:rPr>
          <w:rFonts w:ascii="Times New Roman" w:hAnsi="Times New Roman" w:cs="Times New Roman"/>
          <w:iCs/>
          <w:sz w:val="28"/>
          <w:szCs w:val="28"/>
        </w:rPr>
        <w:t xml:space="preserve">gumentos y perspectivas </w:t>
      </w:r>
      <w:r w:rsidRPr="00EE2FA1">
        <w:rPr>
          <w:rFonts w:ascii="Times New Roman" w:hAnsi="Times New Roman" w:cs="Times New Roman"/>
          <w:iCs/>
          <w:sz w:val="28"/>
          <w:szCs w:val="28"/>
        </w:rPr>
        <w:t>que se presenten en el debate</w:t>
      </w:r>
      <w:r w:rsidRPr="00EE2FA1">
        <w:rPr>
          <w:rFonts w:ascii="Times New Roman" w:hAnsi="Times New Roman" w:cs="Times New Roman"/>
          <w:iCs/>
          <w:sz w:val="28"/>
          <w:szCs w:val="28"/>
        </w:rPr>
        <w:t>.</w:t>
      </w:r>
    </w:p>
    <w:p w:rsidR="000C7349" w:rsidRPr="00EE2FA1" w:rsidRDefault="00EE2FA1" w:rsidP="000C7349">
      <w:pPr>
        <w:pStyle w:val="Prrafodelista"/>
        <w:rPr>
          <w:rFonts w:ascii="Times New Roman" w:hAnsi="Times New Roman" w:cs="Times New Roman"/>
          <w:iCs/>
          <w:sz w:val="28"/>
          <w:szCs w:val="28"/>
        </w:rPr>
      </w:pPr>
    </w:p>
    <w:p w:rsidR="000C7349" w:rsidRPr="00EE2FA1" w:rsidRDefault="00EE2FA1" w:rsidP="000C7349">
      <w:pPr>
        <w:pStyle w:val="Prrafodelista"/>
        <w:numPr>
          <w:ilvl w:val="0"/>
          <w:numId w:val="1"/>
        </w:numPr>
        <w:tabs>
          <w:tab w:val="left" w:pos="426"/>
        </w:tabs>
        <w:spacing w:line="0" w:lineRule="atLeast"/>
        <w:ind w:left="0" w:firstLine="0"/>
        <w:jc w:val="both"/>
        <w:rPr>
          <w:rFonts w:ascii="Times New Roman" w:hAnsi="Times New Roman" w:cs="Times New Roman"/>
          <w:iCs/>
          <w:sz w:val="28"/>
          <w:szCs w:val="28"/>
        </w:rPr>
      </w:pPr>
      <w:r w:rsidRPr="00EE2FA1">
        <w:rPr>
          <w:rFonts w:ascii="Times New Roman" w:hAnsi="Times New Roman" w:cs="Times New Roman"/>
          <w:iCs/>
          <w:sz w:val="28"/>
          <w:szCs w:val="28"/>
        </w:rPr>
        <w:t>No se pierda de vista, que l</w:t>
      </w:r>
      <w:r w:rsidRPr="00EE2FA1">
        <w:rPr>
          <w:rFonts w:ascii="Times New Roman" w:hAnsi="Times New Roman" w:cs="Times New Roman"/>
          <w:iCs/>
          <w:sz w:val="28"/>
          <w:szCs w:val="28"/>
        </w:rPr>
        <w:t xml:space="preserve">a falta de discusión y evaluación adecuada de las propuestas legislativas puede llevar a la aprobación de leyes que no </w:t>
      </w:r>
      <w:r w:rsidRPr="00EE2FA1">
        <w:rPr>
          <w:rFonts w:ascii="Times New Roman" w:hAnsi="Times New Roman" w:cs="Times New Roman"/>
          <w:iCs/>
          <w:sz w:val="28"/>
          <w:szCs w:val="28"/>
        </w:rPr>
        <w:t xml:space="preserve">reflejen </w:t>
      </w:r>
      <w:r w:rsidRPr="00EE2FA1">
        <w:rPr>
          <w:rFonts w:ascii="Times New Roman" w:hAnsi="Times New Roman" w:cs="Times New Roman"/>
          <w:iCs/>
          <w:sz w:val="28"/>
          <w:szCs w:val="28"/>
        </w:rPr>
        <w:t xml:space="preserve">adecuadamente las necesidades y derechos de </w:t>
      </w:r>
      <w:r w:rsidRPr="00EE2FA1">
        <w:rPr>
          <w:rFonts w:ascii="Times New Roman" w:hAnsi="Times New Roman" w:cs="Times New Roman"/>
          <w:iCs/>
          <w:sz w:val="28"/>
          <w:szCs w:val="28"/>
        </w:rPr>
        <w:t>los ciudadanos. Esto puede resultar en la imposición de medidas legislativas que no han sido debidamente consideradas. En definitiva, la Sala resalta que los debates en el Congreso deben tener una consideración adecuada y que la diligencia de los congresis</w:t>
      </w:r>
      <w:r w:rsidRPr="00EE2FA1">
        <w:rPr>
          <w:rFonts w:ascii="Times New Roman" w:hAnsi="Times New Roman" w:cs="Times New Roman"/>
          <w:iCs/>
          <w:sz w:val="28"/>
          <w:szCs w:val="28"/>
        </w:rPr>
        <w:t>tas</w:t>
      </w:r>
      <w:r w:rsidRPr="00EE2FA1">
        <w:rPr>
          <w:rFonts w:ascii="Times New Roman" w:hAnsi="Times New Roman" w:cs="Times New Roman"/>
          <w:iCs/>
          <w:sz w:val="28"/>
          <w:szCs w:val="28"/>
        </w:rPr>
        <w:t xml:space="preserve"> </w:t>
      </w:r>
      <w:r w:rsidRPr="00EE2FA1">
        <w:rPr>
          <w:rFonts w:ascii="Times New Roman" w:hAnsi="Times New Roman" w:cs="Times New Roman"/>
          <w:iCs/>
          <w:sz w:val="28"/>
          <w:szCs w:val="28"/>
        </w:rPr>
        <w:t>no debe afectar los derechos de los ciudadanos.</w:t>
      </w:r>
    </w:p>
    <w:p w:rsidR="000C7349" w:rsidRPr="00EE2FA1" w:rsidRDefault="00EE2FA1" w:rsidP="00567B38">
      <w:pPr>
        <w:pStyle w:val="Prrafodelista"/>
        <w:tabs>
          <w:tab w:val="left" w:pos="426"/>
        </w:tabs>
        <w:spacing w:line="0" w:lineRule="atLeast"/>
        <w:ind w:left="0"/>
        <w:jc w:val="both"/>
        <w:rPr>
          <w:rFonts w:ascii="Times New Roman" w:hAnsi="Times New Roman" w:cs="Times New Roman"/>
          <w:iCs/>
          <w:sz w:val="28"/>
          <w:szCs w:val="28"/>
        </w:rPr>
      </w:pPr>
    </w:p>
    <w:p w:rsidR="00567B38" w:rsidRPr="00EE2FA1" w:rsidRDefault="00EE2FA1" w:rsidP="00567B38">
      <w:pPr>
        <w:pStyle w:val="Prrafodelista"/>
        <w:tabs>
          <w:tab w:val="left" w:pos="426"/>
        </w:tabs>
        <w:spacing w:line="0" w:lineRule="atLeast"/>
        <w:ind w:left="0"/>
        <w:jc w:val="both"/>
        <w:rPr>
          <w:rFonts w:ascii="Times New Roman" w:hAnsi="Times New Roman" w:cs="Times New Roman"/>
          <w:b/>
          <w:bCs/>
          <w:sz w:val="28"/>
          <w:szCs w:val="28"/>
        </w:rPr>
      </w:pPr>
      <w:r w:rsidRPr="00EE2FA1">
        <w:rPr>
          <w:rFonts w:ascii="Times New Roman" w:hAnsi="Times New Roman" w:cs="Times New Roman"/>
          <w:b/>
          <w:bCs/>
          <w:sz w:val="28"/>
          <w:szCs w:val="28"/>
          <w:shd w:val="clear" w:color="auto" w:fill="FFFFFF"/>
        </w:rPr>
        <w:t>Caso concreto. Solución al segundo cargo</w:t>
      </w:r>
      <w:r w:rsidRPr="00EE2FA1">
        <w:rPr>
          <w:rFonts w:ascii="Times New Roman" w:hAnsi="Times New Roman" w:cs="Times New Roman"/>
          <w:b/>
          <w:bCs/>
          <w:sz w:val="28"/>
          <w:szCs w:val="28"/>
          <w:shd w:val="clear" w:color="auto" w:fill="FFFFFF"/>
        </w:rPr>
        <w:t>:</w:t>
      </w:r>
      <w:r w:rsidRPr="00EE2FA1">
        <w:rPr>
          <w:rFonts w:ascii="Times New Roman" w:hAnsi="Times New Roman" w:cs="Times New Roman"/>
          <w:b/>
          <w:bCs/>
          <w:sz w:val="28"/>
          <w:szCs w:val="28"/>
          <w:shd w:val="clear" w:color="auto" w:fill="FFFFFF"/>
        </w:rPr>
        <w:t xml:space="preserve"> </w:t>
      </w:r>
      <w:r w:rsidRPr="00EE2FA1">
        <w:rPr>
          <w:rFonts w:ascii="Times New Roman" w:hAnsi="Times New Roman" w:cs="Times New Roman"/>
          <w:b/>
          <w:bCs/>
          <w:sz w:val="28"/>
          <w:szCs w:val="28"/>
          <w:shd w:val="clear" w:color="auto" w:fill="FFFFFF"/>
        </w:rPr>
        <w:t xml:space="preserve">la aprobación de </w:t>
      </w:r>
      <w:r w:rsidRPr="00EE2FA1">
        <w:rPr>
          <w:rFonts w:ascii="Times New Roman" w:hAnsi="Times New Roman" w:cs="Times New Roman"/>
          <w:b/>
          <w:bCs/>
          <w:sz w:val="28"/>
          <w:szCs w:val="28"/>
        </w:rPr>
        <w:t>l</w:t>
      </w:r>
      <w:r w:rsidRPr="00EE2FA1">
        <w:rPr>
          <w:rFonts w:ascii="Times New Roman" w:hAnsi="Times New Roman" w:cs="Times New Roman"/>
          <w:b/>
          <w:bCs/>
          <w:sz w:val="28"/>
          <w:szCs w:val="28"/>
        </w:rPr>
        <w:t>os artículos 10 y 19 de la Ley 2277 de 2022 no desconoci</w:t>
      </w:r>
      <w:r w:rsidRPr="00EE2FA1">
        <w:rPr>
          <w:rFonts w:ascii="Times New Roman" w:hAnsi="Times New Roman" w:cs="Times New Roman"/>
          <w:b/>
          <w:bCs/>
          <w:sz w:val="28"/>
          <w:szCs w:val="28"/>
        </w:rPr>
        <w:t>ó</w:t>
      </w:r>
      <w:r w:rsidRPr="00EE2FA1">
        <w:rPr>
          <w:rFonts w:ascii="Times New Roman" w:hAnsi="Times New Roman" w:cs="Times New Roman"/>
          <w:b/>
          <w:bCs/>
          <w:sz w:val="28"/>
          <w:szCs w:val="28"/>
        </w:rPr>
        <w:t xml:space="preserve"> el artículo 157 superior </w:t>
      </w:r>
      <w:r w:rsidRPr="00EE2FA1">
        <w:rPr>
          <w:rFonts w:ascii="Times New Roman" w:hAnsi="Times New Roman" w:cs="Times New Roman"/>
          <w:b/>
          <w:bCs/>
          <w:sz w:val="28"/>
          <w:szCs w:val="28"/>
        </w:rPr>
        <w:t xml:space="preserve">ni </w:t>
      </w:r>
      <w:r w:rsidRPr="00EE2FA1">
        <w:rPr>
          <w:rFonts w:ascii="Times New Roman" w:hAnsi="Times New Roman" w:cs="Times New Roman"/>
          <w:b/>
          <w:bCs/>
          <w:sz w:val="28"/>
          <w:szCs w:val="28"/>
        </w:rPr>
        <w:t xml:space="preserve">los artículos 112, 112, 115, 160 y 162 de la Ley 5ª de </w:t>
      </w:r>
      <w:r w:rsidRPr="00EE2FA1">
        <w:rPr>
          <w:rFonts w:ascii="Times New Roman" w:hAnsi="Times New Roman" w:cs="Times New Roman"/>
          <w:b/>
          <w:bCs/>
          <w:sz w:val="28"/>
          <w:szCs w:val="28"/>
        </w:rPr>
        <w:t>1992</w:t>
      </w:r>
    </w:p>
    <w:p w:rsidR="000765AA" w:rsidRPr="00EE2FA1" w:rsidRDefault="00EE2FA1" w:rsidP="00567B38">
      <w:pPr>
        <w:pStyle w:val="Prrafodelista"/>
        <w:tabs>
          <w:tab w:val="left" w:pos="426"/>
        </w:tabs>
        <w:spacing w:line="0" w:lineRule="atLeast"/>
        <w:ind w:left="0"/>
        <w:jc w:val="both"/>
        <w:rPr>
          <w:rFonts w:ascii="Times New Roman" w:hAnsi="Times New Roman" w:cs="Times New Roman"/>
          <w:b/>
          <w:bCs/>
          <w:sz w:val="28"/>
          <w:szCs w:val="28"/>
          <w:shd w:val="clear" w:color="auto" w:fill="FFFFFF"/>
        </w:rPr>
      </w:pPr>
    </w:p>
    <w:p w:rsidR="003919D4" w:rsidRPr="00EE2FA1" w:rsidRDefault="00EE2FA1" w:rsidP="00D978F1">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val="es-ES_tradnl" w:eastAsia="es-ES"/>
        </w:rPr>
      </w:pPr>
      <w:r w:rsidRPr="00EE2FA1">
        <w:rPr>
          <w:rFonts w:ascii="Times New Roman" w:eastAsia="Calibri" w:hAnsi="Times New Roman" w:cs="Times New Roman"/>
          <w:i/>
          <w:iCs/>
          <w:sz w:val="28"/>
          <w:szCs w:val="28"/>
          <w:lang w:val="es-ES_tradnl" w:eastAsia="es-ES"/>
        </w:rPr>
        <w:t>Identificación de las proposiciones analizadas y antecedentes legislativos</w:t>
      </w:r>
      <w:r w:rsidRPr="00EE2FA1">
        <w:rPr>
          <w:rFonts w:ascii="Times New Roman" w:eastAsia="Calibri" w:hAnsi="Times New Roman" w:cs="Times New Roman"/>
          <w:sz w:val="28"/>
          <w:szCs w:val="28"/>
          <w:lang w:val="es-ES_tradnl" w:eastAsia="es-ES"/>
        </w:rPr>
        <w:t xml:space="preserve">. Tal y como lo advirtió previamente la Sala, el estudio del cargo </w:t>
      </w:r>
      <w:r w:rsidRPr="00EE2FA1">
        <w:rPr>
          <w:rFonts w:ascii="Times New Roman" w:eastAsia="Calibri" w:hAnsi="Times New Roman" w:cs="Times New Roman"/>
          <w:sz w:val="28"/>
          <w:szCs w:val="28"/>
          <w:lang w:val="es-ES_tradnl" w:eastAsia="es-ES"/>
        </w:rPr>
        <w:t>está</w:t>
      </w:r>
      <w:r w:rsidRPr="00EE2FA1">
        <w:rPr>
          <w:rFonts w:ascii="Times New Roman" w:eastAsia="Calibri" w:hAnsi="Times New Roman" w:cs="Times New Roman"/>
          <w:sz w:val="28"/>
          <w:szCs w:val="28"/>
          <w:lang w:val="es-ES_tradnl" w:eastAsia="es-ES"/>
        </w:rPr>
        <w:t xml:space="preserve"> limitado a dos proposiciones:</w:t>
      </w:r>
      <w:r w:rsidRPr="00EE2FA1">
        <w:rPr>
          <w:rFonts w:ascii="Times New Roman" w:hAnsi="Times New Roman" w:cs="Times New Roman"/>
          <w:sz w:val="28"/>
          <w:szCs w:val="28"/>
        </w:rPr>
        <w:t xml:space="preserve"> (i) la presentada por el representante Elkin Rodolfo Ospina Ospina para eliminar el artículo 12 del proyecto de ley y (ii) la presentada por los representantes Oscar Darío Pérez Pineda y Olmes de Jesús Echeverría de la Rosa y de los senadores Ciro Alejand</w:t>
      </w:r>
      <w:r w:rsidRPr="00EE2FA1">
        <w:rPr>
          <w:rFonts w:ascii="Times New Roman" w:hAnsi="Times New Roman" w:cs="Times New Roman"/>
          <w:sz w:val="28"/>
          <w:szCs w:val="28"/>
        </w:rPr>
        <w:t xml:space="preserve">ro Ramírez Cortés y Christian M. Garcés Aljure para adicionar un parágrafo al artículo 9 del proyecto de ley. </w:t>
      </w:r>
    </w:p>
    <w:p w:rsidR="003919D4" w:rsidRPr="00EE2FA1" w:rsidRDefault="00EE2FA1" w:rsidP="003919D4">
      <w:pPr>
        <w:pStyle w:val="Prrafodelista"/>
        <w:tabs>
          <w:tab w:val="left" w:pos="426"/>
        </w:tabs>
        <w:spacing w:line="0" w:lineRule="atLeast"/>
        <w:ind w:left="0"/>
        <w:jc w:val="both"/>
        <w:rPr>
          <w:rFonts w:ascii="Times New Roman" w:eastAsia="Calibri" w:hAnsi="Times New Roman" w:cs="Times New Roman"/>
          <w:bCs/>
          <w:sz w:val="28"/>
          <w:szCs w:val="28"/>
          <w:lang w:val="es-ES_tradnl" w:eastAsia="es-ES"/>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val="es-ES_tradnl" w:eastAsia="es-ES"/>
        </w:rPr>
      </w:pPr>
      <w:r w:rsidRPr="00EE2FA1">
        <w:rPr>
          <w:rFonts w:ascii="Times New Roman" w:eastAsia="Calibri" w:hAnsi="Times New Roman" w:cs="Times New Roman"/>
          <w:bCs/>
          <w:sz w:val="28"/>
          <w:szCs w:val="28"/>
          <w:lang w:val="es-ES_tradnl" w:eastAsia="es-ES"/>
        </w:rPr>
        <w:t xml:space="preserve">Así las cosas, la Sala procederá a describir el trámite legislativo surtido en primer debate en las </w:t>
      </w:r>
      <w:r w:rsidRPr="00EE2FA1">
        <w:rPr>
          <w:rFonts w:ascii="Times New Roman" w:eastAsia="Calibri" w:hAnsi="Times New Roman" w:cs="Times New Roman"/>
          <w:bCs/>
          <w:sz w:val="28"/>
          <w:szCs w:val="28"/>
          <w:lang w:val="es-ES_tradnl" w:eastAsia="es-ES"/>
        </w:rPr>
        <w:t xml:space="preserve">Comisiones Terceras Conjuntas </w:t>
      </w:r>
      <w:r w:rsidRPr="00EE2FA1">
        <w:rPr>
          <w:rFonts w:ascii="Times New Roman" w:eastAsia="Calibri" w:hAnsi="Times New Roman" w:cs="Times New Roman"/>
          <w:bCs/>
          <w:sz w:val="28"/>
          <w:szCs w:val="28"/>
          <w:lang w:val="es-ES_tradnl" w:eastAsia="es-ES"/>
        </w:rPr>
        <w:t>de Cámara y Se</w:t>
      </w:r>
      <w:r w:rsidRPr="00EE2FA1">
        <w:rPr>
          <w:rFonts w:ascii="Times New Roman" w:eastAsia="Calibri" w:hAnsi="Times New Roman" w:cs="Times New Roman"/>
          <w:bCs/>
          <w:sz w:val="28"/>
          <w:szCs w:val="28"/>
          <w:lang w:val="es-ES_tradnl" w:eastAsia="es-ES"/>
        </w:rPr>
        <w:t xml:space="preserve">nado. Las proposiciones mencionadas fueron </w:t>
      </w:r>
      <w:r w:rsidRPr="00EE2FA1">
        <w:rPr>
          <w:rFonts w:ascii="Times New Roman" w:eastAsia="Calibri" w:hAnsi="Times New Roman" w:cs="Times New Roman"/>
          <w:bCs/>
          <w:sz w:val="28"/>
          <w:szCs w:val="28"/>
          <w:lang w:eastAsia="es-ES"/>
        </w:rPr>
        <w:t xml:space="preserve">presentadas </w:t>
      </w:r>
      <w:r w:rsidRPr="00EE2FA1">
        <w:rPr>
          <w:rFonts w:ascii="Times New Roman" w:eastAsia="Calibri" w:hAnsi="Times New Roman" w:cs="Times New Roman"/>
          <w:sz w:val="28"/>
          <w:szCs w:val="28"/>
          <w:lang w:eastAsia="es-ES"/>
        </w:rPr>
        <w:t xml:space="preserve">por </w:t>
      </w:r>
      <w:r w:rsidRPr="00EE2FA1">
        <w:rPr>
          <w:rFonts w:ascii="Times New Roman" w:eastAsia="Calibri" w:hAnsi="Times New Roman" w:cs="Times New Roman"/>
          <w:bCs/>
          <w:sz w:val="28"/>
          <w:szCs w:val="28"/>
          <w:lang w:val="es-ES_tradnl" w:eastAsia="es-ES"/>
        </w:rPr>
        <w:t xml:space="preserve">congresistas de partidos minoritarios </w:t>
      </w:r>
      <w:r w:rsidRPr="00EE2FA1">
        <w:rPr>
          <w:rFonts w:ascii="Times New Roman" w:eastAsia="Calibri" w:hAnsi="Times New Roman" w:cs="Times New Roman"/>
          <w:bCs/>
          <w:sz w:val="28"/>
          <w:szCs w:val="28"/>
          <w:lang w:val="es-ES_tradnl" w:eastAsia="es-ES"/>
        </w:rPr>
        <w:t>y se radicaron</w:t>
      </w:r>
      <w:r w:rsidRPr="00EE2FA1">
        <w:rPr>
          <w:rFonts w:ascii="Times New Roman" w:eastAsia="Calibri" w:hAnsi="Times New Roman" w:cs="Times New Roman"/>
          <w:bCs/>
          <w:sz w:val="28"/>
          <w:szCs w:val="28"/>
          <w:lang w:val="es-ES_tradnl" w:eastAsia="es-ES"/>
        </w:rPr>
        <w:t xml:space="preserve"> como se observa en la Gaceta del Congreso 1200 del 5 de octubre de 2022</w:t>
      </w:r>
      <w:r w:rsidRPr="00EE2FA1">
        <w:rPr>
          <w:rStyle w:val="Refdenotaalpie"/>
          <w:rFonts w:ascii="Times New Roman" w:eastAsia="Calibri" w:hAnsi="Times New Roman" w:cs="Times New Roman"/>
          <w:bCs/>
          <w:sz w:val="28"/>
          <w:szCs w:val="28"/>
          <w:lang w:val="es-ES_tradnl" w:eastAsia="es-ES"/>
        </w:rPr>
        <w:footnoteReference w:id="151"/>
      </w:r>
      <w:r w:rsidRPr="00EE2FA1">
        <w:rPr>
          <w:rFonts w:ascii="Times New Roman" w:eastAsia="Calibri" w:hAnsi="Times New Roman" w:cs="Times New Roman"/>
          <w:bCs/>
          <w:sz w:val="28"/>
          <w:szCs w:val="28"/>
          <w:lang w:val="es-ES_tradnl" w:eastAsia="es-ES"/>
        </w:rPr>
        <w:t xml:space="preserve">. Estas se encaminaban a modificar los artículos 9 y 12 del proyecto de ley </w:t>
      </w:r>
      <w:r w:rsidRPr="00EE2FA1">
        <w:rPr>
          <w:rFonts w:ascii="Times New Roman" w:eastAsia="Calibri" w:hAnsi="Times New Roman" w:cs="Times New Roman"/>
          <w:bCs/>
          <w:sz w:val="28"/>
          <w:szCs w:val="28"/>
          <w:lang w:eastAsia="es-ES"/>
        </w:rPr>
        <w:t>118 de 2022 Cámara – 131 de 2022 Senado.</w:t>
      </w:r>
    </w:p>
    <w:p w:rsidR="003919D4" w:rsidRPr="00EE2FA1" w:rsidRDefault="00EE2FA1" w:rsidP="003919D4">
      <w:pPr>
        <w:pStyle w:val="Prrafodelista"/>
        <w:tabs>
          <w:tab w:val="left" w:pos="426"/>
        </w:tabs>
        <w:spacing w:line="0" w:lineRule="atLeast"/>
        <w:ind w:left="0"/>
        <w:jc w:val="both"/>
        <w:rPr>
          <w:rFonts w:ascii="Times New Roman" w:eastAsia="Calibri" w:hAnsi="Times New Roman" w:cs="Times New Roman"/>
          <w:bCs/>
          <w:sz w:val="28"/>
          <w:szCs w:val="28"/>
          <w:lang w:val="es-ES_tradnl" w:eastAsia="es-ES"/>
        </w:rPr>
      </w:pPr>
    </w:p>
    <w:p w:rsidR="003919D4" w:rsidRPr="00EE2FA1" w:rsidRDefault="00EE2FA1" w:rsidP="002C7955">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val="es-ES_tradnl" w:eastAsia="es-ES"/>
        </w:rPr>
      </w:pPr>
      <w:r w:rsidRPr="00EE2FA1">
        <w:rPr>
          <w:rFonts w:ascii="Times New Roman" w:eastAsia="Calibri" w:hAnsi="Times New Roman" w:cs="Times New Roman"/>
          <w:bCs/>
          <w:sz w:val="28"/>
          <w:szCs w:val="28"/>
          <w:lang w:val="es-ES_tradnl" w:eastAsia="es-ES"/>
        </w:rPr>
        <w:t>Una vez surtido el trámite de votación del primer bloque de artículos, la presidenta de la Comisión Tercera Conjunta de Cámara y Senado le</w:t>
      </w:r>
      <w:r w:rsidRPr="00EE2FA1">
        <w:rPr>
          <w:rFonts w:ascii="Times New Roman" w:eastAsia="Calibri" w:hAnsi="Times New Roman" w:cs="Times New Roman"/>
          <w:bCs/>
          <w:sz w:val="28"/>
          <w:szCs w:val="28"/>
          <w:lang w:val="es-ES_tradnl" w:eastAsia="es-ES"/>
        </w:rPr>
        <w:t xml:space="preserve"> concedió el uso de la palabra al coordinador ponente, Álvaro Henry Monedero Rivera</w:t>
      </w:r>
      <w:r w:rsidRPr="00EE2FA1">
        <w:rPr>
          <w:rFonts w:ascii="Times New Roman" w:eastAsia="Calibri" w:hAnsi="Times New Roman" w:cs="Times New Roman"/>
          <w:bCs/>
          <w:sz w:val="28"/>
          <w:szCs w:val="28"/>
          <w:lang w:val="es-ES_tradnl" w:eastAsia="es-ES"/>
        </w:rPr>
        <w:t>,</w:t>
      </w:r>
      <w:r w:rsidRPr="00EE2FA1">
        <w:rPr>
          <w:rFonts w:ascii="Times New Roman" w:eastAsia="Calibri" w:hAnsi="Times New Roman" w:cs="Times New Roman"/>
          <w:bCs/>
          <w:sz w:val="28"/>
          <w:szCs w:val="28"/>
          <w:lang w:val="es-ES_tradnl" w:eastAsia="es-ES"/>
        </w:rPr>
        <w:t xml:space="preserve"> </w:t>
      </w:r>
      <w:r w:rsidRPr="00EE2FA1">
        <w:rPr>
          <w:rFonts w:ascii="Times New Roman" w:eastAsia="Calibri" w:hAnsi="Times New Roman" w:cs="Times New Roman"/>
          <w:bCs/>
          <w:sz w:val="28"/>
          <w:szCs w:val="28"/>
          <w:lang w:val="es-ES_tradnl" w:eastAsia="es-ES"/>
        </w:rPr>
        <w:t xml:space="preserve">quien </w:t>
      </w:r>
      <w:r w:rsidRPr="00EE2FA1">
        <w:rPr>
          <w:rFonts w:ascii="Times New Roman" w:eastAsia="Calibri" w:hAnsi="Times New Roman" w:cs="Times New Roman"/>
          <w:bCs/>
          <w:sz w:val="28"/>
          <w:szCs w:val="28"/>
          <w:lang w:val="es-ES_tradnl" w:eastAsia="es-ES"/>
        </w:rPr>
        <w:t>manifestó lo siguiente:</w:t>
      </w:r>
    </w:p>
    <w:p w:rsidR="00F94B24" w:rsidRPr="00EE2FA1" w:rsidRDefault="00EE2FA1" w:rsidP="00D121F2">
      <w:pPr>
        <w:pStyle w:val="Prrafodelista"/>
        <w:tabs>
          <w:tab w:val="left" w:pos="426"/>
        </w:tabs>
        <w:spacing w:line="0" w:lineRule="atLeast"/>
        <w:ind w:left="0"/>
        <w:jc w:val="both"/>
        <w:rPr>
          <w:rFonts w:ascii="Times New Roman" w:eastAsia="Calibri" w:hAnsi="Times New Roman" w:cs="Times New Roman"/>
          <w:bCs/>
          <w:sz w:val="28"/>
          <w:szCs w:val="28"/>
          <w:lang w:val="es-ES_tradnl" w:eastAsia="es-ES"/>
        </w:rPr>
      </w:pPr>
    </w:p>
    <w:p w:rsidR="003919D4" w:rsidRPr="00EE2FA1" w:rsidRDefault="00EE2FA1" w:rsidP="00250F92">
      <w:pPr>
        <w:pStyle w:val="Prrafodelista"/>
        <w:spacing w:line="0" w:lineRule="atLeast"/>
        <w:ind w:left="567"/>
        <w:jc w:val="both"/>
        <w:rPr>
          <w:rFonts w:ascii="Times New Roman" w:eastAsia="Calibri" w:hAnsi="Times New Roman" w:cs="Times New Roman"/>
          <w:bCs/>
          <w:sz w:val="28"/>
          <w:lang w:val="es-ES_tradnl" w:eastAsia="es-ES"/>
        </w:rPr>
      </w:pPr>
      <w:r w:rsidRPr="00EE2FA1">
        <w:rPr>
          <w:rFonts w:ascii="Times New Roman" w:eastAsia="Calibri" w:hAnsi="Times New Roman" w:cs="Times New Roman"/>
          <w:bCs/>
          <w:sz w:val="28"/>
          <w:lang w:val="es-ES_tradnl" w:eastAsia="es-ES"/>
        </w:rPr>
        <w:t>“cerca de mil proposiciones hemos recibido, más de mil proposiciones se han recibido, estos artículos pues un bloque grande el Gobierno naci</w:t>
      </w:r>
      <w:r w:rsidRPr="00EE2FA1">
        <w:rPr>
          <w:rFonts w:ascii="Times New Roman" w:eastAsia="Calibri" w:hAnsi="Times New Roman" w:cs="Times New Roman"/>
          <w:bCs/>
          <w:sz w:val="28"/>
          <w:lang w:val="es-ES_tradnl" w:eastAsia="es-ES"/>
        </w:rPr>
        <w:t>onal no tiene aval para este debate de estas modificaciones, pero sí solicita a los proponentes que los dejen como constancia, para poder ser estudiados, para ser tenidos en cuenta en la construcción de la ponencia en segundo debate […]”</w:t>
      </w:r>
      <w:r w:rsidRPr="00EE2FA1">
        <w:rPr>
          <w:rStyle w:val="Refdenotaalpie"/>
          <w:rFonts w:ascii="Times New Roman" w:eastAsia="Calibri" w:hAnsi="Times New Roman" w:cs="Times New Roman"/>
          <w:bCs/>
          <w:sz w:val="28"/>
          <w:lang w:val="es-ES_tradnl" w:eastAsia="es-ES"/>
        </w:rPr>
        <w:footnoteReference w:id="152"/>
      </w:r>
      <w:r w:rsidRPr="00EE2FA1">
        <w:rPr>
          <w:rFonts w:ascii="Times New Roman" w:eastAsia="Calibri" w:hAnsi="Times New Roman" w:cs="Times New Roman"/>
          <w:bCs/>
          <w:sz w:val="28"/>
          <w:lang w:val="es-ES_tradnl" w:eastAsia="es-ES"/>
        </w:rPr>
        <w:t>.</w:t>
      </w:r>
    </w:p>
    <w:p w:rsidR="003919D4" w:rsidRPr="00EE2FA1" w:rsidRDefault="00EE2FA1" w:rsidP="003919D4">
      <w:pPr>
        <w:pStyle w:val="Prrafodelista"/>
        <w:tabs>
          <w:tab w:val="left" w:pos="426"/>
        </w:tabs>
        <w:spacing w:line="0" w:lineRule="atLeast"/>
        <w:ind w:left="0"/>
        <w:jc w:val="both"/>
        <w:rPr>
          <w:rFonts w:ascii="Times New Roman" w:eastAsia="Calibri" w:hAnsi="Times New Roman" w:cs="Times New Roman"/>
          <w:bCs/>
          <w:sz w:val="28"/>
          <w:szCs w:val="28"/>
          <w:lang w:val="es-ES_tradnl" w:eastAsia="es-ES"/>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val="es-ES_tradnl" w:eastAsia="es-ES"/>
        </w:rPr>
      </w:pPr>
      <w:r w:rsidRPr="00EE2FA1">
        <w:rPr>
          <w:rFonts w:ascii="Times New Roman" w:eastAsia="Calibri" w:hAnsi="Times New Roman" w:cs="Times New Roman"/>
          <w:bCs/>
          <w:sz w:val="28"/>
          <w:szCs w:val="28"/>
          <w:lang w:val="es-ES_tradnl" w:eastAsia="es-ES"/>
        </w:rPr>
        <w:t>Luego, la presi</w:t>
      </w:r>
      <w:r w:rsidRPr="00EE2FA1">
        <w:rPr>
          <w:rFonts w:ascii="Times New Roman" w:eastAsia="Calibri" w:hAnsi="Times New Roman" w:cs="Times New Roman"/>
          <w:bCs/>
          <w:sz w:val="28"/>
          <w:szCs w:val="28"/>
          <w:lang w:val="es-ES_tradnl" w:eastAsia="es-ES"/>
        </w:rPr>
        <w:t xml:space="preserve">denta de las Comisiones Conjuntas solicitó a la </w:t>
      </w:r>
      <w:r w:rsidRPr="00EE2FA1">
        <w:rPr>
          <w:rFonts w:ascii="Times New Roman" w:eastAsia="Calibri" w:hAnsi="Times New Roman" w:cs="Times New Roman"/>
          <w:bCs/>
          <w:sz w:val="28"/>
          <w:szCs w:val="28"/>
          <w:lang w:val="es-ES_tradnl" w:eastAsia="es-ES"/>
        </w:rPr>
        <w:t xml:space="preserve">secretaria </w:t>
      </w:r>
      <w:r w:rsidRPr="00EE2FA1">
        <w:rPr>
          <w:rFonts w:ascii="Times New Roman" w:eastAsia="Calibri" w:hAnsi="Times New Roman" w:cs="Times New Roman"/>
          <w:bCs/>
          <w:sz w:val="28"/>
          <w:szCs w:val="28"/>
          <w:lang w:val="es-ES_tradnl" w:eastAsia="es-ES"/>
        </w:rPr>
        <w:t xml:space="preserve">general de la Comisión </w:t>
      </w:r>
      <w:r w:rsidRPr="00EE2FA1">
        <w:rPr>
          <w:rFonts w:ascii="Times New Roman" w:eastAsia="Calibri" w:hAnsi="Times New Roman" w:cs="Times New Roman"/>
          <w:bCs/>
          <w:sz w:val="28"/>
          <w:szCs w:val="28"/>
          <w:lang w:val="es-ES_tradnl" w:eastAsia="es-ES"/>
        </w:rPr>
        <w:t xml:space="preserve">Tercera </w:t>
      </w:r>
      <w:r w:rsidRPr="00EE2FA1">
        <w:rPr>
          <w:rFonts w:ascii="Times New Roman" w:eastAsia="Calibri" w:hAnsi="Times New Roman" w:cs="Times New Roman"/>
          <w:bCs/>
          <w:sz w:val="28"/>
          <w:szCs w:val="28"/>
          <w:lang w:val="es-ES_tradnl" w:eastAsia="es-ES"/>
        </w:rPr>
        <w:t>del Senado precisar los artículos con proposición</w:t>
      </w:r>
      <w:r w:rsidRPr="00EE2FA1">
        <w:rPr>
          <w:rFonts w:ascii="Times New Roman" w:eastAsia="Calibri" w:hAnsi="Times New Roman" w:cs="Times New Roman"/>
          <w:bCs/>
          <w:sz w:val="28"/>
          <w:szCs w:val="28"/>
          <w:lang w:val="es-ES_tradnl" w:eastAsia="es-ES"/>
        </w:rPr>
        <w:t>,</w:t>
      </w:r>
      <w:r w:rsidRPr="00EE2FA1">
        <w:rPr>
          <w:rFonts w:ascii="Times New Roman" w:eastAsia="Calibri" w:hAnsi="Times New Roman" w:cs="Times New Roman"/>
          <w:bCs/>
          <w:sz w:val="28"/>
          <w:szCs w:val="28"/>
          <w:lang w:val="es-ES_tradnl" w:eastAsia="es-ES"/>
        </w:rPr>
        <w:t xml:space="preserve"> quien expresó “son los siguientes artículos </w:t>
      </w:r>
      <w:r w:rsidRPr="00EE2FA1">
        <w:rPr>
          <w:rFonts w:ascii="Times New Roman" w:hAnsi="Times New Roman" w:cs="Times New Roman"/>
          <w:sz w:val="28"/>
          <w:szCs w:val="28"/>
        </w:rPr>
        <w:t>1°, 2°, 3°, 4°, 5°, 6°, 8°, 9°, 10, 11, 12, (…). Quiero manifestarles q</w:t>
      </w:r>
      <w:r w:rsidRPr="00EE2FA1">
        <w:rPr>
          <w:rFonts w:ascii="Times New Roman" w:hAnsi="Times New Roman" w:cs="Times New Roman"/>
          <w:sz w:val="28"/>
          <w:szCs w:val="28"/>
        </w:rPr>
        <w:t>ue el 65 tiene votación nominal y el 22 fue solicitado su retiro de este bloque por los ponentes y los coordinadores ponentes”</w:t>
      </w:r>
      <w:r w:rsidRPr="00EE2FA1">
        <w:rPr>
          <w:rStyle w:val="Refdenotaalpie"/>
          <w:rFonts w:ascii="Times New Roman" w:hAnsi="Times New Roman" w:cs="Times New Roman"/>
          <w:sz w:val="28"/>
          <w:szCs w:val="28"/>
        </w:rPr>
        <w:footnoteReference w:id="153"/>
      </w:r>
      <w:r w:rsidRPr="00EE2FA1">
        <w:rPr>
          <w:rFonts w:ascii="Times New Roman" w:hAnsi="Times New Roman" w:cs="Times New Roman"/>
          <w:sz w:val="28"/>
          <w:szCs w:val="28"/>
        </w:rPr>
        <w:t xml:space="preserve">. Adicionalmente la presidenta indicó que las proposiciones no tienen aval por parte de los coordinadores y tampoco por el </w:t>
      </w:r>
      <w:r w:rsidRPr="00EE2FA1">
        <w:rPr>
          <w:rFonts w:ascii="Times New Roman" w:hAnsi="Times New Roman" w:cs="Times New Roman"/>
          <w:sz w:val="28"/>
          <w:szCs w:val="28"/>
        </w:rPr>
        <w:t xml:space="preserve">gobierno </w:t>
      </w:r>
      <w:r w:rsidRPr="00EE2FA1">
        <w:rPr>
          <w:rFonts w:ascii="Times New Roman" w:hAnsi="Times New Roman" w:cs="Times New Roman"/>
          <w:sz w:val="28"/>
          <w:szCs w:val="28"/>
        </w:rPr>
        <w:t xml:space="preserve">nacional, </w:t>
      </w:r>
      <w:r w:rsidRPr="00EE2FA1">
        <w:rPr>
          <w:rFonts w:ascii="Times New Roman" w:hAnsi="Times New Roman" w:cs="Times New Roman"/>
          <w:sz w:val="28"/>
          <w:szCs w:val="28"/>
        </w:rPr>
        <w:t xml:space="preserve">y </w:t>
      </w:r>
      <w:r w:rsidRPr="00EE2FA1">
        <w:rPr>
          <w:rFonts w:ascii="Times New Roman" w:hAnsi="Times New Roman" w:cs="Times New Roman"/>
          <w:sz w:val="28"/>
          <w:szCs w:val="28"/>
        </w:rPr>
        <w:t xml:space="preserve">precisó que al ser una reforma tributaria necesariamente requieren del aval por parte </w:t>
      </w:r>
      <w:r w:rsidRPr="00EE2FA1">
        <w:rPr>
          <w:rFonts w:ascii="Times New Roman" w:hAnsi="Times New Roman" w:cs="Times New Roman"/>
          <w:sz w:val="28"/>
          <w:szCs w:val="28"/>
        </w:rPr>
        <w:t>de este</w:t>
      </w:r>
      <w:r w:rsidRPr="00EE2FA1">
        <w:rPr>
          <w:rFonts w:ascii="Times New Roman" w:hAnsi="Times New Roman" w:cs="Times New Roman"/>
          <w:sz w:val="28"/>
          <w:szCs w:val="28"/>
        </w:rPr>
        <w:t>. Sin embargo, aclaró que al dejar las proposiciones como constancias pueden surtir el debate de manera posterior en las reuniones de ponentes</w:t>
      </w:r>
      <w:r w:rsidRPr="00EE2FA1">
        <w:rPr>
          <w:rFonts w:ascii="Times New Roman" w:hAnsi="Times New Roman" w:cs="Times New Roman"/>
          <w:sz w:val="28"/>
          <w:szCs w:val="28"/>
        </w:rPr>
        <w:t xml:space="preserve"> y luego en plenaria</w:t>
      </w:r>
      <w:r w:rsidRPr="00EE2FA1">
        <w:rPr>
          <w:rFonts w:ascii="Times New Roman" w:hAnsi="Times New Roman" w:cs="Times New Roman"/>
          <w:sz w:val="28"/>
          <w:szCs w:val="28"/>
        </w:rPr>
        <w:t>s</w:t>
      </w:r>
      <w:r w:rsidRPr="00EE2FA1">
        <w:rPr>
          <w:rFonts w:ascii="Times New Roman" w:hAnsi="Times New Roman" w:cs="Times New Roman"/>
          <w:sz w:val="28"/>
          <w:szCs w:val="28"/>
        </w:rPr>
        <w:t>.</w:t>
      </w:r>
    </w:p>
    <w:p w:rsidR="003919D4" w:rsidRPr="00EE2FA1" w:rsidRDefault="00EE2FA1" w:rsidP="003919D4">
      <w:pPr>
        <w:pStyle w:val="Prrafodelista"/>
        <w:tabs>
          <w:tab w:val="left" w:pos="426"/>
        </w:tabs>
        <w:spacing w:line="0" w:lineRule="atLeast"/>
        <w:ind w:left="0"/>
        <w:jc w:val="both"/>
        <w:rPr>
          <w:rFonts w:ascii="Times New Roman" w:eastAsia="Calibri" w:hAnsi="Times New Roman" w:cs="Times New Roman"/>
          <w:bCs/>
          <w:sz w:val="28"/>
          <w:szCs w:val="28"/>
          <w:lang w:val="es-ES_tradnl" w:eastAsia="es-ES"/>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val="es-ES_tradnl" w:eastAsia="es-ES"/>
        </w:rPr>
      </w:pPr>
      <w:r w:rsidRPr="00EE2FA1">
        <w:rPr>
          <w:rFonts w:ascii="Times New Roman" w:hAnsi="Times New Roman" w:cs="Times New Roman"/>
          <w:sz w:val="28"/>
          <w:szCs w:val="28"/>
        </w:rPr>
        <w:t>Posteriormente, tomó la palabra el senador Miguel Uribe Turbay. Él propuso que algunas de las proposiciones a ese bloque de artículos se dejaran como constancias en los siguientes términos:</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250F92">
      <w:pPr>
        <w:pStyle w:val="Prrafodelista"/>
        <w:spacing w:line="0" w:lineRule="atLeast"/>
        <w:ind w:left="567"/>
        <w:jc w:val="both"/>
        <w:rPr>
          <w:rFonts w:ascii="Times New Roman" w:eastAsia="Calibri" w:hAnsi="Times New Roman" w:cs="Times New Roman"/>
          <w:bCs/>
          <w:sz w:val="28"/>
          <w:lang w:val="es-ES_tradnl" w:eastAsia="es-ES"/>
        </w:rPr>
      </w:pPr>
      <w:r w:rsidRPr="00EE2FA1">
        <w:rPr>
          <w:rFonts w:ascii="Times New Roman" w:hAnsi="Times New Roman" w:cs="Times New Roman"/>
          <w:sz w:val="28"/>
        </w:rPr>
        <w:t xml:space="preserve">“Frente a las ponencias Presidenta, </w:t>
      </w:r>
      <w:r w:rsidRPr="00EE2FA1">
        <w:rPr>
          <w:rFonts w:ascii="Times New Roman" w:hAnsi="Times New Roman" w:cs="Times New Roman"/>
          <w:sz w:val="28"/>
        </w:rPr>
        <w:t>quiero decir, Presidenta, que radicamos muchísimas proposiciones, ¡muchas! […] yo lo que quiero proponer aquí Coordinador Ponente, es que todas nuestras proposiciones queden como constancia, pasen a ser estudiadas; le pido pues al equipo de Hacienda que es</w:t>
      </w:r>
      <w:r w:rsidRPr="00EE2FA1">
        <w:rPr>
          <w:rFonts w:ascii="Times New Roman" w:hAnsi="Times New Roman" w:cs="Times New Roman"/>
          <w:sz w:val="28"/>
        </w:rPr>
        <w:t>tudien nuestras proposiciones, hay varias, que entre otras, yo creo que usted comparte conmigo Presidenta y algunos otros Congresistas. Aquí habrá unas que entiendo que si se van a poner a discusión que coinciden con lo que hemos presentado, pues participa</w:t>
      </w:r>
      <w:r w:rsidRPr="00EE2FA1">
        <w:rPr>
          <w:rFonts w:ascii="Times New Roman" w:hAnsi="Times New Roman" w:cs="Times New Roman"/>
          <w:sz w:val="28"/>
        </w:rPr>
        <w:t>remos en esa discusión, pero todas aquellas que no tienen aval, que le presentamos a la Secretaria, pues pedimos Óscar Darío y yo y la bancada del Centro Democrático con Olmes, Christian y Ciro, que pasen a constancias. Y hago una aclaración, no solo las q</w:t>
      </w:r>
      <w:r w:rsidRPr="00EE2FA1">
        <w:rPr>
          <w:rFonts w:ascii="Times New Roman" w:hAnsi="Times New Roman" w:cs="Times New Roman"/>
          <w:sz w:val="28"/>
        </w:rPr>
        <w:t>ue presenté aquí en físico donde la Secretaria, sino también las que presenté en la Comisión ahora, que desde hace un rato nos mandaron para allá, entonces, las que están allá radicados como constancias. […]”</w:t>
      </w:r>
      <w:r w:rsidRPr="00EE2FA1">
        <w:rPr>
          <w:rStyle w:val="Refdenotaalpie"/>
          <w:rFonts w:ascii="Times New Roman" w:hAnsi="Times New Roman" w:cs="Times New Roman"/>
          <w:sz w:val="28"/>
        </w:rPr>
        <w:footnoteReference w:id="154"/>
      </w:r>
      <w:r w:rsidRPr="00EE2FA1">
        <w:rPr>
          <w:rFonts w:ascii="Times New Roman" w:hAnsi="Times New Roman" w:cs="Times New Roman"/>
          <w:sz w:val="28"/>
        </w:rPr>
        <w:t>.</w:t>
      </w:r>
    </w:p>
    <w:p w:rsidR="003919D4" w:rsidRPr="00EE2FA1" w:rsidRDefault="00EE2FA1" w:rsidP="00250F92">
      <w:pPr>
        <w:pStyle w:val="Prrafodelista"/>
        <w:spacing w:line="0" w:lineRule="atLeast"/>
        <w:ind w:left="567"/>
        <w:jc w:val="both"/>
        <w:rPr>
          <w:rFonts w:ascii="Times New Roman" w:eastAsia="Calibri" w:hAnsi="Times New Roman" w:cs="Times New Roman"/>
          <w:bCs/>
          <w:sz w:val="28"/>
          <w:lang w:eastAsia="es-ES"/>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A lo anterior se sumó el representante Óscar</w:t>
      </w:r>
      <w:r w:rsidRPr="00EE2FA1">
        <w:rPr>
          <w:rFonts w:ascii="Times New Roman" w:hAnsi="Times New Roman" w:cs="Times New Roman"/>
          <w:sz w:val="28"/>
          <w:szCs w:val="28"/>
        </w:rPr>
        <w:t xml:space="preserve"> Darío Pérez Pineda: </w:t>
      </w:r>
    </w:p>
    <w:p w:rsidR="002855E6" w:rsidRPr="00EE2FA1" w:rsidRDefault="00EE2FA1" w:rsidP="002855E6">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250F92">
      <w:pPr>
        <w:pStyle w:val="Prrafodelista"/>
        <w:spacing w:line="0" w:lineRule="atLeast"/>
        <w:ind w:left="567"/>
        <w:jc w:val="both"/>
        <w:rPr>
          <w:rFonts w:ascii="Times New Roman" w:hAnsi="Times New Roman" w:cs="Times New Roman"/>
          <w:sz w:val="28"/>
        </w:rPr>
      </w:pPr>
      <w:r w:rsidRPr="00EE2FA1">
        <w:rPr>
          <w:rFonts w:ascii="Times New Roman" w:hAnsi="Times New Roman" w:cs="Times New Roman"/>
          <w:sz w:val="28"/>
        </w:rPr>
        <w:t>“Nosotros dentro del Centro Democrático hemos presentado varios tipos de propuestas. Unas firmadas o suscritas por todos, esas por supuesto quedan como constancia, porque coincido con el doctor Álvaro Monedero, es la forma de dejarla</w:t>
      </w:r>
      <w:r w:rsidRPr="00EE2FA1">
        <w:rPr>
          <w:rFonts w:ascii="Times New Roman" w:hAnsi="Times New Roman" w:cs="Times New Roman"/>
          <w:sz w:val="28"/>
        </w:rPr>
        <w:t>s vivas; ponernos a discutir proposiciones que sean negadas aquí, ya después no las podremos revivir, eso queda claro, pero nosotros tenemos proposiciones suscritas por algunos, porque aunque ustedes no lo crean, también tenemos criterios diferentes, eso e</w:t>
      </w:r>
      <w:r w:rsidRPr="00EE2FA1">
        <w:rPr>
          <w:rFonts w:ascii="Times New Roman" w:hAnsi="Times New Roman" w:cs="Times New Roman"/>
          <w:sz w:val="28"/>
        </w:rPr>
        <w:t>s lógico. Entonces, como hay proposiciones que también están suscritas por mí y de pronto no están suscritas por algunos de los compañeros, esas también las dejamos como constancia, para que quede claro que no son solamente las que presentamos en colectivo</w:t>
      </w:r>
      <w:r w:rsidRPr="00EE2FA1">
        <w:rPr>
          <w:rFonts w:ascii="Times New Roman" w:hAnsi="Times New Roman" w:cs="Times New Roman"/>
          <w:sz w:val="28"/>
        </w:rPr>
        <w:t>, sino las que presentamos individualmente. ¿Y qué es lo que sigue? Lo que sigue es que esas proposiciones, ya los coordinadores y ponentes, se encargan con el Gobierno, porque eso, de eso sí, tengo la absoluta seguridad, el Gobierno es el rector de este t</w:t>
      </w:r>
      <w:r w:rsidRPr="00EE2FA1">
        <w:rPr>
          <w:rFonts w:ascii="Times New Roman" w:hAnsi="Times New Roman" w:cs="Times New Roman"/>
          <w:sz w:val="28"/>
        </w:rPr>
        <w:t>ipo de proyectos”</w:t>
      </w:r>
      <w:r w:rsidRPr="00EE2FA1">
        <w:rPr>
          <w:rStyle w:val="Refdenotaalpie"/>
          <w:rFonts w:ascii="Times New Roman" w:hAnsi="Times New Roman" w:cs="Times New Roman"/>
          <w:sz w:val="28"/>
        </w:rPr>
        <w:footnoteReference w:id="155"/>
      </w:r>
      <w:r w:rsidRPr="00EE2FA1">
        <w:rPr>
          <w:rFonts w:ascii="Times New Roman" w:hAnsi="Times New Roman" w:cs="Times New Roman"/>
          <w:sz w:val="28"/>
        </w:rPr>
        <w:t xml:space="preserve">. </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Después de abierto el debate y expuestos los argumentos por los miembros de las </w:t>
      </w:r>
      <w:r w:rsidRPr="00EE2FA1">
        <w:rPr>
          <w:rFonts w:ascii="Times New Roman" w:hAnsi="Times New Roman" w:cs="Times New Roman"/>
          <w:sz w:val="28"/>
          <w:szCs w:val="28"/>
        </w:rPr>
        <w:t xml:space="preserve">Comisiones Terceras en sesión </w:t>
      </w:r>
      <w:r w:rsidRPr="00EE2FA1">
        <w:rPr>
          <w:rFonts w:ascii="Times New Roman" w:hAnsi="Times New Roman" w:cs="Times New Roman"/>
          <w:sz w:val="28"/>
          <w:szCs w:val="28"/>
        </w:rPr>
        <w:t>conjunta, el coordinador ponente del proyecto de ley, Álvaro Henry Monedero Rivera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solicitó incluir a un grupo de proposici</w:t>
      </w:r>
      <w:r w:rsidRPr="00EE2FA1">
        <w:rPr>
          <w:rFonts w:ascii="Times New Roman" w:hAnsi="Times New Roman" w:cs="Times New Roman"/>
          <w:sz w:val="28"/>
          <w:szCs w:val="28"/>
        </w:rPr>
        <w:t>ones que quedarían como constancias para segundo debate</w:t>
      </w:r>
      <w:r w:rsidRPr="00EE2FA1">
        <w:rPr>
          <w:rStyle w:val="Refdenotaalpie"/>
          <w:rFonts w:ascii="Times New Roman" w:hAnsi="Times New Roman" w:cs="Times New Roman"/>
          <w:sz w:val="28"/>
          <w:szCs w:val="28"/>
        </w:rPr>
        <w:footnoteReference w:id="156"/>
      </w:r>
      <w:r w:rsidRPr="00EE2FA1">
        <w:rPr>
          <w:rFonts w:ascii="Times New Roman" w:hAnsi="Times New Roman" w:cs="Times New Roman"/>
          <w:sz w:val="28"/>
          <w:szCs w:val="28"/>
        </w:rPr>
        <w:t xml:space="preserve">. Así las cosas, la presidenta de las comisiones conjuntas indagó con la secretaría si la Comisión Tercera </w:t>
      </w:r>
      <w:r w:rsidRPr="00EE2FA1">
        <w:rPr>
          <w:rFonts w:ascii="Times New Roman" w:hAnsi="Times New Roman" w:cs="Times New Roman"/>
          <w:sz w:val="28"/>
          <w:szCs w:val="28"/>
        </w:rPr>
        <w:t xml:space="preserve">de la Cámara de Representantes </w:t>
      </w:r>
      <w:r w:rsidRPr="00EE2FA1">
        <w:rPr>
          <w:rFonts w:ascii="Times New Roman" w:hAnsi="Times New Roman" w:cs="Times New Roman"/>
          <w:sz w:val="28"/>
          <w:szCs w:val="28"/>
        </w:rPr>
        <w:t>aprobó que las referidas proposiciones quedaran como constanci</w:t>
      </w:r>
      <w:r w:rsidRPr="00EE2FA1">
        <w:rPr>
          <w:rFonts w:ascii="Times New Roman" w:hAnsi="Times New Roman" w:cs="Times New Roman"/>
          <w:sz w:val="28"/>
          <w:szCs w:val="28"/>
        </w:rPr>
        <w:t>a y precisó que las proposiciones son de los 47 artículos, a lo que respondió “señora presidente, la Comisión Tercera de la Cámara de Representante votó de la siguiente manera: por el SÍ: veinticuatro (24), por el NO: cero (0). Se aprueba que las proposici</w:t>
      </w:r>
      <w:r w:rsidRPr="00EE2FA1">
        <w:rPr>
          <w:rFonts w:ascii="Times New Roman" w:hAnsi="Times New Roman" w:cs="Times New Roman"/>
          <w:sz w:val="28"/>
          <w:szCs w:val="28"/>
        </w:rPr>
        <w:t>ones radicadas a los artículos mencionados en el segundo bloque queden como constancias para segundo debate”</w:t>
      </w:r>
      <w:r w:rsidRPr="00EE2FA1">
        <w:rPr>
          <w:rStyle w:val="Refdenotaalpie"/>
          <w:rFonts w:ascii="Times New Roman" w:hAnsi="Times New Roman" w:cs="Times New Roman"/>
          <w:sz w:val="28"/>
          <w:szCs w:val="28"/>
        </w:rPr>
        <w:footnoteReference w:id="157"/>
      </w:r>
      <w:r w:rsidRPr="00EE2FA1">
        <w:rPr>
          <w:rFonts w:ascii="Times New Roman" w:hAnsi="Times New Roman" w:cs="Times New Roman"/>
          <w:sz w:val="28"/>
          <w:szCs w:val="28"/>
        </w:rPr>
        <w:t xml:space="preserve">. Es importante destacar que ese resultado contó con el voto positivo </w:t>
      </w:r>
      <w:r w:rsidRPr="00EE2FA1">
        <w:rPr>
          <w:rFonts w:ascii="Times New Roman" w:hAnsi="Times New Roman" w:cs="Times New Roman"/>
          <w:sz w:val="28"/>
          <w:szCs w:val="28"/>
        </w:rPr>
        <w:t>del</w:t>
      </w:r>
      <w:r w:rsidRPr="00EE2FA1">
        <w:rPr>
          <w:rFonts w:ascii="Times New Roman" w:hAnsi="Times New Roman" w:cs="Times New Roman"/>
          <w:sz w:val="28"/>
          <w:szCs w:val="28"/>
        </w:rPr>
        <w:t xml:space="preserve"> representante Elkin Rodolfo Ospina Ospina</w:t>
      </w:r>
      <w:r w:rsidRPr="00EE2FA1">
        <w:rPr>
          <w:rStyle w:val="Refdenotaalpie"/>
          <w:rFonts w:ascii="Times New Roman" w:hAnsi="Times New Roman" w:cs="Times New Roman"/>
          <w:sz w:val="28"/>
          <w:szCs w:val="28"/>
        </w:rPr>
        <w:footnoteReference w:id="158"/>
      </w:r>
      <w:r w:rsidRPr="00EE2FA1">
        <w:rPr>
          <w:rFonts w:ascii="Times New Roman" w:hAnsi="Times New Roman" w:cs="Times New Roman"/>
          <w:sz w:val="28"/>
          <w:szCs w:val="28"/>
        </w:rPr>
        <w:t>. De igual forma, el secretario</w:t>
      </w:r>
      <w:r w:rsidRPr="00EE2FA1">
        <w:rPr>
          <w:rFonts w:ascii="Times New Roman" w:hAnsi="Times New Roman" w:cs="Times New Roman"/>
          <w:sz w:val="28"/>
          <w:szCs w:val="28"/>
        </w:rPr>
        <w:t xml:space="preserve"> general de la Comisión Tercera de Senado informó a la presidenta de la Comisión Tercera Conjunta la votación realizada en la referida célula legislativa e indicó: “señora presidente, por el SÍ: trece (13) votos, por el NO: un (1) voto; han sido aprobadas </w:t>
      </w:r>
      <w:r w:rsidRPr="00EE2FA1">
        <w:rPr>
          <w:rFonts w:ascii="Times New Roman" w:hAnsi="Times New Roman" w:cs="Times New Roman"/>
          <w:sz w:val="28"/>
          <w:szCs w:val="28"/>
        </w:rPr>
        <w:t>las constancias respectivas”</w:t>
      </w:r>
      <w:r w:rsidRPr="00EE2FA1">
        <w:rPr>
          <w:rStyle w:val="Refdenotaalpie"/>
          <w:rFonts w:ascii="Times New Roman" w:hAnsi="Times New Roman" w:cs="Times New Roman"/>
          <w:sz w:val="28"/>
          <w:szCs w:val="28"/>
        </w:rPr>
        <w:footnoteReference w:id="159"/>
      </w:r>
      <w:r w:rsidRPr="00EE2FA1">
        <w:rPr>
          <w:rFonts w:ascii="Times New Roman" w:hAnsi="Times New Roman" w:cs="Times New Roman"/>
          <w:sz w:val="28"/>
          <w:szCs w:val="28"/>
        </w:rPr>
        <w:t>. Este resultado lo respaldaron con su voto afirmativo los senadores José Alfredo Gnecco Zuleta y Ciro Alejandro Ramírez Cortés</w:t>
      </w:r>
      <w:r w:rsidRPr="00EE2FA1">
        <w:rPr>
          <w:rStyle w:val="Refdenotaalpie"/>
          <w:rFonts w:ascii="Times New Roman" w:hAnsi="Times New Roman" w:cs="Times New Roman"/>
          <w:sz w:val="28"/>
          <w:szCs w:val="28"/>
        </w:rPr>
        <w:footnoteReference w:id="160"/>
      </w:r>
      <w:r w:rsidRPr="00EE2FA1">
        <w:rPr>
          <w:rFonts w:ascii="Times New Roman" w:hAnsi="Times New Roman" w:cs="Times New Roman"/>
          <w:sz w:val="28"/>
          <w:szCs w:val="28"/>
        </w:rPr>
        <w:t>.</w:t>
      </w: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Posteriormente, la presidenta de las comisiones conjuntas puso a disposición los cuarenta y siete</w:t>
      </w:r>
      <w:r w:rsidRPr="00EE2FA1">
        <w:rPr>
          <w:rFonts w:ascii="Times New Roman" w:hAnsi="Times New Roman" w:cs="Times New Roman"/>
          <w:sz w:val="28"/>
          <w:szCs w:val="28"/>
        </w:rPr>
        <w:t xml:space="preserve"> (47) artículos leídos como fueron presentados en la ponencia y procedió con la respectiva votación. En razón a ello, la secretaria general de la Comisión Tercera de Cámara manifestó</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“Representantes, Comisión tercera de Cámara, en votación del segundo blo</w:t>
      </w:r>
      <w:r w:rsidRPr="00EE2FA1">
        <w:rPr>
          <w:rFonts w:ascii="Times New Roman" w:hAnsi="Times New Roman" w:cs="Times New Roman"/>
          <w:sz w:val="28"/>
          <w:szCs w:val="28"/>
        </w:rPr>
        <w:t>que de artículos 1°, 2°, 3°, 4°, 5°, 6°, 8°, 9°, 10, 11, 12, […]” e informó “señora presidente, la Comisión Tercera de la Cámara de Representantes, votó de la siguiente manera: Por el SÍ: veinticuatro (24), por el NO: cero (0); han sido aprobados el segund</w:t>
      </w:r>
      <w:r w:rsidRPr="00EE2FA1">
        <w:rPr>
          <w:rFonts w:ascii="Times New Roman" w:hAnsi="Times New Roman" w:cs="Times New Roman"/>
          <w:sz w:val="28"/>
          <w:szCs w:val="28"/>
        </w:rPr>
        <w:t>o bloque de artículos, tal como vienen en la ponencia […]”</w:t>
      </w:r>
      <w:r w:rsidRPr="00EE2FA1">
        <w:rPr>
          <w:rStyle w:val="Refdenotaalpie"/>
          <w:rFonts w:ascii="Times New Roman" w:hAnsi="Times New Roman" w:cs="Times New Roman"/>
          <w:sz w:val="28"/>
          <w:szCs w:val="28"/>
        </w:rPr>
        <w:footnoteReference w:id="161"/>
      </w:r>
      <w:r w:rsidRPr="00EE2FA1">
        <w:rPr>
          <w:rFonts w:ascii="Times New Roman" w:hAnsi="Times New Roman" w:cs="Times New Roman"/>
          <w:sz w:val="28"/>
          <w:szCs w:val="28"/>
        </w:rPr>
        <w:t>. El secretario general de la Comisión Tercera de Senado realizó lo propio e informó a la presidenta “el segundo bloque del articulado fue aprobado, por el SÍ: trece (13) votos, por el NO: un (1) v</w:t>
      </w:r>
      <w:r w:rsidRPr="00EE2FA1">
        <w:rPr>
          <w:rFonts w:ascii="Times New Roman" w:hAnsi="Times New Roman" w:cs="Times New Roman"/>
          <w:sz w:val="28"/>
          <w:szCs w:val="28"/>
        </w:rPr>
        <w:t>oto”</w:t>
      </w:r>
      <w:r w:rsidRPr="00EE2FA1">
        <w:rPr>
          <w:rStyle w:val="Refdenotaalpie"/>
          <w:rFonts w:ascii="Times New Roman" w:hAnsi="Times New Roman" w:cs="Times New Roman"/>
          <w:sz w:val="28"/>
          <w:szCs w:val="28"/>
        </w:rPr>
        <w:footnoteReference w:id="162"/>
      </w:r>
      <w:r w:rsidRPr="00EE2FA1">
        <w:rPr>
          <w:rFonts w:ascii="Times New Roman" w:hAnsi="Times New Roman" w:cs="Times New Roman"/>
          <w:sz w:val="28"/>
          <w:szCs w:val="28"/>
        </w:rPr>
        <w:t xml:space="preserve">. </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867ED0">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De acuerdo con lo anterior, la Sala recapitula y resalta las siguientes circunstancias en relación con las proposiciones modificativas que </w:t>
      </w:r>
      <w:r w:rsidRPr="00EE2FA1">
        <w:rPr>
          <w:rFonts w:ascii="Times New Roman" w:hAnsi="Times New Roman" w:cs="Times New Roman"/>
          <w:sz w:val="28"/>
          <w:szCs w:val="28"/>
        </w:rPr>
        <w:t xml:space="preserve">se relacionan con </w:t>
      </w:r>
      <w:r w:rsidRPr="00EE2FA1">
        <w:rPr>
          <w:rFonts w:ascii="Times New Roman" w:hAnsi="Times New Roman" w:cs="Times New Roman"/>
          <w:sz w:val="28"/>
          <w:szCs w:val="28"/>
        </w:rPr>
        <w:t>el cargo formulado por la accionante. Primero, en el trámite del proyecto de ley que se pr</w:t>
      </w:r>
      <w:r w:rsidRPr="00EE2FA1">
        <w:rPr>
          <w:rFonts w:ascii="Times New Roman" w:hAnsi="Times New Roman" w:cs="Times New Roman"/>
          <w:sz w:val="28"/>
          <w:szCs w:val="28"/>
        </w:rPr>
        <w:t xml:space="preserve">esentó para primer debate en las </w:t>
      </w:r>
      <w:r w:rsidRPr="00EE2FA1">
        <w:rPr>
          <w:rFonts w:ascii="Times New Roman" w:hAnsi="Times New Roman" w:cs="Times New Roman"/>
          <w:sz w:val="28"/>
          <w:szCs w:val="28"/>
        </w:rPr>
        <w:t xml:space="preserve">Comisiones Terceras en sesiones </w:t>
      </w:r>
      <w:r w:rsidRPr="00EE2FA1">
        <w:rPr>
          <w:rFonts w:ascii="Times New Roman" w:hAnsi="Times New Roman" w:cs="Times New Roman"/>
          <w:sz w:val="28"/>
          <w:szCs w:val="28"/>
        </w:rPr>
        <w:t xml:space="preserve">conjuntas, los congresistas presentaron varias proposiciones para el bloque de artículos en los que se votaron aquellos </w:t>
      </w:r>
      <w:r w:rsidRPr="00EE2FA1">
        <w:rPr>
          <w:rFonts w:ascii="Times New Roman" w:hAnsi="Times New Roman" w:cs="Times New Roman"/>
          <w:sz w:val="28"/>
          <w:szCs w:val="28"/>
        </w:rPr>
        <w:t xml:space="preserve">ahora </w:t>
      </w:r>
      <w:r w:rsidRPr="00EE2FA1">
        <w:rPr>
          <w:rFonts w:ascii="Times New Roman" w:hAnsi="Times New Roman" w:cs="Times New Roman"/>
          <w:sz w:val="28"/>
          <w:szCs w:val="28"/>
        </w:rPr>
        <w:t xml:space="preserve">demandados. Segundo, </w:t>
      </w:r>
      <w:r w:rsidRPr="00EE2FA1">
        <w:rPr>
          <w:rFonts w:ascii="Times New Roman" w:hAnsi="Times New Roman" w:cs="Times New Roman"/>
          <w:sz w:val="28"/>
          <w:szCs w:val="28"/>
        </w:rPr>
        <w:t>dos</w:t>
      </w:r>
      <w:r w:rsidRPr="00EE2FA1">
        <w:rPr>
          <w:rFonts w:ascii="Times New Roman" w:hAnsi="Times New Roman" w:cs="Times New Roman"/>
          <w:sz w:val="28"/>
          <w:szCs w:val="28"/>
        </w:rPr>
        <w:t xml:space="preserve"> de esas proposiciones en relación con los artículos 9 y 12 de la ponencia para primer debate son las siguientes: (i) la del representante Elkin Rodolfo Ospina Ospina para eliminar el artículo 12 del proyecto de ley</w:t>
      </w:r>
      <w:r w:rsidRPr="00EE2FA1">
        <w:rPr>
          <w:rFonts w:ascii="Times New Roman" w:hAnsi="Times New Roman" w:cs="Times New Roman"/>
          <w:sz w:val="28"/>
          <w:szCs w:val="28"/>
        </w:rPr>
        <w:t xml:space="preserve"> y</w:t>
      </w:r>
      <w:r w:rsidRPr="00EE2FA1">
        <w:rPr>
          <w:rFonts w:ascii="Times New Roman" w:hAnsi="Times New Roman" w:cs="Times New Roman"/>
          <w:sz w:val="28"/>
          <w:szCs w:val="28"/>
        </w:rPr>
        <w:t xml:space="preserve"> (ii) la de los representantes Oscar Da</w:t>
      </w:r>
      <w:r w:rsidRPr="00EE2FA1">
        <w:rPr>
          <w:rFonts w:ascii="Times New Roman" w:hAnsi="Times New Roman" w:cs="Times New Roman"/>
          <w:sz w:val="28"/>
          <w:szCs w:val="28"/>
        </w:rPr>
        <w:t>río Pérez Pineda, Olmes de Jesús Echeverría de la Rosa y de los senadores Ciro Alejandro Ramírez Cortés y Christian M. Garcés Aljure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para adicionar un parágrafo al artículo 9 del proyecto de ley</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Tercero, al estudiarse el bloque de artículos que incluían </w:t>
      </w:r>
      <w:r w:rsidRPr="00EE2FA1">
        <w:rPr>
          <w:rFonts w:ascii="Times New Roman" w:hAnsi="Times New Roman" w:cs="Times New Roman"/>
          <w:sz w:val="28"/>
          <w:szCs w:val="28"/>
        </w:rPr>
        <w:t>los numerados 9 y 12 del proyecto de ley, el coordinador ponente solicitó a los autores de las proposiciones que dejaran estas como constancias, para que fuesen estudiadas y tenidas en cuenta en la construcción de la ponencia para el segundo debate</w:t>
      </w:r>
      <w:r w:rsidRPr="00EE2FA1">
        <w:rPr>
          <w:rFonts w:ascii="Times New Roman" w:hAnsi="Times New Roman" w:cs="Times New Roman"/>
          <w:sz w:val="28"/>
          <w:szCs w:val="28"/>
        </w:rPr>
        <w:t>, lo cua</w:t>
      </w:r>
      <w:r w:rsidRPr="00EE2FA1">
        <w:rPr>
          <w:rFonts w:ascii="Times New Roman" w:hAnsi="Times New Roman" w:cs="Times New Roman"/>
          <w:sz w:val="28"/>
          <w:szCs w:val="28"/>
        </w:rPr>
        <w:t>l se hizo</w:t>
      </w:r>
      <w:r w:rsidRPr="00EE2FA1">
        <w:rPr>
          <w:rFonts w:ascii="Times New Roman" w:hAnsi="Times New Roman" w:cs="Times New Roman"/>
          <w:sz w:val="28"/>
          <w:szCs w:val="28"/>
        </w:rPr>
        <w:t>. Cuarto, algunos de los autores de esas proposiciones en cuestión manifestaron su acuerdo en que quedaran como constancias. Es el caso del representante Oscar Darío Pérez Pineda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p>
    <w:p w:rsidR="00730F8D" w:rsidRPr="00EE2FA1" w:rsidRDefault="00EE2FA1" w:rsidP="00730F8D">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La Sala Plena observa que la solicitud que fue realizada por el c</w:t>
      </w:r>
      <w:r w:rsidRPr="00EE2FA1">
        <w:rPr>
          <w:rFonts w:ascii="Times New Roman" w:hAnsi="Times New Roman" w:cs="Times New Roman"/>
          <w:sz w:val="28"/>
          <w:szCs w:val="28"/>
        </w:rPr>
        <w:t xml:space="preserve">oordinador ponente </w:t>
      </w:r>
      <w:r w:rsidRPr="00EE2FA1">
        <w:rPr>
          <w:rFonts w:ascii="Times New Roman" w:hAnsi="Times New Roman" w:cs="Times New Roman"/>
          <w:sz w:val="28"/>
          <w:szCs w:val="28"/>
        </w:rPr>
        <w:t>fue</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compartida</w:t>
      </w:r>
      <w:r w:rsidRPr="00EE2FA1">
        <w:rPr>
          <w:rFonts w:ascii="Times New Roman" w:hAnsi="Times New Roman" w:cs="Times New Roman"/>
          <w:sz w:val="28"/>
          <w:szCs w:val="28"/>
        </w:rPr>
        <w:t xml:space="preserve"> por los integrantes de las </w:t>
      </w:r>
      <w:r w:rsidRPr="00EE2FA1">
        <w:rPr>
          <w:rFonts w:ascii="Times New Roman" w:hAnsi="Times New Roman" w:cs="Times New Roman"/>
          <w:sz w:val="28"/>
          <w:szCs w:val="28"/>
        </w:rPr>
        <w:t>Comisiones Terceras</w:t>
      </w:r>
      <w:r w:rsidRPr="00EE2FA1">
        <w:rPr>
          <w:rFonts w:ascii="Times New Roman" w:hAnsi="Times New Roman" w:cs="Times New Roman"/>
          <w:sz w:val="28"/>
          <w:szCs w:val="28"/>
        </w:rPr>
        <w:t>, incluidos los autores de las proposiciones</w:t>
      </w:r>
      <w:r w:rsidRPr="00EE2FA1">
        <w:rPr>
          <w:rFonts w:ascii="Times New Roman" w:hAnsi="Times New Roman" w:cs="Times New Roman"/>
          <w:sz w:val="28"/>
          <w:szCs w:val="28"/>
        </w:rPr>
        <w:t>, aprobándose tal proceder mediante votación en cada célula legislativa</w:t>
      </w:r>
      <w:r w:rsidRPr="00EE2FA1">
        <w:rPr>
          <w:rFonts w:ascii="Times New Roman" w:hAnsi="Times New Roman" w:cs="Times New Roman"/>
          <w:sz w:val="28"/>
          <w:szCs w:val="28"/>
        </w:rPr>
        <w:t>. Tal circunstancia</w:t>
      </w:r>
      <w:r w:rsidRPr="00EE2FA1">
        <w:rPr>
          <w:rFonts w:ascii="Times New Roman" w:hAnsi="Times New Roman" w:cs="Times New Roman"/>
          <w:sz w:val="28"/>
          <w:szCs w:val="28"/>
        </w:rPr>
        <w:t xml:space="preserve"> evidencia su voluntad de que las proposic</w:t>
      </w:r>
      <w:r w:rsidRPr="00EE2FA1">
        <w:rPr>
          <w:rFonts w:ascii="Times New Roman" w:hAnsi="Times New Roman" w:cs="Times New Roman"/>
          <w:sz w:val="28"/>
          <w:szCs w:val="28"/>
        </w:rPr>
        <w:t xml:space="preserve">iones presentadas quedaran como constancias dentro del trámite legislativo. De ese modo, obró una manifestación de retirarlas como proposiciones y, por ende, no </w:t>
      </w:r>
      <w:r w:rsidRPr="00EE2FA1">
        <w:rPr>
          <w:rFonts w:ascii="Times New Roman" w:hAnsi="Times New Roman" w:cs="Times New Roman"/>
          <w:sz w:val="28"/>
          <w:szCs w:val="28"/>
        </w:rPr>
        <w:t>fueron</w:t>
      </w:r>
      <w:r w:rsidRPr="00EE2FA1">
        <w:rPr>
          <w:rFonts w:ascii="Times New Roman" w:hAnsi="Times New Roman" w:cs="Times New Roman"/>
          <w:sz w:val="28"/>
          <w:szCs w:val="28"/>
        </w:rPr>
        <w:t xml:space="preserve"> debatidas o discutidas en el primer debate. </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730F8D" w:rsidRPr="00EE2FA1" w:rsidRDefault="00EE2FA1" w:rsidP="008274C2">
      <w:pPr>
        <w:pStyle w:val="Prrafodelista"/>
        <w:numPr>
          <w:ilvl w:val="0"/>
          <w:numId w:val="1"/>
        </w:numPr>
        <w:tabs>
          <w:tab w:val="left" w:pos="426"/>
        </w:tabs>
        <w:spacing w:line="0" w:lineRule="atLeast"/>
        <w:ind w:left="0" w:firstLine="0"/>
        <w:jc w:val="both"/>
        <w:rPr>
          <w:rFonts w:ascii="Times New Roman" w:hAnsi="Times New Roman" w:cs="Times New Roman"/>
          <w:sz w:val="28"/>
          <w:szCs w:val="28"/>
          <w:lang w:val="es-ES"/>
        </w:rPr>
      </w:pP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Corte</w:t>
      </w:r>
      <w:r w:rsidRPr="00EE2FA1">
        <w:rPr>
          <w:rFonts w:ascii="Times New Roman" w:hAnsi="Times New Roman" w:cs="Times New Roman"/>
          <w:sz w:val="28"/>
          <w:szCs w:val="28"/>
        </w:rPr>
        <w:t xml:space="preserve"> no comparte el criterio de la accionante en </w:t>
      </w:r>
      <w:r w:rsidRPr="00EE2FA1">
        <w:rPr>
          <w:rFonts w:ascii="Times New Roman" w:hAnsi="Times New Roman" w:cs="Times New Roman"/>
          <w:sz w:val="28"/>
          <w:szCs w:val="28"/>
        </w:rPr>
        <w:t>el sentido</w:t>
      </w:r>
      <w:r w:rsidRPr="00EE2FA1">
        <w:rPr>
          <w:rFonts w:ascii="Times New Roman" w:hAnsi="Times New Roman" w:cs="Times New Roman"/>
          <w:sz w:val="28"/>
          <w:szCs w:val="28"/>
        </w:rPr>
        <w:t xml:space="preserve"> que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decisión</w:t>
      </w:r>
      <w:r w:rsidRPr="00EE2FA1">
        <w:rPr>
          <w:rFonts w:ascii="Times New Roman" w:hAnsi="Times New Roman" w:cs="Times New Roman"/>
          <w:sz w:val="28"/>
          <w:szCs w:val="28"/>
        </w:rPr>
        <w:t xml:space="preserve"> de retiro</w:t>
      </w:r>
      <w:r w:rsidRPr="00EE2FA1">
        <w:rPr>
          <w:rFonts w:ascii="Times New Roman" w:hAnsi="Times New Roman" w:cs="Times New Roman"/>
          <w:sz w:val="28"/>
          <w:szCs w:val="28"/>
        </w:rPr>
        <w:t xml:space="preserve"> requería la manifestación expresa de todos los que suscribieron las respectivas proposiciones. Lo anterior, por</w:t>
      </w:r>
      <w:r w:rsidRPr="00EE2FA1">
        <w:rPr>
          <w:rFonts w:ascii="Times New Roman" w:hAnsi="Times New Roman" w:cs="Times New Roman"/>
          <w:sz w:val="28"/>
          <w:szCs w:val="28"/>
        </w:rPr>
        <w:t>que</w:t>
      </w:r>
      <w:r w:rsidRPr="00EE2FA1">
        <w:rPr>
          <w:rFonts w:ascii="Times New Roman" w:hAnsi="Times New Roman" w:cs="Times New Roman"/>
          <w:sz w:val="28"/>
          <w:szCs w:val="28"/>
        </w:rPr>
        <w:t xml:space="preserve"> el retiro de las </w:t>
      </w:r>
      <w:r w:rsidRPr="00EE2FA1">
        <w:rPr>
          <w:rFonts w:ascii="Times New Roman" w:hAnsi="Times New Roman" w:cs="Times New Roman"/>
          <w:sz w:val="28"/>
          <w:szCs w:val="28"/>
        </w:rPr>
        <w:t xml:space="preserve">proposiciones </w:t>
      </w:r>
      <w:r w:rsidRPr="00EE2FA1">
        <w:rPr>
          <w:rFonts w:ascii="Times New Roman" w:hAnsi="Times New Roman" w:cs="Times New Roman"/>
          <w:sz w:val="28"/>
          <w:szCs w:val="28"/>
        </w:rPr>
        <w:t xml:space="preserve">debe acompasarse con </w:t>
      </w:r>
      <w:r w:rsidRPr="00EE2FA1">
        <w:rPr>
          <w:rFonts w:ascii="Times New Roman" w:hAnsi="Times New Roman" w:cs="Times New Roman"/>
          <w:sz w:val="28"/>
          <w:szCs w:val="28"/>
        </w:rPr>
        <w:t>los pri</w:t>
      </w:r>
      <w:r w:rsidRPr="00EE2FA1">
        <w:rPr>
          <w:rFonts w:ascii="Times New Roman" w:hAnsi="Times New Roman" w:cs="Times New Roman"/>
          <w:sz w:val="28"/>
          <w:szCs w:val="28"/>
        </w:rPr>
        <w:t xml:space="preserve">ncipios </w:t>
      </w:r>
      <w:r w:rsidRPr="00EE2FA1">
        <w:rPr>
          <w:rFonts w:ascii="Times New Roman" w:hAnsi="Times New Roman" w:cs="Times New Roman"/>
          <w:sz w:val="28"/>
          <w:szCs w:val="28"/>
        </w:rPr>
        <w:t>de celeridad</w:t>
      </w:r>
      <w:r w:rsidRPr="00EE2FA1">
        <w:rPr>
          <w:rFonts w:ascii="Times New Roman" w:hAnsi="Times New Roman" w:cs="Times New Roman"/>
          <w:sz w:val="28"/>
          <w:szCs w:val="28"/>
        </w:rPr>
        <w:t xml:space="preserve"> y de razonabilidad</w:t>
      </w:r>
      <w:r w:rsidRPr="00EE2FA1">
        <w:rPr>
          <w:rFonts w:ascii="Times New Roman" w:hAnsi="Times New Roman" w:cs="Times New Roman"/>
          <w:sz w:val="28"/>
          <w:szCs w:val="28"/>
        </w:rPr>
        <w:t xml:space="preserve"> que guía la interpretación y aplicación del Reglamento del Congreso</w:t>
      </w:r>
      <w:r w:rsidRPr="00EE2FA1">
        <w:rPr>
          <w:rStyle w:val="Refdenotaalpie"/>
          <w:rFonts w:ascii="Times New Roman" w:hAnsi="Times New Roman" w:cs="Times New Roman"/>
          <w:sz w:val="28"/>
          <w:szCs w:val="28"/>
        </w:rPr>
        <w:footnoteReference w:id="163"/>
      </w:r>
      <w:r w:rsidRPr="00EE2FA1">
        <w:rPr>
          <w:rFonts w:ascii="Times New Roman" w:hAnsi="Times New Roman" w:cs="Times New Roman"/>
          <w:sz w:val="28"/>
          <w:szCs w:val="28"/>
        </w:rPr>
        <w:t xml:space="preserve"> y el deber de diligencia al que están sujetos los congresistas. </w:t>
      </w:r>
      <w:r w:rsidRPr="00EE2FA1">
        <w:rPr>
          <w:rFonts w:ascii="Times New Roman" w:eastAsia="Calibri" w:hAnsi="Times New Roman" w:cs="Times New Roman"/>
          <w:color w:val="000000" w:themeColor="text1"/>
          <w:sz w:val="28"/>
          <w:szCs w:val="28"/>
          <w:lang w:val="es-ES"/>
        </w:rPr>
        <w:t>De esta manera, la voluntad de retirar la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 xml:space="preserve"> </w:t>
      </w:r>
      <w:r w:rsidRPr="00EE2FA1">
        <w:rPr>
          <w:rFonts w:ascii="Times New Roman" w:eastAsia="Calibri" w:hAnsi="Times New Roman" w:cs="Times New Roman"/>
          <w:color w:val="000000" w:themeColor="text1"/>
          <w:sz w:val="28"/>
          <w:szCs w:val="28"/>
          <w:lang w:val="es-ES"/>
        </w:rPr>
        <w:t xml:space="preserve">proposiciones </w:t>
      </w:r>
      <w:r w:rsidRPr="00EE2FA1">
        <w:rPr>
          <w:rFonts w:ascii="Times New Roman" w:eastAsia="Calibri" w:hAnsi="Times New Roman" w:cs="Times New Roman"/>
          <w:color w:val="000000" w:themeColor="text1"/>
          <w:sz w:val="28"/>
          <w:szCs w:val="28"/>
          <w:lang w:val="es-ES"/>
        </w:rPr>
        <w:t>y dejarla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 xml:space="preserve"> como constancia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 xml:space="preserve"> fue expresada por varios de los proponentes, y aquellos </w:t>
      </w:r>
      <w:r w:rsidRPr="00EE2FA1">
        <w:rPr>
          <w:rFonts w:ascii="Times New Roman" w:eastAsia="Calibri" w:hAnsi="Times New Roman" w:cs="Times New Roman"/>
          <w:color w:val="000000" w:themeColor="text1"/>
          <w:sz w:val="28"/>
          <w:szCs w:val="28"/>
          <w:lang w:val="es-ES"/>
        </w:rPr>
        <w:t xml:space="preserve">autores </w:t>
      </w:r>
      <w:r w:rsidRPr="00EE2FA1">
        <w:rPr>
          <w:rFonts w:ascii="Times New Roman" w:eastAsia="Calibri" w:hAnsi="Times New Roman" w:cs="Times New Roman"/>
          <w:color w:val="000000" w:themeColor="text1"/>
          <w:sz w:val="28"/>
          <w:szCs w:val="28"/>
          <w:lang w:val="es-ES"/>
        </w:rPr>
        <w:t xml:space="preserve">que no se manifestaron expresamente </w:t>
      </w:r>
      <w:r w:rsidRPr="00EE2FA1">
        <w:rPr>
          <w:rFonts w:ascii="Times New Roman" w:eastAsia="Calibri" w:hAnsi="Times New Roman" w:cs="Times New Roman"/>
          <w:color w:val="000000" w:themeColor="text1"/>
          <w:sz w:val="28"/>
          <w:szCs w:val="28"/>
          <w:lang w:val="es-ES"/>
        </w:rPr>
        <w:t xml:space="preserve">al guardar </w:t>
      </w:r>
      <w:r w:rsidRPr="00EE2FA1">
        <w:rPr>
          <w:rFonts w:ascii="Times New Roman" w:eastAsia="Calibri" w:hAnsi="Times New Roman" w:cs="Times New Roman"/>
          <w:color w:val="000000" w:themeColor="text1"/>
          <w:sz w:val="28"/>
          <w:szCs w:val="28"/>
          <w:lang w:val="es-ES"/>
        </w:rPr>
        <w:t>silencio al respecto</w:t>
      </w:r>
      <w:r w:rsidRPr="00EE2FA1">
        <w:rPr>
          <w:rFonts w:ascii="Times New Roman" w:eastAsia="Calibri" w:hAnsi="Times New Roman" w:cs="Times New Roman"/>
          <w:color w:val="000000" w:themeColor="text1"/>
          <w:sz w:val="28"/>
          <w:szCs w:val="28"/>
          <w:lang w:val="es-ES"/>
        </w:rPr>
        <w:t xml:space="preserve"> acogieron la propuesta de dejarlas como constancias</w:t>
      </w:r>
      <w:r w:rsidRPr="00EE2FA1">
        <w:rPr>
          <w:rFonts w:ascii="Times New Roman" w:eastAsia="Calibri" w:hAnsi="Times New Roman" w:cs="Times New Roman"/>
          <w:color w:val="000000" w:themeColor="text1"/>
          <w:sz w:val="28"/>
          <w:szCs w:val="28"/>
          <w:lang w:val="es-ES"/>
        </w:rPr>
        <w:t>. E</w:t>
      </w:r>
      <w:r w:rsidRPr="00EE2FA1">
        <w:rPr>
          <w:rFonts w:ascii="Times New Roman" w:eastAsia="Calibri" w:hAnsi="Times New Roman" w:cs="Times New Roman"/>
          <w:color w:val="000000" w:themeColor="text1"/>
          <w:sz w:val="28"/>
          <w:szCs w:val="28"/>
          <w:lang w:val="es-ES"/>
        </w:rPr>
        <w:t>n efecto, e</w:t>
      </w:r>
      <w:r w:rsidRPr="00EE2FA1">
        <w:rPr>
          <w:rFonts w:ascii="Times New Roman" w:eastAsia="Calibri" w:hAnsi="Times New Roman" w:cs="Times New Roman"/>
          <w:color w:val="000000" w:themeColor="text1"/>
          <w:sz w:val="28"/>
          <w:szCs w:val="28"/>
          <w:lang w:val="es-ES"/>
        </w:rPr>
        <w:t>ste silencio puede entenderse</w:t>
      </w:r>
      <w:r w:rsidRPr="00EE2FA1">
        <w:rPr>
          <w:rFonts w:ascii="Times New Roman" w:eastAsia="Calibri" w:hAnsi="Times New Roman" w:cs="Times New Roman"/>
          <w:color w:val="000000" w:themeColor="text1"/>
          <w:sz w:val="28"/>
          <w:szCs w:val="28"/>
          <w:lang w:val="es-ES"/>
        </w:rPr>
        <w:t>,</w:t>
      </w:r>
      <w:r w:rsidRPr="00EE2FA1">
        <w:rPr>
          <w:rFonts w:ascii="Times New Roman" w:eastAsia="Calibri" w:hAnsi="Times New Roman" w:cs="Times New Roman"/>
          <w:color w:val="000000" w:themeColor="text1"/>
          <w:sz w:val="28"/>
          <w:szCs w:val="28"/>
          <w:lang w:val="es-ES"/>
        </w:rPr>
        <w:t xml:space="preserve"> de forma razonable</w:t>
      </w:r>
      <w:r w:rsidRPr="00EE2FA1">
        <w:rPr>
          <w:rFonts w:ascii="Times New Roman" w:eastAsia="Calibri" w:hAnsi="Times New Roman" w:cs="Times New Roman"/>
          <w:color w:val="000000" w:themeColor="text1"/>
          <w:sz w:val="28"/>
          <w:szCs w:val="28"/>
          <w:lang w:val="es-ES"/>
        </w:rPr>
        <w:t>,</w:t>
      </w:r>
      <w:r w:rsidRPr="00EE2FA1">
        <w:rPr>
          <w:rFonts w:ascii="Times New Roman" w:eastAsia="Calibri" w:hAnsi="Times New Roman" w:cs="Times New Roman"/>
          <w:color w:val="000000" w:themeColor="text1"/>
          <w:sz w:val="28"/>
          <w:szCs w:val="28"/>
          <w:lang w:val="es-ES"/>
        </w:rPr>
        <w:t xml:space="preserve"> como u</w:t>
      </w:r>
      <w:r w:rsidRPr="00EE2FA1">
        <w:rPr>
          <w:rFonts w:ascii="Times New Roman" w:eastAsia="Calibri" w:hAnsi="Times New Roman" w:cs="Times New Roman"/>
          <w:color w:val="000000" w:themeColor="text1"/>
          <w:sz w:val="28"/>
          <w:szCs w:val="28"/>
          <w:lang w:val="es-ES"/>
        </w:rPr>
        <w:t>na manifestación tácita de la voluntad de los demás proponentes de retirar la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 xml:space="preserve"> </w:t>
      </w:r>
      <w:r w:rsidRPr="00EE2FA1">
        <w:rPr>
          <w:rFonts w:ascii="Times New Roman" w:eastAsia="Calibri" w:hAnsi="Times New Roman" w:cs="Times New Roman"/>
          <w:color w:val="000000" w:themeColor="text1"/>
          <w:sz w:val="28"/>
          <w:szCs w:val="28"/>
          <w:lang w:val="es-ES"/>
        </w:rPr>
        <w:t xml:space="preserve">proposiciones </w:t>
      </w:r>
      <w:r w:rsidRPr="00EE2FA1">
        <w:rPr>
          <w:rFonts w:ascii="Times New Roman" w:eastAsia="Calibri" w:hAnsi="Times New Roman" w:cs="Times New Roman"/>
          <w:color w:val="000000" w:themeColor="text1"/>
          <w:sz w:val="28"/>
          <w:szCs w:val="28"/>
          <w:lang w:val="es-ES"/>
        </w:rPr>
        <w:t>y dejarla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 xml:space="preserve"> como constancia</w:t>
      </w:r>
      <w:r w:rsidRPr="00EE2FA1">
        <w:rPr>
          <w:rFonts w:ascii="Times New Roman" w:eastAsia="Calibri" w:hAnsi="Times New Roman" w:cs="Times New Roman"/>
          <w:color w:val="000000" w:themeColor="text1"/>
          <w:sz w:val="28"/>
          <w:szCs w:val="28"/>
          <w:lang w:val="es-ES"/>
        </w:rPr>
        <w:t>s</w:t>
      </w:r>
      <w:r w:rsidRPr="00EE2FA1">
        <w:rPr>
          <w:rFonts w:ascii="Times New Roman" w:eastAsia="Calibri" w:hAnsi="Times New Roman" w:cs="Times New Roman"/>
          <w:color w:val="000000" w:themeColor="text1"/>
          <w:sz w:val="28"/>
          <w:szCs w:val="28"/>
          <w:lang w:val="es-ES"/>
        </w:rPr>
        <w:t>.</w:t>
      </w:r>
      <w:r w:rsidRPr="00EE2FA1">
        <w:rPr>
          <w:rFonts w:ascii="Times New Roman" w:eastAsia="Calibri" w:hAnsi="Times New Roman" w:cs="Times New Roman"/>
          <w:color w:val="000000" w:themeColor="text1"/>
          <w:sz w:val="28"/>
          <w:lang w:val="es-ES"/>
        </w:rPr>
        <w:t xml:space="preserve"> </w:t>
      </w:r>
    </w:p>
    <w:p w:rsidR="00730F8D"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Por otro lado, este </w:t>
      </w:r>
      <w:r w:rsidRPr="00EE2FA1">
        <w:rPr>
          <w:rFonts w:ascii="Times New Roman" w:hAnsi="Times New Roman" w:cs="Times New Roman"/>
          <w:sz w:val="28"/>
          <w:szCs w:val="28"/>
        </w:rPr>
        <w:t>presupuesto</w:t>
      </w:r>
      <w:r w:rsidRPr="00EE2FA1">
        <w:rPr>
          <w:rFonts w:ascii="Times New Roman" w:hAnsi="Times New Roman" w:cs="Times New Roman"/>
          <w:sz w:val="28"/>
          <w:szCs w:val="28"/>
        </w:rPr>
        <w:t xml:space="preserve"> se acompasa con la regla descrita previamente sobre el deber de diligencia de los congresistas para </w:t>
      </w:r>
      <w:r w:rsidRPr="00EE2FA1">
        <w:rPr>
          <w:rFonts w:ascii="Times New Roman" w:hAnsi="Times New Roman" w:cs="Times New Roman"/>
          <w:sz w:val="28"/>
          <w:szCs w:val="28"/>
        </w:rPr>
        <w:t xml:space="preserve">que sus proposiciones sean debatidas y votadas. En consonancia con dicha regla, si fuera el caso que algunos de los que suscribieron esas proposiciones no hubieran estado de acuerdo en que fueran dejadas como constancias, </w:t>
      </w:r>
      <w:r w:rsidRPr="00EE2FA1">
        <w:rPr>
          <w:rFonts w:ascii="Times New Roman" w:hAnsi="Times New Roman" w:cs="Times New Roman"/>
          <w:sz w:val="28"/>
          <w:szCs w:val="28"/>
        </w:rPr>
        <w:t xml:space="preserve">deberían </w:t>
      </w:r>
      <w:r w:rsidRPr="00EE2FA1">
        <w:rPr>
          <w:rFonts w:ascii="Times New Roman" w:hAnsi="Times New Roman" w:cs="Times New Roman"/>
          <w:sz w:val="28"/>
          <w:szCs w:val="28"/>
        </w:rPr>
        <w:t>haberlo manifestado así e</w:t>
      </w:r>
      <w:r w:rsidRPr="00EE2FA1">
        <w:rPr>
          <w:rFonts w:ascii="Times New Roman" w:hAnsi="Times New Roman" w:cs="Times New Roman"/>
          <w:sz w:val="28"/>
          <w:szCs w:val="28"/>
        </w:rPr>
        <w:t xml:space="preserve"> insistir para que fueran debatidas y votadas, circunstancia que no ocurrió. En virtud de las cargas que implica la presentación de proposiciones, les correspondía </w:t>
      </w:r>
      <w:r w:rsidRPr="00EE2FA1">
        <w:rPr>
          <w:rFonts w:ascii="Times New Roman" w:hAnsi="Times New Roman" w:cs="Times New Roman"/>
          <w:sz w:val="28"/>
          <w:szCs w:val="28"/>
        </w:rPr>
        <w:t xml:space="preserve">a sus autores </w:t>
      </w:r>
      <w:r w:rsidRPr="00EE2FA1">
        <w:rPr>
          <w:rFonts w:ascii="Times New Roman" w:hAnsi="Times New Roman" w:cs="Times New Roman"/>
          <w:sz w:val="28"/>
          <w:szCs w:val="28"/>
        </w:rPr>
        <w:t xml:space="preserve">tramitar </w:t>
      </w:r>
      <w:r w:rsidRPr="00EE2FA1">
        <w:rPr>
          <w:rFonts w:ascii="Times New Roman" w:hAnsi="Times New Roman" w:cs="Times New Roman"/>
          <w:sz w:val="28"/>
          <w:szCs w:val="28"/>
        </w:rPr>
        <w:t>las mociones de orden correspondientes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si su intención era que las proposiciones no se tornaran en constancias. Al no adelantar esas gestiones, es razonable entender ese comportamiento como un desistimiento de su proposición. En ese sentido, los congresistas coautores de esas proposiciones, Ol</w:t>
      </w:r>
      <w:r w:rsidRPr="00EE2FA1">
        <w:rPr>
          <w:rFonts w:ascii="Times New Roman" w:hAnsi="Times New Roman" w:cs="Times New Roman"/>
          <w:sz w:val="28"/>
          <w:szCs w:val="28"/>
        </w:rPr>
        <w:t>mes de Jesús Echeverría de la Rosa</w:t>
      </w:r>
      <w:r w:rsidRPr="00EE2FA1">
        <w:rPr>
          <w:rFonts w:ascii="Times New Roman" w:hAnsi="Times New Roman" w:cs="Times New Roman"/>
          <w:sz w:val="28"/>
          <w:szCs w:val="28"/>
        </w:rPr>
        <w:t xml:space="preserve"> y</w:t>
      </w:r>
      <w:r w:rsidRPr="00EE2FA1">
        <w:rPr>
          <w:rFonts w:ascii="Times New Roman" w:hAnsi="Times New Roman" w:cs="Times New Roman"/>
          <w:sz w:val="28"/>
          <w:szCs w:val="28"/>
        </w:rPr>
        <w:t xml:space="preserve"> Christian M. Garcés Aljure</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no intervinieron durante el primer debate, ni consta alguna solicitud de su parte para insistir en su</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proposiciones</w:t>
      </w:r>
      <w:r w:rsidRPr="00EE2FA1">
        <w:rPr>
          <w:rFonts w:ascii="Times New Roman" w:hAnsi="Times New Roman" w:cs="Times New Roman"/>
          <w:sz w:val="28"/>
          <w:szCs w:val="28"/>
        </w:rPr>
        <w:t>.</w:t>
      </w:r>
    </w:p>
    <w:p w:rsidR="003919D4"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El incumplimiento descrito del deber de diligencia al que se ha aludido t</w:t>
      </w:r>
      <w:r w:rsidRPr="00EE2FA1">
        <w:rPr>
          <w:rFonts w:ascii="Times New Roman" w:hAnsi="Times New Roman" w:cs="Times New Roman"/>
          <w:sz w:val="28"/>
          <w:szCs w:val="28"/>
        </w:rPr>
        <w:t>ambién justifica que, aun sin una manifestación expresa de todos y cada uno de los congresistas que suscribieron las proposiciones presuntamente omitidas</w:t>
      </w:r>
      <w:r w:rsidRPr="00EE2FA1">
        <w:rPr>
          <w:rFonts w:ascii="Times New Roman" w:hAnsi="Times New Roman" w:cs="Times New Roman"/>
          <w:sz w:val="28"/>
          <w:szCs w:val="28"/>
        </w:rPr>
        <w:t xml:space="preserve">, en este caso, los representante Elkin Rodolfo Ospina Ospina y Olmes De Jesús Echevarría de la Rosa y </w:t>
      </w:r>
      <w:r w:rsidRPr="00EE2FA1">
        <w:rPr>
          <w:rFonts w:ascii="Times New Roman" w:hAnsi="Times New Roman" w:cs="Times New Roman"/>
          <w:sz w:val="28"/>
          <w:szCs w:val="28"/>
        </w:rPr>
        <w:t>los senadores Ciro Alejandro Ramírez Cortés y Christian M. Garcés Aljure</w:t>
      </w:r>
      <w:r w:rsidRPr="00EE2FA1">
        <w:rPr>
          <w:rFonts w:ascii="Times New Roman" w:hAnsi="Times New Roman" w:cs="Times New Roman"/>
          <w:sz w:val="28"/>
          <w:szCs w:val="28"/>
        </w:rPr>
        <w:t xml:space="preserve">, la decisión de dejar las proposiciones como constancias </w:t>
      </w:r>
      <w:r w:rsidRPr="00EE2FA1">
        <w:rPr>
          <w:rFonts w:ascii="Times New Roman" w:hAnsi="Times New Roman" w:cs="Times New Roman"/>
          <w:sz w:val="28"/>
          <w:szCs w:val="28"/>
        </w:rPr>
        <w:t xml:space="preserve">no haya tenido oposición y </w:t>
      </w:r>
      <w:r w:rsidRPr="00EE2FA1">
        <w:rPr>
          <w:rFonts w:ascii="Times New Roman" w:hAnsi="Times New Roman" w:cs="Times New Roman"/>
          <w:sz w:val="28"/>
          <w:szCs w:val="28"/>
        </w:rPr>
        <w:t xml:space="preserve">se haya </w:t>
      </w:r>
      <w:r w:rsidRPr="00EE2FA1">
        <w:rPr>
          <w:rFonts w:ascii="Times New Roman" w:hAnsi="Times New Roman" w:cs="Times New Roman"/>
          <w:sz w:val="28"/>
          <w:szCs w:val="28"/>
        </w:rPr>
        <w:t>votado por</w:t>
      </w:r>
      <w:r w:rsidRPr="00EE2FA1">
        <w:rPr>
          <w:rFonts w:ascii="Times New Roman" w:hAnsi="Times New Roman" w:cs="Times New Roman"/>
          <w:sz w:val="28"/>
          <w:szCs w:val="28"/>
        </w:rPr>
        <w:t xml:space="preserve"> las comisiones conjuntas</w:t>
      </w:r>
      <w:r w:rsidRPr="00EE2FA1">
        <w:rPr>
          <w:rFonts w:ascii="Times New Roman" w:hAnsi="Times New Roman" w:cs="Times New Roman"/>
          <w:sz w:val="28"/>
          <w:szCs w:val="28"/>
        </w:rPr>
        <w:t>, incluso con votos a favor de los mencionados coautores</w:t>
      </w:r>
      <w:r w:rsidRPr="00EE2FA1">
        <w:rPr>
          <w:rFonts w:ascii="Times New Roman" w:hAnsi="Times New Roman" w:cs="Times New Roman"/>
          <w:sz w:val="28"/>
          <w:szCs w:val="28"/>
        </w:rPr>
        <w:t xml:space="preserve">. Valga señalar </w:t>
      </w:r>
      <w:r w:rsidRPr="00EE2FA1">
        <w:rPr>
          <w:rFonts w:ascii="Times New Roman" w:hAnsi="Times New Roman" w:cs="Times New Roman"/>
          <w:sz w:val="28"/>
          <w:szCs w:val="28"/>
        </w:rPr>
        <w:t>que, en todo caso,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determinación</w:t>
      </w:r>
      <w:r w:rsidRPr="00EE2FA1">
        <w:rPr>
          <w:rFonts w:ascii="Times New Roman" w:hAnsi="Times New Roman" w:cs="Times New Roman"/>
          <w:sz w:val="28"/>
          <w:szCs w:val="28"/>
        </w:rPr>
        <w:t xml:space="preserve"> de dejar las proposiciones como constancias</w:t>
      </w:r>
      <w:r w:rsidRPr="00EE2FA1">
        <w:rPr>
          <w:rFonts w:ascii="Times New Roman" w:hAnsi="Times New Roman" w:cs="Times New Roman"/>
          <w:sz w:val="28"/>
          <w:szCs w:val="28"/>
        </w:rPr>
        <w:t xml:space="preserve"> garantiza los derechos de sus autores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en la medida en que permite que estas sean tenidas en cuenta para la ponencia para segundo debate</w:t>
      </w:r>
      <w:r w:rsidRPr="00EE2FA1">
        <w:rPr>
          <w:rFonts w:ascii="Times New Roman" w:hAnsi="Times New Roman" w:cs="Times New Roman"/>
          <w:sz w:val="28"/>
          <w:szCs w:val="28"/>
        </w:rPr>
        <w:t>, lo cual aconteció</w:t>
      </w:r>
      <w:r w:rsidRPr="00EE2FA1">
        <w:rPr>
          <w:rFonts w:ascii="Times New Roman" w:hAnsi="Times New Roman" w:cs="Times New Roman"/>
          <w:sz w:val="28"/>
          <w:szCs w:val="28"/>
        </w:rPr>
        <w:t xml:space="preserve"> en e</w:t>
      </w:r>
      <w:r w:rsidRPr="00EE2FA1">
        <w:rPr>
          <w:rFonts w:ascii="Times New Roman" w:hAnsi="Times New Roman" w:cs="Times New Roman"/>
          <w:sz w:val="28"/>
          <w:szCs w:val="28"/>
        </w:rPr>
        <w:t>l presente caso</w:t>
      </w:r>
      <w:r w:rsidRPr="00EE2FA1">
        <w:rPr>
          <w:rFonts w:ascii="Times New Roman" w:hAnsi="Times New Roman" w:cs="Times New Roman"/>
          <w:sz w:val="28"/>
          <w:szCs w:val="28"/>
        </w:rPr>
        <w:t>.</w:t>
      </w:r>
    </w:p>
    <w:p w:rsidR="005E057C" w:rsidRPr="00EE2FA1" w:rsidRDefault="00EE2FA1" w:rsidP="003919D4">
      <w:pPr>
        <w:pStyle w:val="Prrafodelista"/>
        <w:tabs>
          <w:tab w:val="left" w:pos="426"/>
        </w:tabs>
        <w:spacing w:line="0" w:lineRule="atLeast"/>
        <w:ind w:left="0"/>
        <w:jc w:val="both"/>
        <w:rPr>
          <w:rFonts w:ascii="Times New Roman" w:hAnsi="Times New Roman" w:cs="Times New Roman"/>
          <w:sz w:val="28"/>
          <w:szCs w:val="28"/>
        </w:rPr>
      </w:pPr>
    </w:p>
    <w:p w:rsidR="003919D4" w:rsidRPr="00EE2FA1" w:rsidRDefault="00EE2FA1" w:rsidP="003919D4">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hAnsi="Times New Roman" w:cs="Times New Roman"/>
          <w:sz w:val="28"/>
          <w:szCs w:val="28"/>
        </w:rPr>
        <w:t>Por todo lo anterior, la Sala Plena concluye que no existió</w:t>
      </w:r>
      <w:r w:rsidRPr="00EE2FA1">
        <w:rPr>
          <w:rFonts w:ascii="Times New Roman" w:hAnsi="Times New Roman" w:cs="Times New Roman"/>
          <w:sz w:val="28"/>
          <w:szCs w:val="28"/>
        </w:rPr>
        <w:t xml:space="preserve"> irregularidad ni </w:t>
      </w:r>
      <w:r w:rsidRPr="00EE2FA1">
        <w:rPr>
          <w:rFonts w:ascii="Times New Roman" w:hAnsi="Times New Roman" w:cs="Times New Roman"/>
          <w:sz w:val="28"/>
          <w:szCs w:val="28"/>
        </w:rPr>
        <w:t xml:space="preserve">vicio en el trámite legislativo por esta razón, pues las proposiciones </w:t>
      </w:r>
      <w:r w:rsidRPr="00EE2FA1">
        <w:rPr>
          <w:rFonts w:ascii="Times New Roman" w:hAnsi="Times New Roman" w:cs="Times New Roman"/>
          <w:sz w:val="28"/>
          <w:szCs w:val="28"/>
        </w:rPr>
        <w:t xml:space="preserve">que </w:t>
      </w:r>
      <w:r w:rsidRPr="00EE2FA1">
        <w:rPr>
          <w:rFonts w:ascii="Times New Roman" w:hAnsi="Times New Roman" w:cs="Times New Roman"/>
          <w:sz w:val="28"/>
          <w:szCs w:val="28"/>
        </w:rPr>
        <w:t>fueron dejadas como constancias</w:t>
      </w:r>
      <w:r w:rsidRPr="00EE2FA1">
        <w:rPr>
          <w:rFonts w:ascii="Times New Roman" w:hAnsi="Times New Roman" w:cs="Times New Roman"/>
          <w:sz w:val="28"/>
          <w:szCs w:val="28"/>
        </w:rPr>
        <w:t xml:space="preserve"> se consideraron para el segundo debate</w:t>
      </w:r>
      <w:r w:rsidRPr="00EE2FA1">
        <w:rPr>
          <w:rFonts w:ascii="Times New Roman" w:hAnsi="Times New Roman" w:cs="Times New Roman"/>
          <w:sz w:val="28"/>
          <w:szCs w:val="28"/>
        </w:rPr>
        <w:t xml:space="preserve"> y, en el caso q</w:t>
      </w:r>
      <w:r w:rsidRPr="00EE2FA1">
        <w:rPr>
          <w:rFonts w:ascii="Times New Roman" w:hAnsi="Times New Roman" w:cs="Times New Roman"/>
          <w:sz w:val="28"/>
          <w:szCs w:val="28"/>
        </w:rPr>
        <w:t>ue algunos congresistas</w:t>
      </w:r>
      <w:r w:rsidRPr="00EE2FA1">
        <w:rPr>
          <w:rFonts w:ascii="Times New Roman" w:hAnsi="Times New Roman" w:cs="Times New Roman"/>
          <w:sz w:val="28"/>
          <w:szCs w:val="28"/>
        </w:rPr>
        <w:t xml:space="preserve"> coautores</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hubieran estado </w:t>
      </w:r>
      <w:r w:rsidRPr="00EE2FA1">
        <w:rPr>
          <w:rFonts w:ascii="Times New Roman" w:hAnsi="Times New Roman" w:cs="Times New Roman"/>
          <w:sz w:val="28"/>
          <w:szCs w:val="28"/>
        </w:rPr>
        <w:t xml:space="preserve">en desacuerdo con tal decisión, no desplegaron las actuaciones diligentes para que estas fueran debatidas y votadas. </w:t>
      </w:r>
    </w:p>
    <w:p w:rsidR="00743800" w:rsidRPr="00EE2FA1" w:rsidRDefault="00EE2FA1" w:rsidP="00C833B9">
      <w:pPr>
        <w:tabs>
          <w:tab w:val="left" w:pos="426"/>
        </w:tabs>
        <w:spacing w:line="0" w:lineRule="atLeast"/>
        <w:jc w:val="both"/>
        <w:rPr>
          <w:rFonts w:ascii="Times New Roman" w:eastAsia="Calibri" w:hAnsi="Times New Roman" w:cs="Times New Roman"/>
          <w:sz w:val="28"/>
          <w:szCs w:val="28"/>
          <w:lang w:eastAsia="es-ES"/>
        </w:rPr>
      </w:pPr>
    </w:p>
    <w:p w:rsidR="00B64679" w:rsidRPr="00EE2FA1" w:rsidRDefault="00EE2FA1" w:rsidP="00B64679">
      <w:pPr>
        <w:tabs>
          <w:tab w:val="left" w:pos="426"/>
        </w:tabs>
        <w:spacing w:line="0" w:lineRule="atLeast"/>
        <w:jc w:val="both"/>
        <w:rPr>
          <w:rFonts w:ascii="Times New Roman" w:hAnsi="Times New Roman" w:cs="Times New Roman"/>
          <w:b/>
          <w:bCs/>
          <w:sz w:val="28"/>
          <w:szCs w:val="28"/>
        </w:rPr>
      </w:pPr>
      <w:r w:rsidRPr="00EE2FA1">
        <w:rPr>
          <w:rFonts w:ascii="Times New Roman" w:eastAsia="Calibri" w:hAnsi="Times New Roman" w:cs="Times New Roman"/>
          <w:b/>
          <w:bCs/>
          <w:sz w:val="28"/>
          <w:szCs w:val="28"/>
          <w:lang w:eastAsia="es-ES"/>
        </w:rPr>
        <w:t>Tercer cargo.</w:t>
      </w:r>
      <w:r w:rsidRPr="00EE2FA1">
        <w:rPr>
          <w:rFonts w:ascii="Times New Roman" w:eastAsia="Calibri" w:hAnsi="Times New Roman" w:cs="Times New Roman"/>
          <w:b/>
          <w:bCs/>
          <w:sz w:val="28"/>
          <w:szCs w:val="28"/>
          <w:lang w:eastAsia="es-ES"/>
        </w:rPr>
        <w:t xml:space="preserve"> </w:t>
      </w:r>
      <w:r w:rsidRPr="00EE2FA1">
        <w:rPr>
          <w:rFonts w:ascii="Times New Roman" w:hAnsi="Times New Roman" w:cs="Times New Roman"/>
          <w:b/>
          <w:bCs/>
          <w:sz w:val="28"/>
          <w:szCs w:val="28"/>
        </w:rPr>
        <w:t xml:space="preserve">Los </w:t>
      </w:r>
      <w:r w:rsidRPr="00EE2FA1">
        <w:rPr>
          <w:rFonts w:ascii="Times New Roman" w:hAnsi="Times New Roman" w:cs="Times New Roman"/>
          <w:b/>
          <w:bCs/>
          <w:sz w:val="28"/>
          <w:szCs w:val="28"/>
        </w:rPr>
        <w:t>artículos</w:t>
      </w:r>
      <w:r w:rsidRPr="00EE2FA1">
        <w:rPr>
          <w:rFonts w:ascii="Times New Roman" w:hAnsi="Times New Roman" w:cs="Times New Roman"/>
          <w:b/>
          <w:bCs/>
          <w:sz w:val="28"/>
          <w:szCs w:val="28"/>
        </w:rPr>
        <w:t xml:space="preserve"> 10 y 19 fueron votados en bloque con desconocimiento del artículo 157 constitucional y </w:t>
      </w:r>
      <w:r w:rsidRPr="00EE2FA1">
        <w:rPr>
          <w:rFonts w:ascii="Times New Roman" w:hAnsi="Times New Roman" w:cs="Times New Roman"/>
          <w:b/>
          <w:bCs/>
          <w:sz w:val="28"/>
          <w:szCs w:val="28"/>
        </w:rPr>
        <w:t>los</w:t>
      </w:r>
      <w:r w:rsidRPr="00EE2FA1">
        <w:rPr>
          <w:rFonts w:ascii="Times New Roman" w:hAnsi="Times New Roman" w:cs="Times New Roman"/>
          <w:b/>
          <w:bCs/>
          <w:sz w:val="28"/>
          <w:szCs w:val="28"/>
        </w:rPr>
        <w:t xml:space="preserve"> artículo</w:t>
      </w:r>
      <w:r w:rsidRPr="00EE2FA1">
        <w:rPr>
          <w:rFonts w:ascii="Times New Roman" w:hAnsi="Times New Roman" w:cs="Times New Roman"/>
          <w:b/>
          <w:bCs/>
          <w:sz w:val="28"/>
          <w:szCs w:val="28"/>
        </w:rPr>
        <w:t xml:space="preserve">s 134, </w:t>
      </w:r>
      <w:r w:rsidRPr="00EE2FA1">
        <w:rPr>
          <w:rFonts w:ascii="Times New Roman" w:hAnsi="Times New Roman" w:cs="Times New Roman"/>
          <w:b/>
          <w:bCs/>
          <w:sz w:val="28"/>
          <w:szCs w:val="28"/>
        </w:rPr>
        <w:t>158</w:t>
      </w:r>
      <w:r w:rsidRPr="00EE2FA1">
        <w:rPr>
          <w:rFonts w:ascii="Times New Roman" w:hAnsi="Times New Roman" w:cs="Times New Roman"/>
          <w:b/>
          <w:bCs/>
          <w:sz w:val="28"/>
          <w:szCs w:val="28"/>
        </w:rPr>
        <w:t xml:space="preserve"> y 173</w:t>
      </w:r>
      <w:r w:rsidRPr="00EE2FA1">
        <w:rPr>
          <w:rFonts w:ascii="Times New Roman" w:hAnsi="Times New Roman" w:cs="Times New Roman"/>
          <w:b/>
          <w:bCs/>
          <w:sz w:val="28"/>
          <w:szCs w:val="28"/>
        </w:rPr>
        <w:t xml:space="preserve"> de la Ley 5ª de 1992</w:t>
      </w:r>
    </w:p>
    <w:p w:rsidR="00B64679" w:rsidRPr="00EE2FA1" w:rsidRDefault="00EE2FA1" w:rsidP="00B64679">
      <w:pPr>
        <w:tabs>
          <w:tab w:val="left" w:pos="426"/>
        </w:tabs>
        <w:spacing w:line="0" w:lineRule="atLeast"/>
        <w:jc w:val="both"/>
        <w:rPr>
          <w:rFonts w:ascii="Times New Roman" w:hAnsi="Times New Roman" w:cs="Times New Roman"/>
          <w:b/>
          <w:bCs/>
          <w:sz w:val="28"/>
          <w:szCs w:val="28"/>
        </w:rPr>
      </w:pPr>
    </w:p>
    <w:p w:rsidR="00B64679" w:rsidRPr="00EE2FA1" w:rsidRDefault="00EE2FA1" w:rsidP="00B64679">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hAnsi="Times New Roman" w:cs="Times New Roman"/>
          <w:sz w:val="28"/>
          <w:szCs w:val="28"/>
        </w:rPr>
        <w:t>La accionante indic</w:t>
      </w:r>
      <w:r w:rsidRPr="00EE2FA1">
        <w:rPr>
          <w:rFonts w:ascii="Times New Roman" w:hAnsi="Times New Roman" w:cs="Times New Roman"/>
          <w:sz w:val="28"/>
          <w:szCs w:val="28"/>
        </w:rPr>
        <w:t>ó</w:t>
      </w:r>
      <w:r w:rsidRPr="00EE2FA1">
        <w:rPr>
          <w:rFonts w:ascii="Times New Roman" w:hAnsi="Times New Roman" w:cs="Times New Roman"/>
          <w:sz w:val="28"/>
          <w:szCs w:val="28"/>
        </w:rPr>
        <w:t xml:space="preserve"> que los </w:t>
      </w:r>
      <w:r w:rsidRPr="00EE2FA1">
        <w:rPr>
          <w:rFonts w:ascii="Times New Roman" w:hAnsi="Times New Roman" w:cs="Times New Roman"/>
          <w:sz w:val="28"/>
          <w:szCs w:val="28"/>
        </w:rPr>
        <w:t>artículos</w:t>
      </w:r>
      <w:r w:rsidRPr="00EE2FA1">
        <w:rPr>
          <w:rFonts w:ascii="Times New Roman" w:hAnsi="Times New Roman" w:cs="Times New Roman"/>
          <w:sz w:val="28"/>
          <w:szCs w:val="28"/>
        </w:rPr>
        <w:t xml:space="preserve"> acusados fueron votados en distintos bloques “con el fin expreso de agilizar e</w:t>
      </w:r>
      <w:r w:rsidRPr="00EE2FA1">
        <w:rPr>
          <w:rFonts w:ascii="Times New Roman" w:hAnsi="Times New Roman" w:cs="Times New Roman"/>
          <w:sz w:val="28"/>
          <w:szCs w:val="28"/>
        </w:rPr>
        <w:t xml:space="preserve">l debate. Lo anterior, a pesar de que la </w:t>
      </w:r>
      <w:r w:rsidRPr="00EE2FA1">
        <w:rPr>
          <w:rFonts w:ascii="Times New Roman" w:hAnsi="Times New Roman" w:cs="Times New Roman"/>
          <w:sz w:val="28"/>
          <w:szCs w:val="28"/>
        </w:rPr>
        <w:t>oposición</w:t>
      </w:r>
      <w:r w:rsidRPr="00EE2FA1">
        <w:rPr>
          <w:rFonts w:ascii="Times New Roman" w:hAnsi="Times New Roman" w:cs="Times New Roman"/>
          <w:sz w:val="28"/>
          <w:szCs w:val="28"/>
        </w:rPr>
        <w:t xml:space="preserve"> solicitó expresamente que se votara el proyecto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por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 sin embargo, por medio de una </w:t>
      </w:r>
      <w:r w:rsidRPr="00EE2FA1">
        <w:rPr>
          <w:rFonts w:ascii="Times New Roman" w:hAnsi="Times New Roman" w:cs="Times New Roman"/>
          <w:sz w:val="28"/>
          <w:szCs w:val="28"/>
        </w:rPr>
        <w:t>votación</w:t>
      </w:r>
      <w:r w:rsidRPr="00EE2FA1">
        <w:rPr>
          <w:rFonts w:ascii="Times New Roman" w:hAnsi="Times New Roman" w:cs="Times New Roman"/>
          <w:sz w:val="28"/>
          <w:szCs w:val="28"/>
        </w:rPr>
        <w:t xml:space="preserve"> mayoritaria, las Comisiones Terceras conjuntas negaron esta posibilidad y dispusieron por</w:t>
      </w:r>
      <w:r w:rsidRPr="00EE2FA1">
        <w:rPr>
          <w:rFonts w:ascii="Times New Roman" w:hAnsi="Times New Roman" w:cs="Times New Roman"/>
          <w:sz w:val="28"/>
          <w:szCs w:val="28"/>
        </w:rPr>
        <w:t xml:space="preserve"> lo tanto la </w:t>
      </w:r>
      <w:r w:rsidRPr="00EE2FA1">
        <w:rPr>
          <w:rFonts w:ascii="Times New Roman" w:hAnsi="Times New Roman" w:cs="Times New Roman"/>
          <w:sz w:val="28"/>
          <w:szCs w:val="28"/>
        </w:rPr>
        <w:t>votación</w:t>
      </w:r>
      <w:r w:rsidRPr="00EE2FA1">
        <w:rPr>
          <w:rFonts w:ascii="Times New Roman" w:hAnsi="Times New Roman" w:cs="Times New Roman"/>
          <w:sz w:val="28"/>
          <w:szCs w:val="28"/>
        </w:rPr>
        <w:t xml:space="preserve"> en bloque de los </w:t>
      </w:r>
      <w:r w:rsidRPr="00EE2FA1">
        <w:rPr>
          <w:rFonts w:ascii="Times New Roman" w:hAnsi="Times New Roman" w:cs="Times New Roman"/>
          <w:sz w:val="28"/>
          <w:szCs w:val="28"/>
        </w:rPr>
        <w:t>artículos</w:t>
      </w:r>
      <w:r w:rsidRPr="00EE2FA1">
        <w:rPr>
          <w:rFonts w:ascii="Times New Roman" w:hAnsi="Times New Roman" w:cs="Times New Roman"/>
          <w:sz w:val="28"/>
          <w:szCs w:val="28"/>
        </w:rPr>
        <w:t xml:space="preserve">, sin que mediara </w:t>
      </w:r>
      <w:r w:rsidRPr="00EE2FA1">
        <w:rPr>
          <w:rFonts w:ascii="Times New Roman" w:hAnsi="Times New Roman" w:cs="Times New Roman"/>
          <w:sz w:val="28"/>
          <w:szCs w:val="28"/>
        </w:rPr>
        <w:t>justificación</w:t>
      </w:r>
      <w:r w:rsidRPr="00EE2FA1">
        <w:rPr>
          <w:rFonts w:ascii="Times New Roman" w:hAnsi="Times New Roman" w:cs="Times New Roman"/>
          <w:sz w:val="28"/>
          <w:szCs w:val="28"/>
        </w:rPr>
        <w:t xml:space="preserve"> alguna.”</w:t>
      </w:r>
      <w:r w:rsidRPr="00EE2FA1">
        <w:rPr>
          <w:rStyle w:val="Refdenotaalpie"/>
          <w:rFonts w:ascii="Times New Roman" w:hAnsi="Times New Roman" w:cs="Times New Roman"/>
          <w:sz w:val="28"/>
          <w:szCs w:val="28"/>
        </w:rPr>
        <w:footnoteReference w:id="164"/>
      </w:r>
      <w:r w:rsidRPr="00EE2FA1">
        <w:rPr>
          <w:rFonts w:ascii="Times New Roman" w:hAnsi="Times New Roman" w:cs="Times New Roman"/>
          <w:sz w:val="28"/>
          <w:szCs w:val="28"/>
        </w:rPr>
        <w:t xml:space="preserve"> Tal </w:t>
      </w:r>
      <w:r w:rsidRPr="00EE2FA1">
        <w:rPr>
          <w:rFonts w:ascii="Times New Roman" w:hAnsi="Times New Roman" w:cs="Times New Roman"/>
          <w:sz w:val="28"/>
          <w:szCs w:val="28"/>
        </w:rPr>
        <w:t>situación</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según</w:t>
      </w:r>
      <w:r w:rsidRPr="00EE2FA1">
        <w:rPr>
          <w:rFonts w:ascii="Times New Roman" w:hAnsi="Times New Roman" w:cs="Times New Roman"/>
          <w:sz w:val="28"/>
          <w:szCs w:val="28"/>
        </w:rPr>
        <w:t xml:space="preserve"> la demandante desconoce el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157 superior y el </w:t>
      </w:r>
      <w:r w:rsidRPr="00EE2FA1">
        <w:rPr>
          <w:rFonts w:ascii="Times New Roman" w:hAnsi="Times New Roman" w:cs="Times New Roman"/>
          <w:sz w:val="28"/>
          <w:szCs w:val="28"/>
        </w:rPr>
        <w:t>artículo</w:t>
      </w:r>
      <w:r w:rsidRPr="00EE2FA1">
        <w:rPr>
          <w:rFonts w:ascii="Times New Roman" w:hAnsi="Times New Roman" w:cs="Times New Roman"/>
          <w:sz w:val="28"/>
          <w:szCs w:val="28"/>
        </w:rPr>
        <w:t xml:space="preserve"> 158 de la Ley 5a de 1992</w:t>
      </w:r>
      <w:r w:rsidRPr="00EE2FA1">
        <w:rPr>
          <w:rFonts w:ascii="Times New Roman" w:hAnsi="Times New Roman" w:cs="Times New Roman"/>
          <w:sz w:val="28"/>
          <w:szCs w:val="28"/>
        </w:rPr>
        <w:t>, así como</w:t>
      </w:r>
      <w:r w:rsidRPr="00EE2FA1">
        <w:rPr>
          <w:rFonts w:ascii="Times New Roman" w:hAnsi="Times New Roman" w:cs="Times New Roman"/>
          <w:sz w:val="28"/>
          <w:szCs w:val="28"/>
        </w:rPr>
        <w:t xml:space="preserve"> la regla fijada en la Sentencia C-044 de 2015</w:t>
      </w:r>
      <w:r w:rsidRPr="00EE2FA1">
        <w:rPr>
          <w:rFonts w:ascii="Times New Roman" w:hAnsi="Times New Roman" w:cs="Times New Roman"/>
          <w:sz w:val="28"/>
          <w:szCs w:val="28"/>
        </w:rPr>
        <w:t xml:space="preserve">. </w:t>
      </w:r>
    </w:p>
    <w:p w:rsidR="00B64679" w:rsidRPr="00EE2FA1" w:rsidRDefault="00EE2FA1" w:rsidP="00B6467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383A21" w:rsidRPr="00EE2FA1" w:rsidRDefault="00EE2FA1" w:rsidP="0008252B">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 xml:space="preserve">La ciudadana </w:t>
      </w:r>
      <w:r w:rsidRPr="00EE2FA1">
        <w:rPr>
          <w:rFonts w:ascii="Times New Roman" w:eastAsia="Calibri" w:hAnsi="Times New Roman" w:cs="Times New Roman"/>
          <w:bCs/>
          <w:sz w:val="28"/>
          <w:szCs w:val="28"/>
          <w:lang w:eastAsia="es-ES"/>
        </w:rPr>
        <w:t xml:space="preserve">demandante </w:t>
      </w:r>
      <w:r w:rsidRPr="00EE2FA1">
        <w:rPr>
          <w:rFonts w:ascii="Times New Roman" w:eastAsia="Calibri" w:hAnsi="Times New Roman" w:cs="Times New Roman"/>
          <w:bCs/>
          <w:sz w:val="28"/>
          <w:szCs w:val="28"/>
          <w:lang w:eastAsia="es-ES"/>
        </w:rPr>
        <w:t>i</w:t>
      </w:r>
      <w:r w:rsidRPr="00EE2FA1">
        <w:rPr>
          <w:rFonts w:ascii="Times New Roman" w:eastAsia="Calibri" w:hAnsi="Times New Roman" w:cs="Times New Roman"/>
          <w:bCs/>
          <w:sz w:val="28"/>
          <w:szCs w:val="28"/>
          <w:lang w:eastAsia="es-ES"/>
        </w:rPr>
        <w:t xml:space="preserve">ndicó que </w:t>
      </w:r>
      <w:r w:rsidRPr="00EE2FA1">
        <w:rPr>
          <w:rFonts w:ascii="Times New Roman" w:hAnsi="Times New Roman" w:cs="Times New Roman"/>
          <w:sz w:val="28"/>
          <w:szCs w:val="28"/>
        </w:rPr>
        <w:t xml:space="preserve">en la votación de la proposición de votación artículo por artículo no se consideraron las justificaciones de quien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propuso. Bajo tal premisa, refirió que en la demanda “se menciona que existían proposiciones, que demuestran que era necesario votar artículos de manera separada. Así, más que razones indistintas, en este cargo se presentan todos los elementos de hecho que</w:t>
      </w:r>
      <w:r w:rsidRPr="00EE2FA1">
        <w:rPr>
          <w:rFonts w:ascii="Times New Roman" w:hAnsi="Times New Roman" w:cs="Times New Roman"/>
          <w:sz w:val="28"/>
          <w:szCs w:val="28"/>
        </w:rPr>
        <w:t xml:space="preserve"> hacen aplicable la subregla jurisprudencial anunciada en la sentencia C-044 de 2015.” </w:t>
      </w:r>
      <w:r w:rsidRPr="00EE2FA1">
        <w:rPr>
          <w:rFonts w:ascii="Times New Roman" w:hAnsi="Times New Roman" w:cs="Times New Roman"/>
          <w:sz w:val="28"/>
          <w:szCs w:val="28"/>
        </w:rPr>
        <w:t xml:space="preserve">Insistió </w:t>
      </w:r>
      <w:r w:rsidRPr="00EE2FA1">
        <w:rPr>
          <w:rFonts w:ascii="Times New Roman" w:hAnsi="Times New Roman" w:cs="Times New Roman"/>
          <w:sz w:val="28"/>
          <w:szCs w:val="28"/>
        </w:rPr>
        <w:t>en que los artículos 134</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158</w:t>
      </w:r>
      <w:r w:rsidRPr="00EE2FA1">
        <w:rPr>
          <w:rFonts w:ascii="Times New Roman" w:hAnsi="Times New Roman" w:cs="Times New Roman"/>
          <w:sz w:val="28"/>
          <w:szCs w:val="28"/>
        </w:rPr>
        <w:t xml:space="preserve"> y 173</w:t>
      </w:r>
      <w:r w:rsidRPr="00EE2FA1">
        <w:rPr>
          <w:rFonts w:ascii="Times New Roman" w:hAnsi="Times New Roman" w:cs="Times New Roman"/>
          <w:sz w:val="28"/>
          <w:szCs w:val="28"/>
        </w:rPr>
        <w:t xml:space="preserve"> de la Ley 5ª de 1992 fueron desconocidos “debido a que se negó la votación del proyecto artículo por artículo, sin ofrecer justificación alguna y, sacrificando las finalidades sustantivas de la votación por partes, teniendo en cuenta que existen posicione</w:t>
      </w:r>
      <w:r w:rsidRPr="00EE2FA1">
        <w:rPr>
          <w:rFonts w:ascii="Times New Roman" w:hAnsi="Times New Roman" w:cs="Times New Roman"/>
          <w:sz w:val="28"/>
          <w:szCs w:val="28"/>
        </w:rPr>
        <w:t xml:space="preserve">s diferentes sobre los artículos 9 y 12 al igual que proposiciones modificativas.” </w:t>
      </w:r>
    </w:p>
    <w:p w:rsidR="008B1533" w:rsidRPr="00EE2FA1" w:rsidRDefault="00EE2FA1" w:rsidP="008B1533">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383A21" w:rsidRPr="00EE2FA1" w:rsidRDefault="00EE2FA1" w:rsidP="00433D54">
      <w:pPr>
        <w:pStyle w:val="Prrafodelista"/>
        <w:numPr>
          <w:ilvl w:val="0"/>
          <w:numId w:val="1"/>
        </w:numPr>
        <w:tabs>
          <w:tab w:val="left" w:pos="426"/>
        </w:tabs>
        <w:overflowPunct w:val="0"/>
        <w:autoSpaceDE w:val="0"/>
        <w:autoSpaceDN w:val="0"/>
        <w:adjustRightInd w:val="0"/>
        <w:spacing w:line="0" w:lineRule="atLeast"/>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i/>
          <w:iCs/>
          <w:sz w:val="28"/>
          <w:szCs w:val="28"/>
        </w:rPr>
        <w:t>Problema jurídico.</w:t>
      </w:r>
      <w:r w:rsidRPr="00EE2FA1">
        <w:rPr>
          <w:rFonts w:ascii="Times New Roman" w:hAnsi="Times New Roman" w:cs="Times New Roman"/>
          <w:sz w:val="28"/>
          <w:szCs w:val="28"/>
        </w:rPr>
        <w:t xml:space="preserve"> La Sala </w:t>
      </w:r>
      <w:r w:rsidRPr="00EE2FA1">
        <w:rPr>
          <w:rFonts w:ascii="Times New Roman" w:hAnsi="Times New Roman" w:cs="Times New Roman"/>
          <w:sz w:val="28"/>
          <w:szCs w:val="28"/>
        </w:rPr>
        <w:t xml:space="preserve">ahora </w:t>
      </w:r>
      <w:r w:rsidRPr="00EE2FA1">
        <w:rPr>
          <w:rFonts w:ascii="Times New Roman" w:hAnsi="Times New Roman" w:cs="Times New Roman"/>
          <w:sz w:val="28"/>
          <w:szCs w:val="28"/>
        </w:rPr>
        <w:t xml:space="preserve">debe resolver ¿si la votación en bloque </w:t>
      </w:r>
      <w:r w:rsidRPr="00EE2FA1">
        <w:rPr>
          <w:rFonts w:ascii="Times New Roman" w:hAnsi="Times New Roman" w:cs="Times New Roman"/>
          <w:sz w:val="28"/>
          <w:szCs w:val="28"/>
        </w:rPr>
        <w:t>de artículos</w:t>
      </w:r>
      <w:r w:rsidRPr="00EE2FA1">
        <w:rPr>
          <w:rFonts w:ascii="Times New Roman" w:hAnsi="Times New Roman" w:cs="Times New Roman"/>
          <w:sz w:val="28"/>
          <w:szCs w:val="28"/>
        </w:rPr>
        <w:t>, que incluía el parágrafo 3º del artículo 10 y el artículo 19 de la Ley 2277 de 2023,</w:t>
      </w:r>
      <w:r w:rsidRPr="00EE2FA1">
        <w:rPr>
          <w:rFonts w:ascii="Times New Roman" w:hAnsi="Times New Roman" w:cs="Times New Roman"/>
          <w:sz w:val="28"/>
          <w:szCs w:val="28"/>
        </w:rPr>
        <w:t xml:space="preserve"> en primer debate </w:t>
      </w:r>
      <w:r w:rsidRPr="00EE2FA1">
        <w:rPr>
          <w:rFonts w:ascii="Times New Roman" w:hAnsi="Times New Roman" w:cs="Times New Roman"/>
          <w:sz w:val="28"/>
          <w:szCs w:val="28"/>
        </w:rPr>
        <w:t>del proyecto de ley 118 de 2022 Cámara, 131 de 2022 Senado</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desconoció</w:t>
      </w:r>
      <w:r w:rsidRPr="00EE2FA1">
        <w:rPr>
          <w:rFonts w:ascii="Times New Roman" w:hAnsi="Times New Roman" w:cs="Times New Roman"/>
          <w:sz w:val="28"/>
          <w:szCs w:val="28"/>
        </w:rPr>
        <w:t xml:space="preserve"> el artículo 157 superior y</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los artículos 134, 158 y 173 de la Ley 5</w:t>
      </w:r>
      <w:r w:rsidRPr="00EE2FA1">
        <w:rPr>
          <w:rFonts w:ascii="Times New Roman" w:hAnsi="Times New Roman" w:cs="Times New Roman"/>
          <w:sz w:val="28"/>
          <w:szCs w:val="28"/>
        </w:rPr>
        <w:t>ª</w:t>
      </w:r>
      <w:r w:rsidRPr="00EE2FA1">
        <w:rPr>
          <w:rFonts w:ascii="Times New Roman" w:hAnsi="Times New Roman" w:cs="Times New Roman"/>
          <w:sz w:val="28"/>
          <w:szCs w:val="28"/>
        </w:rPr>
        <w:t xml:space="preserve"> de 1992 y</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además, vulneró los requisitos desarrollados por la jurisprudencia constitucional </w:t>
      </w:r>
      <w:r w:rsidRPr="00EE2FA1">
        <w:rPr>
          <w:rFonts w:ascii="Times New Roman" w:hAnsi="Times New Roman" w:cs="Times New Roman"/>
          <w:sz w:val="28"/>
          <w:szCs w:val="28"/>
        </w:rPr>
        <w:t>sobre</w:t>
      </w:r>
      <w:r w:rsidRPr="00EE2FA1">
        <w:rPr>
          <w:rFonts w:ascii="Times New Roman" w:hAnsi="Times New Roman" w:cs="Times New Roman"/>
          <w:sz w:val="28"/>
          <w:szCs w:val="28"/>
        </w:rPr>
        <w:t xml:space="preserve"> la materia</w:t>
      </w:r>
      <w:r w:rsidRPr="00EE2FA1">
        <w:rPr>
          <w:rFonts w:ascii="Times New Roman" w:hAnsi="Times New Roman" w:cs="Times New Roman"/>
          <w:sz w:val="28"/>
          <w:szCs w:val="28"/>
        </w:rPr>
        <w:t xml:space="preserve">? </w:t>
      </w:r>
    </w:p>
    <w:p w:rsidR="0052331F"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sz w:val="28"/>
          <w:szCs w:val="28"/>
        </w:rPr>
      </w:pPr>
    </w:p>
    <w:p w:rsidR="0052331F" w:rsidRPr="00EE2FA1" w:rsidRDefault="00EE2FA1" w:rsidP="00433D54">
      <w:pPr>
        <w:pStyle w:val="Prrafodelista"/>
        <w:numPr>
          <w:ilvl w:val="0"/>
          <w:numId w:val="1"/>
        </w:numPr>
        <w:tabs>
          <w:tab w:val="left" w:pos="426"/>
        </w:tabs>
        <w:overflowPunct w:val="0"/>
        <w:autoSpaceDE w:val="0"/>
        <w:autoSpaceDN w:val="0"/>
        <w:adjustRightInd w:val="0"/>
        <w:spacing w:line="0" w:lineRule="atLeast"/>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i/>
          <w:iCs/>
          <w:sz w:val="28"/>
          <w:szCs w:val="28"/>
        </w:rPr>
        <w:t>Metodología</w:t>
      </w:r>
      <w:r w:rsidRPr="00EE2FA1">
        <w:rPr>
          <w:rFonts w:ascii="Times New Roman" w:hAnsi="Times New Roman" w:cs="Times New Roman"/>
          <w:sz w:val="28"/>
          <w:szCs w:val="28"/>
        </w:rPr>
        <w:t xml:space="preserve">. Para responder al problema jurídico propuesto, la Sala referirá: i) </w:t>
      </w:r>
      <w:r w:rsidRPr="00EE2FA1">
        <w:rPr>
          <w:rFonts w:ascii="Times New Roman" w:hAnsi="Times New Roman" w:cs="Times New Roman"/>
          <w:sz w:val="28"/>
          <w:szCs w:val="28"/>
        </w:rPr>
        <w:t xml:space="preserve">el análisis sobre </w:t>
      </w:r>
      <w:r w:rsidRPr="00EE2FA1">
        <w:rPr>
          <w:rFonts w:ascii="Times New Roman" w:hAnsi="Times New Roman" w:cs="Times New Roman"/>
          <w:sz w:val="28"/>
          <w:szCs w:val="28"/>
        </w:rPr>
        <w:t xml:space="preserve">las votaciones en el trámite legislativo y los presupuestos de la Sentencia C-044 de 2015 y ii) resolverá el caso concreto. </w:t>
      </w:r>
    </w:p>
    <w:p w:rsidR="0052331F"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i/>
          <w:iCs/>
          <w:sz w:val="28"/>
          <w:szCs w:val="28"/>
        </w:rPr>
      </w:pPr>
    </w:p>
    <w:p w:rsidR="0052331F"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b/>
          <w:bCs/>
          <w:sz w:val="28"/>
          <w:szCs w:val="28"/>
        </w:rPr>
      </w:pPr>
      <w:r w:rsidRPr="00EE2FA1">
        <w:rPr>
          <w:rFonts w:ascii="Times New Roman" w:hAnsi="Times New Roman" w:cs="Times New Roman"/>
          <w:b/>
          <w:bCs/>
          <w:sz w:val="28"/>
          <w:szCs w:val="28"/>
        </w:rPr>
        <w:t xml:space="preserve">Las votaciones en el trámite legislativo y los presupuestos </w:t>
      </w:r>
      <w:r w:rsidRPr="00EE2FA1">
        <w:rPr>
          <w:rFonts w:ascii="Times New Roman" w:hAnsi="Times New Roman" w:cs="Times New Roman"/>
          <w:b/>
          <w:bCs/>
          <w:sz w:val="28"/>
          <w:szCs w:val="28"/>
        </w:rPr>
        <w:t xml:space="preserve">establecidos en </w:t>
      </w:r>
      <w:r w:rsidRPr="00EE2FA1">
        <w:rPr>
          <w:rFonts w:ascii="Times New Roman" w:hAnsi="Times New Roman" w:cs="Times New Roman"/>
          <w:b/>
          <w:bCs/>
          <w:sz w:val="28"/>
          <w:szCs w:val="28"/>
        </w:rPr>
        <w:t>la Sentencia C-044 de 2015</w:t>
      </w:r>
    </w:p>
    <w:p w:rsidR="00485F03"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b/>
          <w:bCs/>
          <w:sz w:val="28"/>
          <w:szCs w:val="28"/>
        </w:rPr>
      </w:pPr>
    </w:p>
    <w:p w:rsidR="00433D54" w:rsidRPr="00EE2FA1" w:rsidRDefault="00EE2FA1" w:rsidP="00433D54">
      <w:pPr>
        <w:pStyle w:val="Prrafodelista"/>
        <w:numPr>
          <w:ilvl w:val="0"/>
          <w:numId w:val="1"/>
        </w:numPr>
        <w:tabs>
          <w:tab w:val="left" w:pos="426"/>
        </w:tabs>
        <w:overflowPunct w:val="0"/>
        <w:autoSpaceDE w:val="0"/>
        <w:autoSpaceDN w:val="0"/>
        <w:adjustRightInd w:val="0"/>
        <w:spacing w:line="0" w:lineRule="atLeast"/>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Las disposiciones que integran un proyecto de ley pueden ser sujetas a votación de manera individual 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en bloque. El </w:t>
      </w:r>
      <w:r w:rsidRPr="00EE2FA1">
        <w:rPr>
          <w:rFonts w:ascii="Times New Roman" w:hAnsi="Times New Roman" w:cs="Times New Roman"/>
          <w:sz w:val="28"/>
          <w:szCs w:val="28"/>
        </w:rPr>
        <w:t xml:space="preserve">Reglamento Interno </w:t>
      </w:r>
      <w:r w:rsidRPr="00EE2FA1">
        <w:rPr>
          <w:rFonts w:ascii="Times New Roman" w:hAnsi="Times New Roman" w:cs="Times New Roman"/>
          <w:sz w:val="28"/>
          <w:szCs w:val="28"/>
        </w:rPr>
        <w:t>del Congreso pe</w:t>
      </w:r>
      <w:r w:rsidRPr="00EE2FA1">
        <w:rPr>
          <w:rFonts w:ascii="Times New Roman" w:hAnsi="Times New Roman" w:cs="Times New Roman"/>
          <w:sz w:val="28"/>
          <w:szCs w:val="28"/>
        </w:rPr>
        <w:t xml:space="preserve">rmite las referidas modalidades de votación para impartir trámite a </w:t>
      </w:r>
      <w:r w:rsidRPr="00EE2FA1">
        <w:rPr>
          <w:rFonts w:ascii="Times New Roman" w:hAnsi="Times New Roman" w:cs="Times New Roman"/>
          <w:sz w:val="28"/>
          <w:szCs w:val="28"/>
        </w:rPr>
        <w:t xml:space="preserve">los </w:t>
      </w:r>
      <w:r w:rsidRPr="00EE2FA1">
        <w:rPr>
          <w:rFonts w:ascii="Times New Roman" w:hAnsi="Times New Roman" w:cs="Times New Roman"/>
          <w:sz w:val="28"/>
          <w:szCs w:val="28"/>
        </w:rPr>
        <w:t>proyecto</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de ley. El primer método permite que los miembros pertenecientes a la célula legislativa tengan mayor minuciosidad sobre los contenidos normativos descritos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los cuales puede</w:t>
      </w:r>
      <w:r w:rsidRPr="00EE2FA1">
        <w:rPr>
          <w:rFonts w:ascii="Times New Roman" w:hAnsi="Times New Roman" w:cs="Times New Roman"/>
          <w:sz w:val="28"/>
          <w:szCs w:val="28"/>
        </w:rPr>
        <w:t>n ser votados de manera constante y sucesiva. Lo anterior, tiene como finalidad “evitar errores en la formación de la voluntad legislativa, y a la vez se permite a los congresistas individualizar el sentido de su voto en relación con cada uno de los conten</w:t>
      </w:r>
      <w:r w:rsidRPr="00EE2FA1">
        <w:rPr>
          <w:rFonts w:ascii="Times New Roman" w:hAnsi="Times New Roman" w:cs="Times New Roman"/>
          <w:sz w:val="28"/>
          <w:szCs w:val="28"/>
        </w:rPr>
        <w:t>idos normativos que integran el proyecto sometido a aprobación, a fin de expresar su acuerdo con algunos de ellos y su desaprobación respecto de los demás”</w:t>
      </w:r>
      <w:r w:rsidRPr="00EE2FA1">
        <w:rPr>
          <w:rStyle w:val="Refdenotaalpie"/>
          <w:rFonts w:ascii="Times New Roman" w:hAnsi="Times New Roman" w:cs="Times New Roman"/>
          <w:sz w:val="28"/>
          <w:szCs w:val="28"/>
        </w:rPr>
        <w:footnoteReference w:id="165"/>
      </w:r>
      <w:r w:rsidRPr="00EE2FA1">
        <w:rPr>
          <w:rFonts w:ascii="Times New Roman" w:hAnsi="Times New Roman" w:cs="Times New Roman"/>
          <w:sz w:val="28"/>
          <w:szCs w:val="28"/>
        </w:rPr>
        <w:t>.</w:t>
      </w:r>
    </w:p>
    <w:p w:rsidR="00433D54" w:rsidRPr="00EE2FA1" w:rsidRDefault="00EE2FA1" w:rsidP="00433D54">
      <w:pPr>
        <w:pStyle w:val="Prrafodelista"/>
        <w:tabs>
          <w:tab w:val="left" w:pos="426"/>
        </w:tabs>
        <w:ind w:left="0" w:right="45"/>
        <w:jc w:val="both"/>
        <w:rPr>
          <w:rFonts w:ascii="Times New Roman" w:hAnsi="Times New Roman" w:cs="Times New Roman"/>
          <w:sz w:val="28"/>
          <w:szCs w:val="28"/>
        </w:rPr>
      </w:pPr>
    </w:p>
    <w:p w:rsidR="00433D54" w:rsidRPr="00EE2FA1" w:rsidRDefault="00EE2FA1" w:rsidP="00433D54">
      <w:pPr>
        <w:pStyle w:val="Prrafodelista"/>
        <w:numPr>
          <w:ilvl w:val="0"/>
          <w:numId w:val="1"/>
        </w:numPr>
        <w:tabs>
          <w:tab w:val="left" w:pos="426"/>
        </w:tabs>
        <w:ind w:left="0" w:right="45" w:firstLine="0"/>
        <w:jc w:val="both"/>
        <w:rPr>
          <w:rFonts w:ascii="Times New Roman" w:hAnsi="Times New Roman" w:cs="Times New Roman"/>
          <w:sz w:val="28"/>
          <w:szCs w:val="28"/>
        </w:rPr>
      </w:pPr>
      <w:r w:rsidRPr="00EE2FA1">
        <w:rPr>
          <w:rFonts w:ascii="Times New Roman" w:hAnsi="Times New Roman" w:cs="Times New Roman"/>
          <w:sz w:val="28"/>
          <w:szCs w:val="28"/>
        </w:rPr>
        <w:t>El segundo método está reglamentado en el artículo 134 de la Ley 5 de 1992</w:t>
      </w:r>
      <w:r w:rsidRPr="00EE2FA1">
        <w:rPr>
          <w:rFonts w:ascii="Times New Roman" w:hAnsi="Times New Roman" w:cs="Times New Roman"/>
          <w:sz w:val="28"/>
          <w:szCs w:val="28"/>
        </w:rPr>
        <w:t>, norma</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que habilita que el proyecto de ley puede estar sometido a votación por partes. La mencionada disposición </w:t>
      </w:r>
      <w:r w:rsidRPr="00EE2FA1">
        <w:rPr>
          <w:rFonts w:ascii="Times New Roman" w:hAnsi="Times New Roman" w:cs="Times New Roman"/>
          <w:sz w:val="28"/>
          <w:szCs w:val="28"/>
        </w:rPr>
        <w:t xml:space="preserve">orgánica </w:t>
      </w:r>
      <w:r w:rsidRPr="00EE2FA1">
        <w:rPr>
          <w:rFonts w:ascii="Times New Roman" w:hAnsi="Times New Roman" w:cs="Times New Roman"/>
          <w:sz w:val="28"/>
          <w:szCs w:val="28"/>
        </w:rPr>
        <w:t>indica que en caso de no existir consenso sobre la propuesta de votación “decidirá la mesa directiva, previo el uso de la palabra, con un máx</w:t>
      </w:r>
      <w:r w:rsidRPr="00EE2FA1">
        <w:rPr>
          <w:rFonts w:ascii="Times New Roman" w:hAnsi="Times New Roman" w:cs="Times New Roman"/>
          <w:sz w:val="28"/>
          <w:szCs w:val="28"/>
        </w:rPr>
        <w:t>imo de diez minutos, para que se expresen los argumentos en favor o en contra”.</w:t>
      </w:r>
    </w:p>
    <w:p w:rsidR="00AA4740" w:rsidRPr="00EE2FA1" w:rsidRDefault="00EE2FA1" w:rsidP="00AA4740">
      <w:pPr>
        <w:pStyle w:val="Prrafodelista"/>
        <w:tabs>
          <w:tab w:val="left" w:pos="426"/>
        </w:tabs>
        <w:ind w:left="0" w:right="45"/>
        <w:jc w:val="both"/>
        <w:rPr>
          <w:rFonts w:ascii="Times New Roman" w:hAnsi="Times New Roman" w:cs="Times New Roman"/>
          <w:sz w:val="28"/>
          <w:szCs w:val="28"/>
        </w:rPr>
      </w:pPr>
    </w:p>
    <w:p w:rsidR="00433D54" w:rsidRPr="00EE2FA1" w:rsidRDefault="00EE2FA1" w:rsidP="00433D54">
      <w:pPr>
        <w:pStyle w:val="Prrafodelista"/>
        <w:numPr>
          <w:ilvl w:val="0"/>
          <w:numId w:val="1"/>
        </w:numPr>
        <w:tabs>
          <w:tab w:val="left" w:pos="426"/>
        </w:tabs>
        <w:ind w:left="0" w:right="45"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La jurisprudencia constitucional precisó que la normativa aplicable a la votación por partes de los proyectos de ley </w:t>
      </w:r>
      <w:r w:rsidRPr="00EE2FA1">
        <w:rPr>
          <w:rFonts w:ascii="Times New Roman" w:hAnsi="Times New Roman" w:cs="Times New Roman"/>
          <w:sz w:val="28"/>
          <w:szCs w:val="28"/>
        </w:rPr>
        <w:t xml:space="preserve">en trámite </w:t>
      </w:r>
      <w:r w:rsidRPr="00EE2FA1">
        <w:rPr>
          <w:rFonts w:ascii="Times New Roman" w:hAnsi="Times New Roman" w:cs="Times New Roman"/>
          <w:sz w:val="28"/>
          <w:szCs w:val="28"/>
        </w:rPr>
        <w:t xml:space="preserve">es la establecida </w:t>
      </w:r>
      <w:r w:rsidRPr="00EE2FA1">
        <w:rPr>
          <w:rFonts w:ascii="Times New Roman" w:hAnsi="Times New Roman" w:cs="Times New Roman"/>
          <w:sz w:val="28"/>
          <w:szCs w:val="28"/>
        </w:rPr>
        <w:t xml:space="preserve">específicamente </w:t>
      </w:r>
      <w:r w:rsidRPr="00EE2FA1">
        <w:rPr>
          <w:rFonts w:ascii="Times New Roman" w:hAnsi="Times New Roman" w:cs="Times New Roman"/>
          <w:sz w:val="28"/>
          <w:szCs w:val="28"/>
        </w:rPr>
        <w:t>en el artícul</w:t>
      </w:r>
      <w:r w:rsidRPr="00EE2FA1">
        <w:rPr>
          <w:rFonts w:ascii="Times New Roman" w:hAnsi="Times New Roman" w:cs="Times New Roman"/>
          <w:sz w:val="28"/>
          <w:szCs w:val="28"/>
        </w:rPr>
        <w:t xml:space="preserve">o 134 del Reglamento Interno del Congreso. </w:t>
      </w:r>
      <w:r w:rsidRPr="00EE2FA1">
        <w:rPr>
          <w:rFonts w:ascii="Times New Roman" w:hAnsi="Times New Roman" w:cs="Times New Roman"/>
          <w:sz w:val="28"/>
          <w:szCs w:val="28"/>
        </w:rPr>
        <w:t>Esta corporación</w:t>
      </w:r>
      <w:r w:rsidRPr="00EE2FA1">
        <w:rPr>
          <w:rFonts w:ascii="Times New Roman" w:hAnsi="Times New Roman" w:cs="Times New Roman"/>
          <w:sz w:val="28"/>
          <w:szCs w:val="28"/>
        </w:rPr>
        <w:t xml:space="preserve"> consideró que la mencionada disposición “es la norma especial que expresamente se refiere a la votación por partes del proyecto”</w:t>
      </w:r>
      <w:r w:rsidRPr="00EE2FA1">
        <w:rPr>
          <w:rStyle w:val="Refdenotaalpie"/>
          <w:rFonts w:ascii="Times New Roman" w:hAnsi="Times New Roman" w:cs="Times New Roman"/>
          <w:sz w:val="28"/>
          <w:szCs w:val="28"/>
        </w:rPr>
        <w:footnoteReference w:id="166"/>
      </w:r>
      <w:r w:rsidRPr="00EE2FA1">
        <w:rPr>
          <w:rFonts w:ascii="Times New Roman" w:hAnsi="Times New Roman" w:cs="Times New Roman"/>
          <w:sz w:val="28"/>
          <w:szCs w:val="28"/>
        </w:rPr>
        <w:t>. También describe la facultad discrecional que tiene la mesa direc</w:t>
      </w:r>
      <w:r w:rsidRPr="00EE2FA1">
        <w:rPr>
          <w:rFonts w:ascii="Times New Roman" w:hAnsi="Times New Roman" w:cs="Times New Roman"/>
          <w:sz w:val="28"/>
          <w:szCs w:val="28"/>
        </w:rPr>
        <w:t xml:space="preserve">tiva para establecer lo que estime más conveniente respecto de la modalidad de votación </w:t>
      </w:r>
      <w:r w:rsidRPr="00EE2FA1">
        <w:rPr>
          <w:rFonts w:ascii="Times New Roman" w:hAnsi="Times New Roman" w:cs="Times New Roman"/>
          <w:sz w:val="28"/>
          <w:szCs w:val="28"/>
        </w:rPr>
        <w:t xml:space="preserve">sobre </w:t>
      </w:r>
      <w:r w:rsidRPr="00EE2FA1">
        <w:rPr>
          <w:rFonts w:ascii="Times New Roman" w:hAnsi="Times New Roman" w:cs="Times New Roman"/>
          <w:sz w:val="28"/>
          <w:szCs w:val="28"/>
        </w:rPr>
        <w:t>las disposiciones contenidas en el proyecto de ley.</w:t>
      </w:r>
    </w:p>
    <w:p w:rsidR="00824B30" w:rsidRPr="00EE2FA1" w:rsidRDefault="00EE2FA1" w:rsidP="00824B30">
      <w:pPr>
        <w:pStyle w:val="Prrafodelista"/>
        <w:rPr>
          <w:rFonts w:ascii="Times New Roman" w:hAnsi="Times New Roman" w:cs="Times New Roman"/>
          <w:sz w:val="28"/>
          <w:szCs w:val="28"/>
        </w:rPr>
      </w:pPr>
    </w:p>
    <w:p w:rsidR="00824B30" w:rsidRPr="00EE2FA1" w:rsidRDefault="00EE2FA1" w:rsidP="00824B30">
      <w:pPr>
        <w:pStyle w:val="Prrafodelista"/>
        <w:numPr>
          <w:ilvl w:val="0"/>
          <w:numId w:val="1"/>
        </w:numPr>
        <w:tabs>
          <w:tab w:val="left" w:pos="426"/>
        </w:tabs>
        <w:ind w:left="0" w:right="45"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De esta manera, la Sala reitera que, como lo </w:t>
      </w:r>
      <w:r w:rsidRPr="00EE2FA1">
        <w:rPr>
          <w:rFonts w:ascii="Times New Roman" w:hAnsi="Times New Roman" w:cs="Times New Roman"/>
          <w:sz w:val="28"/>
          <w:szCs w:val="28"/>
        </w:rPr>
        <w:t xml:space="preserve">señaló </w:t>
      </w:r>
      <w:r w:rsidRPr="00EE2FA1">
        <w:rPr>
          <w:rFonts w:ascii="Times New Roman" w:hAnsi="Times New Roman" w:cs="Times New Roman"/>
          <w:sz w:val="28"/>
          <w:szCs w:val="28"/>
        </w:rPr>
        <w:t xml:space="preserve">la </w:t>
      </w:r>
      <w:r w:rsidRPr="00EE2FA1">
        <w:rPr>
          <w:rFonts w:ascii="Times New Roman" w:hAnsi="Times New Roman" w:cs="Times New Roman"/>
          <w:sz w:val="28"/>
          <w:szCs w:val="28"/>
        </w:rPr>
        <w:t xml:space="preserve">Sentencia </w:t>
      </w:r>
      <w:r w:rsidRPr="00EE2FA1">
        <w:rPr>
          <w:rFonts w:ascii="Times New Roman" w:hAnsi="Times New Roman" w:cs="Times New Roman"/>
          <w:sz w:val="28"/>
          <w:szCs w:val="28"/>
        </w:rPr>
        <w:t xml:space="preserve">C-155 de 1998, los artículos 158 y 159 no </w:t>
      </w:r>
      <w:r w:rsidRPr="00EE2FA1">
        <w:rPr>
          <w:rFonts w:ascii="Times New Roman" w:hAnsi="Times New Roman" w:cs="Times New Roman"/>
          <w:sz w:val="28"/>
          <w:szCs w:val="28"/>
        </w:rPr>
        <w:t>son aplicables pues abordan la discusión y no la votación, razón por la que el artículo 134</w:t>
      </w:r>
      <w:r w:rsidRPr="00EE2FA1">
        <w:rPr>
          <w:rFonts w:ascii="Times New Roman" w:hAnsi="Times New Roman" w:cs="Times New Roman"/>
          <w:sz w:val="28"/>
          <w:szCs w:val="28"/>
        </w:rPr>
        <w:t xml:space="preserve"> de la ley orgánica sobre el trámite legislativo</w:t>
      </w:r>
      <w:r w:rsidRPr="00EE2FA1">
        <w:rPr>
          <w:rFonts w:ascii="Times New Roman" w:hAnsi="Times New Roman" w:cs="Times New Roman"/>
          <w:sz w:val="28"/>
          <w:szCs w:val="28"/>
        </w:rPr>
        <w:t xml:space="preserve"> es la norma especial que </w:t>
      </w:r>
      <w:r w:rsidRPr="00EE2FA1">
        <w:rPr>
          <w:rFonts w:ascii="Times New Roman" w:hAnsi="Times New Roman" w:cs="Times New Roman"/>
          <w:sz w:val="28"/>
          <w:szCs w:val="28"/>
        </w:rPr>
        <w:t>regula</w:t>
      </w:r>
      <w:r w:rsidRPr="00EE2FA1">
        <w:rPr>
          <w:rFonts w:ascii="Times New Roman" w:hAnsi="Times New Roman" w:cs="Times New Roman"/>
          <w:sz w:val="28"/>
          <w:szCs w:val="28"/>
        </w:rPr>
        <w:t xml:space="preserve"> expresamente la votación por partes del articulado.</w:t>
      </w:r>
    </w:p>
    <w:p w:rsidR="00824B30" w:rsidRPr="00EE2FA1" w:rsidRDefault="00EE2FA1" w:rsidP="00433D54">
      <w:pPr>
        <w:pStyle w:val="Prrafodelista"/>
        <w:tabs>
          <w:tab w:val="left" w:pos="426"/>
        </w:tabs>
        <w:jc w:val="both"/>
        <w:rPr>
          <w:rFonts w:ascii="Times New Roman" w:hAnsi="Times New Roman" w:cs="Times New Roman"/>
          <w:sz w:val="28"/>
          <w:szCs w:val="28"/>
        </w:rPr>
      </w:pPr>
    </w:p>
    <w:p w:rsidR="00433D54" w:rsidRPr="00EE2FA1" w:rsidRDefault="00EE2FA1" w:rsidP="00433D54">
      <w:pPr>
        <w:pStyle w:val="Prrafodelista"/>
        <w:numPr>
          <w:ilvl w:val="0"/>
          <w:numId w:val="1"/>
        </w:numPr>
        <w:tabs>
          <w:tab w:val="left" w:pos="426"/>
        </w:tabs>
        <w:ind w:left="0" w:right="45"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 En línea con lo anterior, la a</w:t>
      </w:r>
      <w:r w:rsidRPr="00EE2FA1">
        <w:rPr>
          <w:rFonts w:ascii="Times New Roman" w:hAnsi="Times New Roman" w:cs="Times New Roman"/>
          <w:sz w:val="28"/>
          <w:szCs w:val="28"/>
        </w:rPr>
        <w:t xml:space="preserve">plicación de la discrecionalidad concedida a la mesa directiva para determinar la adopción o no de la votación en bloque del articulado de un proyecto de ley no representa una vulneración al principio democrático, en tanto “no constituye, en sí misma, una </w:t>
      </w:r>
      <w:r w:rsidRPr="00EE2FA1">
        <w:rPr>
          <w:rFonts w:ascii="Times New Roman" w:hAnsi="Times New Roman" w:cs="Times New Roman"/>
          <w:sz w:val="28"/>
          <w:szCs w:val="28"/>
        </w:rPr>
        <w:t>irregularidad susceptible de viciar el trámite del proyecto en cuestión, toda vez que el artículo 134 del Reglamento del Congreso les confiere discrecionalidad para adoptar una decisión definitiva al respecto”</w:t>
      </w:r>
      <w:r w:rsidRPr="00EE2FA1">
        <w:rPr>
          <w:rStyle w:val="Refdenotaalpie"/>
          <w:rFonts w:ascii="Times New Roman" w:hAnsi="Times New Roman" w:cs="Times New Roman"/>
          <w:sz w:val="28"/>
          <w:szCs w:val="28"/>
        </w:rPr>
        <w:footnoteReference w:id="167"/>
      </w:r>
      <w:r w:rsidRPr="00EE2FA1">
        <w:rPr>
          <w:rFonts w:ascii="Times New Roman" w:hAnsi="Times New Roman" w:cs="Times New Roman"/>
          <w:sz w:val="28"/>
          <w:szCs w:val="28"/>
        </w:rPr>
        <w:t>.</w:t>
      </w:r>
    </w:p>
    <w:p w:rsidR="00433D54" w:rsidRPr="00EE2FA1" w:rsidRDefault="00EE2FA1" w:rsidP="00433D54">
      <w:pPr>
        <w:pStyle w:val="Prrafodelista"/>
        <w:tabs>
          <w:tab w:val="left" w:pos="426"/>
        </w:tabs>
        <w:jc w:val="both"/>
        <w:rPr>
          <w:rFonts w:ascii="Times New Roman" w:hAnsi="Times New Roman" w:cs="Times New Roman"/>
          <w:sz w:val="28"/>
          <w:szCs w:val="28"/>
        </w:rPr>
      </w:pPr>
    </w:p>
    <w:p w:rsidR="00433D54" w:rsidRPr="00EE2FA1" w:rsidRDefault="00EE2FA1" w:rsidP="00433D54">
      <w:pPr>
        <w:pStyle w:val="Prrafodelista"/>
        <w:numPr>
          <w:ilvl w:val="0"/>
          <w:numId w:val="1"/>
        </w:numPr>
        <w:tabs>
          <w:tab w:val="left" w:pos="426"/>
        </w:tabs>
        <w:ind w:left="0" w:right="45"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Sin embargo, la referida facultad no puede </w:t>
      </w:r>
      <w:r w:rsidRPr="00EE2FA1">
        <w:rPr>
          <w:rFonts w:ascii="Times New Roman" w:hAnsi="Times New Roman" w:cs="Times New Roman"/>
          <w:sz w:val="28"/>
          <w:szCs w:val="28"/>
        </w:rPr>
        <w:t xml:space="preserve">ser absoluta y arbitraria. En atención a ello, la Sentencia C-044 de 2015 estableció ciertas reglas con el fin de corroborar </w:t>
      </w:r>
      <w:r w:rsidRPr="00EE2FA1">
        <w:rPr>
          <w:rFonts w:ascii="Times New Roman" w:hAnsi="Times New Roman" w:cs="Times New Roman"/>
          <w:sz w:val="28"/>
          <w:szCs w:val="28"/>
        </w:rPr>
        <w:t xml:space="preserve">si </w:t>
      </w:r>
      <w:r w:rsidRPr="00EE2FA1">
        <w:rPr>
          <w:rFonts w:ascii="Times New Roman" w:hAnsi="Times New Roman" w:cs="Times New Roman"/>
          <w:sz w:val="28"/>
          <w:szCs w:val="28"/>
        </w:rPr>
        <w:t xml:space="preserve">la actuación desplegada por la mesa directiva se </w:t>
      </w:r>
      <w:r w:rsidRPr="00EE2FA1">
        <w:rPr>
          <w:rFonts w:ascii="Times New Roman" w:hAnsi="Times New Roman" w:cs="Times New Roman"/>
          <w:sz w:val="28"/>
          <w:szCs w:val="28"/>
        </w:rPr>
        <w:t xml:space="preserve">torna </w:t>
      </w:r>
      <w:r w:rsidRPr="00EE2FA1">
        <w:rPr>
          <w:rFonts w:ascii="Times New Roman" w:hAnsi="Times New Roman" w:cs="Times New Roman"/>
          <w:sz w:val="28"/>
          <w:szCs w:val="28"/>
        </w:rPr>
        <w:t xml:space="preserve">arbitraria. En ese sentido la Corte </w:t>
      </w:r>
      <w:r w:rsidRPr="00EE2FA1">
        <w:rPr>
          <w:rFonts w:ascii="Times New Roman" w:hAnsi="Times New Roman" w:cs="Times New Roman"/>
          <w:sz w:val="28"/>
          <w:szCs w:val="28"/>
        </w:rPr>
        <w:t xml:space="preserve">Constitucional </w:t>
      </w:r>
      <w:r w:rsidRPr="00EE2FA1">
        <w:rPr>
          <w:rFonts w:ascii="Times New Roman" w:hAnsi="Times New Roman" w:cs="Times New Roman"/>
          <w:sz w:val="28"/>
          <w:szCs w:val="28"/>
        </w:rPr>
        <w:t xml:space="preserve">debe verificar que: </w:t>
      </w:r>
    </w:p>
    <w:p w:rsidR="00433D54" w:rsidRPr="00EE2FA1" w:rsidRDefault="00EE2FA1" w:rsidP="00433D54">
      <w:pPr>
        <w:pStyle w:val="Prrafodelista"/>
        <w:tabs>
          <w:tab w:val="left" w:pos="426"/>
        </w:tabs>
        <w:jc w:val="both"/>
        <w:rPr>
          <w:rFonts w:ascii="Times New Roman" w:hAnsi="Times New Roman" w:cs="Times New Roman"/>
          <w:sz w:val="28"/>
          <w:szCs w:val="28"/>
        </w:rPr>
      </w:pPr>
    </w:p>
    <w:p w:rsidR="00433D54" w:rsidRPr="00EE2FA1" w:rsidRDefault="00EE2FA1" w:rsidP="007C5E3E">
      <w:pPr>
        <w:pStyle w:val="Prrafodelista"/>
        <w:ind w:left="426" w:right="23"/>
        <w:jc w:val="both"/>
        <w:rPr>
          <w:rFonts w:ascii="Times New Roman" w:hAnsi="Times New Roman" w:cs="Times New Roman"/>
          <w:sz w:val="28"/>
        </w:rPr>
      </w:pPr>
      <w:r w:rsidRPr="00EE2FA1">
        <w:rPr>
          <w:rFonts w:ascii="Times New Roman" w:hAnsi="Times New Roman" w:cs="Times New Roman"/>
          <w:sz w:val="28"/>
        </w:rPr>
        <w:t>“(i) previo a la decisión adoptada por la mesa directiva se haya abierto espacio para exponer los argumentos a favor o en contra de acoger la propuesta de votación por partes</w:t>
      </w:r>
      <w:r w:rsidRPr="00EE2FA1">
        <w:rPr>
          <w:rFonts w:ascii="Times New Roman" w:hAnsi="Times New Roman" w:cs="Times New Roman"/>
          <w:sz w:val="28"/>
        </w:rPr>
        <w:t>;</w:t>
      </w:r>
      <w:r w:rsidRPr="00EE2FA1">
        <w:rPr>
          <w:rFonts w:ascii="Times New Roman" w:hAnsi="Times New Roman" w:cs="Times New Roman"/>
          <w:sz w:val="28"/>
        </w:rPr>
        <w:t xml:space="preserve"> (ii) no se haya alcanzado un consenso al respecto entre los integrantes de la re</w:t>
      </w:r>
      <w:r w:rsidRPr="00EE2FA1">
        <w:rPr>
          <w:rFonts w:ascii="Times New Roman" w:hAnsi="Times New Roman" w:cs="Times New Roman"/>
          <w:sz w:val="28"/>
        </w:rPr>
        <w:t>spectiva célula legislativa; (iii) del contexto del debate se infiere que con la votación en bloque del articulado no se sacrifican las finalidades sustantivas que se aseguran con la votación por partes, toda vez que, por ejemplo, ni el autor de la propues</w:t>
      </w:r>
      <w:r w:rsidRPr="00EE2FA1">
        <w:rPr>
          <w:rFonts w:ascii="Times New Roman" w:hAnsi="Times New Roman" w:cs="Times New Roman"/>
          <w:sz w:val="28"/>
        </w:rPr>
        <w:t xml:space="preserve">ta ni los demás participantes en el debate han identificado aquellos contenidos normativos sobre los que tengan una posición diferente a la que sostienen en relación con el resto del articulado, de modo tal que requieran de la votación por partes a fin de </w:t>
      </w:r>
      <w:r w:rsidRPr="00EE2FA1">
        <w:rPr>
          <w:rFonts w:ascii="Times New Roman" w:hAnsi="Times New Roman" w:cs="Times New Roman"/>
          <w:sz w:val="28"/>
        </w:rPr>
        <w:t>expresar su aprobación respecto de unos contenidos y su desaprobación respecto de los demás; o bien cuando los artículos votados en bloque no fueron objeto de proposiciones sustitutivas, aditivas o supresivas durante el curso del debate, que ameriten somet</w:t>
      </w:r>
      <w:r w:rsidRPr="00EE2FA1">
        <w:rPr>
          <w:rFonts w:ascii="Times New Roman" w:hAnsi="Times New Roman" w:cs="Times New Roman"/>
          <w:sz w:val="28"/>
        </w:rPr>
        <w:t>erlos a votación de manera separada”.</w:t>
      </w:r>
      <w:r w:rsidRPr="00EE2FA1">
        <w:rPr>
          <w:rFonts w:ascii="Times New Roman" w:hAnsi="Times New Roman" w:cs="Times New Roman"/>
          <w:sz w:val="28"/>
          <w:shd w:val="clear" w:color="auto" w:fill="FFFFFF"/>
        </w:rPr>
        <w:t xml:space="preserve"> </w:t>
      </w:r>
    </w:p>
    <w:p w:rsidR="00433D54" w:rsidRPr="00EE2FA1" w:rsidRDefault="00EE2FA1" w:rsidP="00250F92">
      <w:pPr>
        <w:pStyle w:val="Prrafodelista"/>
        <w:overflowPunct w:val="0"/>
        <w:autoSpaceDE w:val="0"/>
        <w:autoSpaceDN w:val="0"/>
        <w:adjustRightInd w:val="0"/>
        <w:spacing w:line="0" w:lineRule="atLeast"/>
        <w:ind w:left="0" w:right="56"/>
        <w:jc w:val="both"/>
        <w:textAlignment w:val="baseline"/>
        <w:rPr>
          <w:rFonts w:ascii="Times New Roman" w:hAnsi="Times New Roman" w:cs="Times New Roman"/>
          <w:sz w:val="28"/>
        </w:rPr>
      </w:pPr>
    </w:p>
    <w:p w:rsidR="00BC71BD"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b/>
          <w:bCs/>
          <w:sz w:val="28"/>
          <w:szCs w:val="28"/>
        </w:rPr>
      </w:pPr>
      <w:r w:rsidRPr="00EE2FA1">
        <w:rPr>
          <w:rFonts w:ascii="Times New Roman" w:hAnsi="Times New Roman" w:cs="Times New Roman"/>
          <w:b/>
          <w:bCs/>
          <w:sz w:val="28"/>
          <w:szCs w:val="28"/>
        </w:rPr>
        <w:t>Caso concreto. Solución al cargo tercero</w:t>
      </w:r>
      <w:r w:rsidRPr="00EE2FA1">
        <w:rPr>
          <w:rFonts w:ascii="Times New Roman" w:hAnsi="Times New Roman" w:cs="Times New Roman"/>
          <w:b/>
          <w:bCs/>
          <w:sz w:val="28"/>
          <w:szCs w:val="28"/>
        </w:rPr>
        <w:t>:</w:t>
      </w:r>
      <w:r w:rsidRPr="00EE2FA1">
        <w:rPr>
          <w:rFonts w:ascii="Times New Roman" w:hAnsi="Times New Roman" w:cs="Times New Roman"/>
          <w:b/>
          <w:bCs/>
          <w:sz w:val="28"/>
          <w:szCs w:val="28"/>
        </w:rPr>
        <w:t xml:space="preserve"> </w:t>
      </w:r>
      <w:r w:rsidRPr="00EE2FA1">
        <w:rPr>
          <w:rFonts w:ascii="Times New Roman" w:hAnsi="Times New Roman" w:cs="Times New Roman"/>
          <w:b/>
          <w:bCs/>
          <w:sz w:val="28"/>
          <w:szCs w:val="28"/>
        </w:rPr>
        <w:t>l</w:t>
      </w:r>
      <w:r w:rsidRPr="00EE2FA1">
        <w:rPr>
          <w:rFonts w:ascii="Times New Roman" w:hAnsi="Times New Roman" w:cs="Times New Roman"/>
          <w:b/>
          <w:bCs/>
          <w:sz w:val="28"/>
          <w:szCs w:val="28"/>
        </w:rPr>
        <w:t xml:space="preserve">a votación en bloque de </w:t>
      </w:r>
      <w:r w:rsidRPr="00EE2FA1">
        <w:rPr>
          <w:rFonts w:ascii="Times New Roman" w:hAnsi="Times New Roman" w:cs="Times New Roman"/>
          <w:b/>
          <w:bCs/>
          <w:sz w:val="28"/>
          <w:szCs w:val="28"/>
        </w:rPr>
        <w:t xml:space="preserve">artículos </w:t>
      </w:r>
      <w:r w:rsidRPr="00EE2FA1">
        <w:rPr>
          <w:rFonts w:ascii="Times New Roman" w:hAnsi="Times New Roman" w:cs="Times New Roman"/>
          <w:b/>
          <w:bCs/>
          <w:sz w:val="28"/>
          <w:szCs w:val="28"/>
        </w:rPr>
        <w:t>en primer debate</w:t>
      </w:r>
      <w:r w:rsidRPr="00EE2FA1">
        <w:rPr>
          <w:rFonts w:ascii="Times New Roman" w:hAnsi="Times New Roman" w:cs="Times New Roman"/>
          <w:b/>
          <w:bCs/>
          <w:sz w:val="28"/>
          <w:szCs w:val="28"/>
        </w:rPr>
        <w:t>,</w:t>
      </w:r>
      <w:r w:rsidRPr="00EE2FA1">
        <w:rPr>
          <w:rFonts w:ascii="Times New Roman" w:hAnsi="Times New Roman" w:cs="Times New Roman"/>
          <w:b/>
          <w:bCs/>
          <w:sz w:val="28"/>
          <w:szCs w:val="28"/>
        </w:rPr>
        <w:t xml:space="preserve"> </w:t>
      </w:r>
      <w:r w:rsidRPr="00EE2FA1">
        <w:rPr>
          <w:rFonts w:ascii="Times New Roman" w:hAnsi="Times New Roman" w:cs="Times New Roman"/>
          <w:b/>
          <w:bCs/>
          <w:sz w:val="28"/>
          <w:szCs w:val="28"/>
        </w:rPr>
        <w:t xml:space="preserve">que contiene </w:t>
      </w:r>
      <w:r w:rsidRPr="00EE2FA1">
        <w:rPr>
          <w:rFonts w:ascii="Times New Roman" w:hAnsi="Times New Roman" w:cs="Times New Roman"/>
          <w:b/>
          <w:bCs/>
          <w:sz w:val="28"/>
          <w:szCs w:val="28"/>
        </w:rPr>
        <w:t>las normas</w:t>
      </w:r>
      <w:r w:rsidRPr="00EE2FA1">
        <w:rPr>
          <w:rFonts w:ascii="Times New Roman" w:hAnsi="Times New Roman" w:cs="Times New Roman"/>
          <w:b/>
          <w:bCs/>
          <w:sz w:val="28"/>
          <w:szCs w:val="28"/>
        </w:rPr>
        <w:t xml:space="preserve"> </w:t>
      </w:r>
      <w:r w:rsidRPr="00EE2FA1">
        <w:rPr>
          <w:rFonts w:ascii="Times New Roman" w:hAnsi="Times New Roman" w:cs="Times New Roman"/>
          <w:b/>
          <w:bCs/>
          <w:sz w:val="28"/>
          <w:szCs w:val="28"/>
        </w:rPr>
        <w:t xml:space="preserve">censuradas, </w:t>
      </w:r>
      <w:r w:rsidRPr="00EE2FA1">
        <w:rPr>
          <w:rFonts w:ascii="Times New Roman" w:hAnsi="Times New Roman" w:cs="Times New Roman"/>
          <w:b/>
          <w:bCs/>
          <w:sz w:val="28"/>
          <w:szCs w:val="28"/>
        </w:rPr>
        <w:t>no desconoció la Constitución</w:t>
      </w:r>
    </w:p>
    <w:p w:rsidR="00BC71BD" w:rsidRPr="00EE2FA1" w:rsidRDefault="00EE2FA1" w:rsidP="00433D54">
      <w:pPr>
        <w:pStyle w:val="Prrafodelista"/>
        <w:tabs>
          <w:tab w:val="left" w:pos="426"/>
        </w:tabs>
        <w:overflowPunct w:val="0"/>
        <w:autoSpaceDE w:val="0"/>
        <w:autoSpaceDN w:val="0"/>
        <w:adjustRightInd w:val="0"/>
        <w:spacing w:line="0" w:lineRule="atLeast"/>
        <w:ind w:left="0" w:right="56"/>
        <w:jc w:val="both"/>
        <w:textAlignment w:val="baseline"/>
        <w:rPr>
          <w:rFonts w:ascii="Times New Roman" w:hAnsi="Times New Roman" w:cs="Times New Roman"/>
          <w:sz w:val="28"/>
          <w:szCs w:val="28"/>
        </w:rPr>
      </w:pPr>
    </w:p>
    <w:p w:rsidR="00AA4740" w:rsidRPr="00EE2FA1" w:rsidRDefault="00EE2FA1" w:rsidP="007873E9">
      <w:pPr>
        <w:pStyle w:val="Prrafodelista"/>
        <w:numPr>
          <w:ilvl w:val="0"/>
          <w:numId w:val="1"/>
        </w:numPr>
        <w:tabs>
          <w:tab w:val="left" w:pos="426"/>
        </w:tabs>
        <w:spacing w:line="0" w:lineRule="atLeast"/>
        <w:ind w:left="0" w:firstLine="0"/>
        <w:jc w:val="both"/>
        <w:rPr>
          <w:rFonts w:ascii="Times New Roman" w:eastAsia="Calibri" w:hAnsi="Times New Roman" w:cs="Times New Roman"/>
          <w:bCs/>
          <w:i/>
          <w:iCs/>
          <w:sz w:val="28"/>
          <w:szCs w:val="28"/>
          <w:lang w:eastAsia="es-ES"/>
        </w:rPr>
      </w:pPr>
      <w:r w:rsidRPr="00EE2FA1">
        <w:rPr>
          <w:rFonts w:ascii="Times New Roman" w:hAnsi="Times New Roman" w:cs="Times New Roman"/>
          <w:i/>
          <w:iCs/>
          <w:sz w:val="28"/>
          <w:szCs w:val="28"/>
        </w:rPr>
        <w:t>Antecedentes legislativos</w:t>
      </w:r>
      <w:r w:rsidRPr="00EE2FA1">
        <w:rPr>
          <w:rFonts w:ascii="Times New Roman" w:hAnsi="Times New Roman" w:cs="Times New Roman"/>
          <w:sz w:val="28"/>
          <w:szCs w:val="28"/>
        </w:rPr>
        <w:t xml:space="preserve">. </w:t>
      </w:r>
      <w:r w:rsidRPr="00EE2FA1">
        <w:rPr>
          <w:rFonts w:ascii="Times New Roman" w:eastAsia="Calibri" w:hAnsi="Times New Roman" w:cs="Times New Roman"/>
          <w:bCs/>
          <w:sz w:val="28"/>
          <w:szCs w:val="28"/>
          <w:lang w:eastAsia="es-ES"/>
        </w:rPr>
        <w:t xml:space="preserve">La Sala describirá el trámite realizado en las </w:t>
      </w:r>
      <w:r w:rsidRPr="00EE2FA1">
        <w:rPr>
          <w:rFonts w:ascii="Times New Roman" w:eastAsia="Calibri" w:hAnsi="Times New Roman" w:cs="Times New Roman"/>
          <w:bCs/>
          <w:sz w:val="28"/>
          <w:szCs w:val="28"/>
          <w:lang w:eastAsia="es-ES"/>
        </w:rPr>
        <w:t xml:space="preserve">Comisiones Terceras en sesiones conjuntas </w:t>
      </w:r>
      <w:r w:rsidRPr="00EE2FA1">
        <w:rPr>
          <w:rFonts w:ascii="Times New Roman" w:eastAsia="Calibri" w:hAnsi="Times New Roman" w:cs="Times New Roman"/>
          <w:bCs/>
          <w:sz w:val="28"/>
          <w:szCs w:val="28"/>
          <w:lang w:eastAsia="es-ES"/>
        </w:rPr>
        <w:t xml:space="preserve">para determinar la votación en bloque del articulado del proyecto de ley número 118 de 2022 Cámara – 131 de 2022 Senado, y evaluará si lo acaecido </w:t>
      </w:r>
      <w:r w:rsidRPr="00EE2FA1">
        <w:rPr>
          <w:rFonts w:ascii="Times New Roman" w:eastAsia="Calibri" w:hAnsi="Times New Roman" w:cs="Times New Roman"/>
          <w:bCs/>
          <w:sz w:val="28"/>
          <w:szCs w:val="28"/>
          <w:lang w:eastAsia="es-ES"/>
        </w:rPr>
        <w:t xml:space="preserve">cumplió </w:t>
      </w:r>
      <w:r w:rsidRPr="00EE2FA1">
        <w:rPr>
          <w:rFonts w:ascii="Times New Roman" w:eastAsia="Calibri" w:hAnsi="Times New Roman" w:cs="Times New Roman"/>
          <w:bCs/>
          <w:sz w:val="28"/>
          <w:szCs w:val="28"/>
          <w:lang w:eastAsia="es-ES"/>
        </w:rPr>
        <w:t>los parámetr</w:t>
      </w:r>
      <w:r w:rsidRPr="00EE2FA1">
        <w:rPr>
          <w:rFonts w:ascii="Times New Roman" w:eastAsia="Calibri" w:hAnsi="Times New Roman" w:cs="Times New Roman"/>
          <w:bCs/>
          <w:sz w:val="28"/>
          <w:szCs w:val="28"/>
          <w:lang w:eastAsia="es-ES"/>
        </w:rPr>
        <w:t>os jurisprudenciales para que se haya procedido válidamente con este tipo de votación.</w:t>
      </w:r>
      <w:r w:rsidRPr="00EE2FA1">
        <w:rPr>
          <w:rFonts w:ascii="Times New Roman" w:eastAsia="Calibri" w:hAnsi="Times New Roman" w:cs="Times New Roman"/>
          <w:bCs/>
          <w:sz w:val="28"/>
          <w:szCs w:val="28"/>
          <w:lang w:eastAsia="es-ES"/>
        </w:rPr>
        <w:t xml:space="preserve"> La Sala precisa que en este caso </w:t>
      </w:r>
      <w:r w:rsidRPr="00EE2FA1">
        <w:rPr>
          <w:rFonts w:ascii="Times New Roman" w:hAnsi="Times New Roman" w:cs="Times New Roman"/>
          <w:sz w:val="28"/>
          <w:szCs w:val="28"/>
        </w:rPr>
        <w:t>el estudio sobre la constitucionalidad de la votación de artículos en bloque se hace específicamente en relación con los artículos deman</w:t>
      </w:r>
      <w:r w:rsidRPr="00EE2FA1">
        <w:rPr>
          <w:rFonts w:ascii="Times New Roman" w:hAnsi="Times New Roman" w:cs="Times New Roman"/>
          <w:sz w:val="28"/>
          <w:szCs w:val="28"/>
        </w:rPr>
        <w:t>dados y no respecto de todos los artículos que fueron votados en ese bloque.</w:t>
      </w:r>
    </w:p>
    <w:p w:rsidR="00AA4740" w:rsidRPr="00EE2FA1" w:rsidRDefault="00EE2FA1" w:rsidP="00247CDC">
      <w:pPr>
        <w:tabs>
          <w:tab w:val="left" w:pos="426"/>
        </w:tabs>
        <w:spacing w:line="0" w:lineRule="atLeast"/>
        <w:jc w:val="both"/>
        <w:rPr>
          <w:rFonts w:ascii="Times New Roman" w:eastAsia="Calibri" w:hAnsi="Times New Roman" w:cs="Times New Roman"/>
          <w:bCs/>
          <w:i/>
          <w:iCs/>
          <w:sz w:val="28"/>
          <w:szCs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eastAsia="Calibri" w:hAnsi="Times New Roman" w:cs="Times New Roman"/>
          <w:bCs/>
          <w:sz w:val="28"/>
          <w:szCs w:val="28"/>
          <w:lang w:eastAsia="es-ES"/>
        </w:rPr>
        <w:t xml:space="preserve">En la sesión de las </w:t>
      </w:r>
      <w:r w:rsidRPr="00EE2FA1">
        <w:rPr>
          <w:rFonts w:ascii="Times New Roman" w:eastAsia="Calibri" w:hAnsi="Times New Roman" w:cs="Times New Roman"/>
          <w:bCs/>
          <w:sz w:val="28"/>
          <w:szCs w:val="28"/>
          <w:lang w:eastAsia="es-ES"/>
        </w:rPr>
        <w:t xml:space="preserve">Comisiones Terceras </w:t>
      </w:r>
      <w:r w:rsidRPr="00EE2FA1">
        <w:rPr>
          <w:rFonts w:ascii="Times New Roman" w:eastAsia="Calibri" w:hAnsi="Times New Roman" w:cs="Times New Roman"/>
          <w:bCs/>
          <w:sz w:val="28"/>
          <w:szCs w:val="28"/>
          <w:lang w:eastAsia="es-ES"/>
        </w:rPr>
        <w:t xml:space="preserve">conjuntas se sometió a consideración la </w:t>
      </w:r>
      <w:r w:rsidRPr="00EE2FA1">
        <w:rPr>
          <w:rFonts w:ascii="Times New Roman" w:eastAsia="Calibri" w:hAnsi="Times New Roman" w:cs="Times New Roman"/>
          <w:bCs/>
          <w:sz w:val="28"/>
          <w:szCs w:val="28"/>
          <w:lang w:eastAsia="es-ES"/>
        </w:rPr>
        <w:t xml:space="preserve">ponencia </w:t>
      </w:r>
      <w:r w:rsidRPr="00EE2FA1">
        <w:rPr>
          <w:rFonts w:ascii="Times New Roman" w:eastAsia="Calibri" w:hAnsi="Times New Roman" w:cs="Times New Roman"/>
          <w:bCs/>
          <w:sz w:val="28"/>
          <w:szCs w:val="28"/>
          <w:lang w:eastAsia="es-ES"/>
        </w:rPr>
        <w:t xml:space="preserve">mayoritaria presentada para primer debate </w:t>
      </w:r>
      <w:r w:rsidRPr="00EE2FA1">
        <w:rPr>
          <w:rFonts w:ascii="Times New Roman" w:eastAsia="Calibri" w:hAnsi="Times New Roman" w:cs="Times New Roman"/>
          <w:bCs/>
          <w:sz w:val="28"/>
          <w:szCs w:val="28"/>
          <w:lang w:eastAsia="es-ES"/>
        </w:rPr>
        <w:t xml:space="preserve">sobre el </w:t>
      </w:r>
      <w:r w:rsidRPr="00EE2FA1">
        <w:rPr>
          <w:rFonts w:ascii="Times New Roman" w:eastAsia="Calibri" w:hAnsi="Times New Roman" w:cs="Times New Roman"/>
          <w:bCs/>
          <w:sz w:val="28"/>
          <w:szCs w:val="28"/>
          <w:lang w:eastAsia="es-ES"/>
        </w:rPr>
        <w:t>proyecto de ley número 118 de 2022 Cám</w:t>
      </w:r>
      <w:r w:rsidRPr="00EE2FA1">
        <w:rPr>
          <w:rFonts w:ascii="Times New Roman" w:eastAsia="Calibri" w:hAnsi="Times New Roman" w:cs="Times New Roman"/>
          <w:bCs/>
          <w:sz w:val="28"/>
          <w:szCs w:val="28"/>
          <w:lang w:eastAsia="es-ES"/>
        </w:rPr>
        <w:t xml:space="preserve">ara – 131 de 2022 Senado. En este sentido se les concedió la palabra a los coordinadores ponentes del proyecto para exponer las razones de la ponencia favorable de la reforma tributaria que presentó el </w:t>
      </w:r>
      <w:r w:rsidRPr="00EE2FA1">
        <w:rPr>
          <w:rFonts w:ascii="Times New Roman" w:eastAsia="Calibri" w:hAnsi="Times New Roman" w:cs="Times New Roman"/>
          <w:bCs/>
          <w:sz w:val="28"/>
          <w:szCs w:val="28"/>
          <w:lang w:eastAsia="es-ES"/>
        </w:rPr>
        <w:t xml:space="preserve">gobierno </w:t>
      </w:r>
      <w:r w:rsidRPr="00EE2FA1">
        <w:rPr>
          <w:rFonts w:ascii="Times New Roman" w:eastAsia="Calibri" w:hAnsi="Times New Roman" w:cs="Times New Roman"/>
          <w:bCs/>
          <w:sz w:val="28"/>
          <w:szCs w:val="28"/>
          <w:lang w:eastAsia="es-ES"/>
        </w:rPr>
        <w:t>nacional.</w:t>
      </w:r>
    </w:p>
    <w:p w:rsidR="00C03634" w:rsidRPr="00EE2FA1" w:rsidRDefault="00EE2FA1" w:rsidP="001850B8">
      <w:pPr>
        <w:pStyle w:val="Prrafodelista"/>
        <w:tabs>
          <w:tab w:val="left" w:pos="426"/>
        </w:tabs>
        <w:spacing w:line="0" w:lineRule="atLeast"/>
        <w:ind w:left="0"/>
        <w:jc w:val="both"/>
        <w:rPr>
          <w:rFonts w:ascii="Times New Roman" w:hAnsi="Times New Roman" w:cs="Times New Roman"/>
          <w:sz w:val="28"/>
          <w:szCs w:val="28"/>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Luego de que se aprobara la ponenc</w:t>
      </w:r>
      <w:r w:rsidRPr="00EE2FA1">
        <w:rPr>
          <w:rFonts w:ascii="Times New Roman" w:eastAsia="Calibri" w:hAnsi="Times New Roman" w:cs="Times New Roman"/>
          <w:bCs/>
          <w:sz w:val="28"/>
          <w:szCs w:val="28"/>
          <w:lang w:eastAsia="es-ES"/>
        </w:rPr>
        <w:t>ia mayoritaria para dar primer debate al proyecto de ley</w:t>
      </w:r>
      <w:r w:rsidRPr="00EE2FA1">
        <w:rPr>
          <w:rStyle w:val="Refdenotaalpie"/>
          <w:rFonts w:ascii="Times New Roman" w:eastAsia="Calibri" w:hAnsi="Times New Roman" w:cs="Times New Roman"/>
          <w:bCs/>
          <w:sz w:val="28"/>
          <w:szCs w:val="28"/>
          <w:lang w:eastAsia="es-ES"/>
        </w:rPr>
        <w:footnoteReference w:id="168"/>
      </w:r>
      <w:r w:rsidRPr="00EE2FA1">
        <w:rPr>
          <w:rFonts w:ascii="Times New Roman" w:eastAsia="Calibri" w:hAnsi="Times New Roman" w:cs="Times New Roman"/>
          <w:bCs/>
          <w:sz w:val="28"/>
          <w:szCs w:val="28"/>
          <w:lang w:eastAsia="es-ES"/>
        </w:rPr>
        <w:t>, los coordinadores ponentes explicaron el contenido del proyecto</w:t>
      </w:r>
      <w:r w:rsidRPr="00EE2FA1">
        <w:rPr>
          <w:rStyle w:val="Refdenotaalpie"/>
          <w:rFonts w:ascii="Times New Roman" w:eastAsia="Calibri" w:hAnsi="Times New Roman" w:cs="Times New Roman"/>
          <w:bCs/>
          <w:sz w:val="28"/>
          <w:szCs w:val="28"/>
          <w:lang w:eastAsia="es-ES"/>
        </w:rPr>
        <w:footnoteReference w:id="169"/>
      </w:r>
      <w:r w:rsidRPr="00EE2FA1">
        <w:rPr>
          <w:rFonts w:ascii="Times New Roman" w:eastAsia="Calibri" w:hAnsi="Times New Roman" w:cs="Times New Roman"/>
          <w:bCs/>
          <w:sz w:val="28"/>
          <w:szCs w:val="28"/>
          <w:lang w:eastAsia="es-ES"/>
        </w:rPr>
        <w:t>, se abrió la discusión para que varios congresistas se pronunciaran</w:t>
      </w:r>
      <w:r w:rsidRPr="00EE2FA1">
        <w:rPr>
          <w:rStyle w:val="Refdenotaalpie"/>
          <w:rFonts w:ascii="Times New Roman" w:eastAsia="Calibri" w:hAnsi="Times New Roman" w:cs="Times New Roman"/>
          <w:bCs/>
          <w:sz w:val="28"/>
          <w:szCs w:val="28"/>
          <w:lang w:eastAsia="es-ES"/>
        </w:rPr>
        <w:footnoteReference w:id="170"/>
      </w:r>
      <w:r w:rsidRPr="00EE2FA1">
        <w:rPr>
          <w:rFonts w:ascii="Times New Roman" w:eastAsia="Calibri" w:hAnsi="Times New Roman" w:cs="Times New Roman"/>
          <w:bCs/>
          <w:sz w:val="28"/>
          <w:szCs w:val="28"/>
          <w:lang w:eastAsia="es-ES"/>
        </w:rPr>
        <w:t xml:space="preserve"> y se negó una proposición para que se declarara la sesión informal</w:t>
      </w:r>
      <w:r w:rsidRPr="00EE2FA1">
        <w:rPr>
          <w:rStyle w:val="Refdenotaalpie"/>
          <w:rFonts w:ascii="Times New Roman" w:eastAsia="Calibri" w:hAnsi="Times New Roman" w:cs="Times New Roman"/>
          <w:bCs/>
          <w:sz w:val="28"/>
          <w:szCs w:val="28"/>
          <w:lang w:eastAsia="es-ES"/>
        </w:rPr>
        <w:footnoteReference w:id="171"/>
      </w:r>
      <w:r w:rsidRPr="00EE2FA1">
        <w:rPr>
          <w:rFonts w:ascii="Times New Roman" w:eastAsia="Calibri" w:hAnsi="Times New Roman" w:cs="Times New Roman"/>
          <w:bCs/>
          <w:sz w:val="28"/>
          <w:szCs w:val="28"/>
          <w:lang w:eastAsia="es-ES"/>
        </w:rPr>
        <w:t>. Seguidamente se le concedió el uso de la palabra al senador Miguel Uribe Turbay. El senador solicitó que se votara individualmente cada artículo del proyecto de ley y presentó una propos</w:t>
      </w:r>
      <w:r w:rsidRPr="00EE2FA1">
        <w:rPr>
          <w:rFonts w:ascii="Times New Roman" w:eastAsia="Calibri" w:hAnsi="Times New Roman" w:cs="Times New Roman"/>
          <w:bCs/>
          <w:sz w:val="28"/>
          <w:szCs w:val="28"/>
          <w:lang w:eastAsia="es-ES"/>
        </w:rPr>
        <w:t xml:space="preserve">ición en ese sentido: </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9D7CEB">
      <w:pPr>
        <w:pStyle w:val="Prrafodelista"/>
        <w:spacing w:line="0" w:lineRule="atLeast"/>
        <w:ind w:left="567"/>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“Aquí acabo de presentar una ponencia que probablemente para algunos, algunos, para algunos probablemente sea tedioso, aburridor, pero yo creo que nos corresponde darle ese mensaje a los colombianos, y es que si vamos a tomar la dec</w:t>
      </w:r>
      <w:r w:rsidRPr="00EE2FA1">
        <w:rPr>
          <w:rFonts w:ascii="Times New Roman" w:eastAsia="Calibri" w:hAnsi="Times New Roman" w:cs="Times New Roman"/>
          <w:bCs/>
          <w:sz w:val="28"/>
          <w:lang w:eastAsia="es-ES"/>
        </w:rPr>
        <w:t>isión sobre esta ponencia, pues no puede pasar una votación fugaz, porque esto es, no, aquí esto es el fast track del fast track para este tipo de proyectos. Entonces acabo de proponer que se vote individualmente cada proyecto, cada artículo perdón, que se</w:t>
      </w:r>
      <w:r w:rsidRPr="00EE2FA1">
        <w:rPr>
          <w:rFonts w:ascii="Times New Roman" w:eastAsia="Calibri" w:hAnsi="Times New Roman" w:cs="Times New Roman"/>
          <w:bCs/>
          <w:sz w:val="28"/>
          <w:lang w:eastAsia="es-ES"/>
        </w:rPr>
        <w:t xml:space="preserve"> vote por separado artículo por artículo, evidentemente pues supondré yo que el Gobierno pedirá que no se haga, creo que es un error y vuelvo y repito un mal mensaje, pero lo acabo de hacer y yo pues iré dejando todas las constancias que sean necesarias, p</w:t>
      </w:r>
      <w:r w:rsidRPr="00EE2FA1">
        <w:rPr>
          <w:rFonts w:ascii="Times New Roman" w:eastAsia="Calibri" w:hAnsi="Times New Roman" w:cs="Times New Roman"/>
          <w:bCs/>
          <w:sz w:val="28"/>
          <w:lang w:eastAsia="es-ES"/>
        </w:rPr>
        <w:t>orque lo he dicho en público y lo voy a decir aquí. Si este gobierno no nos da las garantías para debatir esta Reforma Tributaria como se debe, nos quieren imponer que se apruebe hoy a como dé lugar, pues dejaremos las constancias necesarias porque nos ver</w:t>
      </w:r>
      <w:r w:rsidRPr="00EE2FA1">
        <w:rPr>
          <w:rFonts w:ascii="Times New Roman" w:eastAsia="Calibri" w:hAnsi="Times New Roman" w:cs="Times New Roman"/>
          <w:bCs/>
          <w:sz w:val="28"/>
          <w:lang w:eastAsia="es-ES"/>
        </w:rPr>
        <w:t>emos entonces de manera pacífica en las calles y de manera legal en las Cortes; y aquí quedan las constancias de que se está violando el principio democrático, pero pongo a consideración pues sugiero y propongo esta proposición. Gracias Presidenta”</w:t>
      </w:r>
      <w:r w:rsidRPr="00EE2FA1">
        <w:rPr>
          <w:rStyle w:val="Refdenotaalpie"/>
          <w:rFonts w:ascii="Times New Roman" w:eastAsia="Calibri" w:hAnsi="Times New Roman" w:cs="Times New Roman"/>
          <w:bCs/>
          <w:sz w:val="28"/>
          <w:lang w:eastAsia="es-ES"/>
        </w:rPr>
        <w:footnoteReference w:id="172"/>
      </w:r>
      <w:r w:rsidRPr="00EE2FA1">
        <w:rPr>
          <w:rFonts w:ascii="Times New Roman" w:eastAsia="Calibri" w:hAnsi="Times New Roman" w:cs="Times New Roman"/>
          <w:bCs/>
          <w:sz w:val="28"/>
          <w:lang w:eastAsia="es-ES"/>
        </w:rPr>
        <w:t>.</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La p</w:t>
      </w:r>
      <w:r w:rsidRPr="00EE2FA1">
        <w:rPr>
          <w:rFonts w:ascii="Times New Roman" w:eastAsia="Calibri" w:hAnsi="Times New Roman" w:cs="Times New Roman"/>
          <w:bCs/>
          <w:sz w:val="28"/>
          <w:szCs w:val="28"/>
          <w:lang w:eastAsia="es-ES"/>
        </w:rPr>
        <w:t xml:space="preserve">etición suscitó la intervención de varios congresistas. En primer lugar, el senador Mauricio Gómez Amín negó que se estuviera “pupitreando” el proyecto de ley y sostuvo que el debate ha estado enmarcado </w:t>
      </w:r>
      <w:r w:rsidRPr="00EE2FA1">
        <w:rPr>
          <w:rFonts w:ascii="Times New Roman" w:eastAsia="Calibri" w:hAnsi="Times New Roman" w:cs="Times New Roman"/>
          <w:bCs/>
          <w:sz w:val="28"/>
          <w:szCs w:val="28"/>
          <w:lang w:eastAsia="es-ES"/>
        </w:rPr>
        <w:t xml:space="preserve">por </w:t>
      </w:r>
      <w:r w:rsidRPr="00EE2FA1">
        <w:rPr>
          <w:rFonts w:ascii="Times New Roman" w:eastAsia="Calibri" w:hAnsi="Times New Roman" w:cs="Times New Roman"/>
          <w:bCs/>
          <w:sz w:val="28"/>
          <w:szCs w:val="28"/>
          <w:lang w:eastAsia="es-ES"/>
        </w:rPr>
        <w:t>amplias discusiones y reuniones para su estudio a</w:t>
      </w:r>
      <w:r w:rsidRPr="00EE2FA1">
        <w:rPr>
          <w:rFonts w:ascii="Times New Roman" w:eastAsia="Calibri" w:hAnsi="Times New Roman" w:cs="Times New Roman"/>
          <w:bCs/>
          <w:sz w:val="28"/>
          <w:szCs w:val="28"/>
          <w:lang w:eastAsia="es-ES"/>
        </w:rPr>
        <w:t xml:space="preserve">rtículo por artículo: </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9D7CEB">
      <w:pPr>
        <w:pStyle w:val="Prrafodelista"/>
        <w:spacing w:line="0" w:lineRule="atLeast"/>
        <w:ind w:left="567"/>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 xml:space="preserve">“Es solo para decir que yo no puedo permitir que se diga hoy que aquí no se le ha permitido hablar a la gente, aquí llevamos siete horas con paciencia escuchando a todo el mundo. Pero no aquí, las últimas semanas hemos estado en </w:t>
      </w:r>
      <w:r w:rsidRPr="00EE2FA1">
        <w:rPr>
          <w:rFonts w:ascii="Times New Roman" w:eastAsia="Calibri" w:hAnsi="Times New Roman" w:cs="Times New Roman"/>
          <w:bCs/>
          <w:sz w:val="28"/>
          <w:lang w:eastAsia="es-ES"/>
        </w:rPr>
        <w:t>todas las regiones de Colombia escuchando a los gremios, a la academia, escuchando a los ciudadanos de a pie y hemos tenido un talante Senador Uribe, democrático. No se puede permitir que usted siembre esa narrativa en unas Comisiones Conjuntas que han sid</w:t>
      </w:r>
      <w:r w:rsidRPr="00EE2FA1">
        <w:rPr>
          <w:rFonts w:ascii="Times New Roman" w:eastAsia="Calibri" w:hAnsi="Times New Roman" w:cs="Times New Roman"/>
          <w:bCs/>
          <w:sz w:val="28"/>
          <w:lang w:eastAsia="es-ES"/>
        </w:rPr>
        <w:t>o responsables con el país. Aquí no se está pupitreando absolutamente nada, aquí estamos recogiendo un trabajo juicioso de los coordinadores ponentes y de los ponentes, casi treinta reuniones se hicieron discutiendo artículo por artículo. […]”</w:t>
      </w:r>
      <w:r w:rsidRPr="00EE2FA1">
        <w:rPr>
          <w:rStyle w:val="Refdenotaalpie"/>
          <w:rFonts w:ascii="Times New Roman" w:eastAsia="Calibri" w:hAnsi="Times New Roman" w:cs="Times New Roman"/>
          <w:bCs/>
          <w:sz w:val="28"/>
          <w:lang w:eastAsia="es-ES"/>
        </w:rPr>
        <w:footnoteReference w:id="173"/>
      </w:r>
      <w:r w:rsidRPr="00EE2FA1">
        <w:rPr>
          <w:rFonts w:ascii="Times New Roman" w:eastAsia="Calibri" w:hAnsi="Times New Roman" w:cs="Times New Roman"/>
          <w:bCs/>
          <w:sz w:val="28"/>
          <w:lang w:eastAsia="es-ES"/>
        </w:rPr>
        <w:t>.</w:t>
      </w:r>
    </w:p>
    <w:p w:rsidR="00247CDC" w:rsidRPr="00EE2FA1" w:rsidRDefault="00EE2FA1" w:rsidP="00247CDC">
      <w:pPr>
        <w:tabs>
          <w:tab w:val="left" w:pos="426"/>
        </w:tabs>
        <w:spacing w:line="0" w:lineRule="atLeast"/>
        <w:jc w:val="both"/>
        <w:rPr>
          <w:rFonts w:ascii="Times New Roman" w:eastAsia="Calibri" w:hAnsi="Times New Roman" w:cs="Times New Roman"/>
          <w:bCs/>
          <w:sz w:val="28"/>
          <w:szCs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Luego, el</w:t>
      </w:r>
      <w:r w:rsidRPr="00EE2FA1">
        <w:rPr>
          <w:rFonts w:ascii="Times New Roman" w:eastAsia="Calibri" w:hAnsi="Times New Roman" w:cs="Times New Roman"/>
          <w:bCs/>
          <w:sz w:val="28"/>
          <w:szCs w:val="28"/>
          <w:lang w:eastAsia="es-ES"/>
        </w:rPr>
        <w:t xml:space="preserve"> representante Julián Peinado Ramírez abogó para que el trámite no fuera indebidamente obstruido: </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9D7CEB">
      <w:pPr>
        <w:pStyle w:val="Prrafodelista"/>
        <w:spacing w:line="0" w:lineRule="atLeast"/>
        <w:ind w:left="567"/>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“Presidenta gracias. Es un llamado al orden. No permitamos la obstrucción parlamentaria en el ejercicio del tránsito normal de la forma en la que se aprueba</w:t>
      </w:r>
      <w:r w:rsidRPr="00EE2FA1">
        <w:rPr>
          <w:rFonts w:ascii="Times New Roman" w:eastAsia="Calibri" w:hAnsi="Times New Roman" w:cs="Times New Roman"/>
          <w:bCs/>
          <w:sz w:val="28"/>
          <w:lang w:eastAsia="es-ES"/>
        </w:rPr>
        <w:t>n los artículos; no permita que se genere un proceso de filibusterismo. Aquí se ve es como se torpedea la acción parlamentaria en una discusión sana, y de manera satírica se menciona inclusive la festividad de un funcionario que no ha mencionado una sola p</w:t>
      </w:r>
      <w:r w:rsidRPr="00EE2FA1">
        <w:rPr>
          <w:rFonts w:ascii="Times New Roman" w:eastAsia="Calibri" w:hAnsi="Times New Roman" w:cs="Times New Roman"/>
          <w:bCs/>
          <w:sz w:val="28"/>
          <w:lang w:eastAsia="es-ES"/>
        </w:rPr>
        <w:t>alabra, no sé qué tiene que ver eso con la discusión. Le pido que avancemos y que no permita que se torpedee el proceso, porque parece más bien maniobras de dilatación lo que estamos viendo al ejercicio democrático de la discusión, muchas gracias”</w:t>
      </w:r>
      <w:r w:rsidRPr="00EE2FA1">
        <w:rPr>
          <w:rStyle w:val="Refdenotaalpie"/>
          <w:rFonts w:ascii="Times New Roman" w:eastAsia="Calibri" w:hAnsi="Times New Roman" w:cs="Times New Roman"/>
          <w:bCs/>
          <w:sz w:val="28"/>
          <w:lang w:eastAsia="es-ES"/>
        </w:rPr>
        <w:footnoteReference w:id="174"/>
      </w:r>
      <w:r w:rsidRPr="00EE2FA1">
        <w:rPr>
          <w:rFonts w:ascii="Times New Roman" w:eastAsia="Calibri" w:hAnsi="Times New Roman" w:cs="Times New Roman"/>
          <w:bCs/>
          <w:sz w:val="28"/>
          <w:lang w:eastAsia="es-ES"/>
        </w:rPr>
        <w:t>.</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El re</w:t>
      </w:r>
      <w:r w:rsidRPr="00EE2FA1">
        <w:rPr>
          <w:rFonts w:ascii="Times New Roman" w:eastAsia="Calibri" w:hAnsi="Times New Roman" w:cs="Times New Roman"/>
          <w:bCs/>
          <w:sz w:val="28"/>
          <w:szCs w:val="28"/>
          <w:lang w:eastAsia="es-ES"/>
        </w:rPr>
        <w:t xml:space="preserve">presentante Jorge Hernán Bastidas Rosero solicitó que se votara esa proposición y </w:t>
      </w:r>
      <w:r w:rsidRPr="00EE2FA1">
        <w:rPr>
          <w:rFonts w:ascii="Times New Roman" w:eastAsia="Calibri" w:hAnsi="Times New Roman" w:cs="Times New Roman"/>
          <w:bCs/>
          <w:sz w:val="28"/>
          <w:szCs w:val="28"/>
          <w:lang w:eastAsia="es-ES"/>
        </w:rPr>
        <w:t xml:space="preserve">se </w:t>
      </w:r>
      <w:r w:rsidRPr="00EE2FA1">
        <w:rPr>
          <w:rFonts w:ascii="Times New Roman" w:eastAsia="Calibri" w:hAnsi="Times New Roman" w:cs="Times New Roman"/>
          <w:bCs/>
          <w:sz w:val="28"/>
          <w:szCs w:val="28"/>
          <w:lang w:eastAsia="es-ES"/>
        </w:rPr>
        <w:t xml:space="preserve">empezara inmediatamente el debate del articulado: </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9D7CEB">
      <w:pPr>
        <w:pStyle w:val="Prrafodelista"/>
        <w:spacing w:line="0" w:lineRule="atLeast"/>
        <w:ind w:left="567"/>
        <w:jc w:val="both"/>
        <w:rPr>
          <w:rFonts w:ascii="Times New Roman" w:eastAsia="Calibri" w:hAnsi="Times New Roman" w:cs="Times New Roman"/>
          <w:bCs/>
          <w:sz w:val="28"/>
          <w:lang w:eastAsia="es-ES"/>
        </w:rPr>
      </w:pPr>
      <w:r w:rsidRPr="00EE2FA1">
        <w:rPr>
          <w:rFonts w:ascii="Times New Roman" w:eastAsia="Calibri" w:hAnsi="Times New Roman" w:cs="Times New Roman"/>
          <w:bCs/>
          <w:sz w:val="28"/>
          <w:lang w:eastAsia="es-ES"/>
        </w:rPr>
        <w:t>“Señora Presidenta, comparto las dos intervenciones anteriores, solo que quisiera agregar a ello, o sea, debate y parti</w:t>
      </w:r>
      <w:r w:rsidRPr="00EE2FA1">
        <w:rPr>
          <w:rFonts w:ascii="Times New Roman" w:eastAsia="Calibri" w:hAnsi="Times New Roman" w:cs="Times New Roman"/>
          <w:bCs/>
          <w:sz w:val="28"/>
          <w:lang w:eastAsia="es-ES"/>
        </w:rPr>
        <w:t>cipación y garantías de participación han existido durante muchos escenarios y a lo largo de todo este proceso de debate del proyecto de Reforma Tributaria, pero yo creo que permitir que se abuse de las garantías para el debate por parte de quienes no está</w:t>
      </w:r>
      <w:r w:rsidRPr="00EE2FA1">
        <w:rPr>
          <w:rFonts w:ascii="Times New Roman" w:eastAsia="Calibri" w:hAnsi="Times New Roman" w:cs="Times New Roman"/>
          <w:bCs/>
          <w:sz w:val="28"/>
          <w:lang w:eastAsia="es-ES"/>
        </w:rPr>
        <w:t>n de acuerdo en ninguna forma en que avanza este proyecto de Reforma, pues también se convierte en un proceso de sabotaje a la labor legislativa, como lo acaba de mencionar el congresista que me antecedió en el uso de la palabra. Y en ese sentido yo sí tam</w:t>
      </w:r>
      <w:r w:rsidRPr="00EE2FA1">
        <w:rPr>
          <w:rFonts w:ascii="Times New Roman" w:eastAsia="Calibri" w:hAnsi="Times New Roman" w:cs="Times New Roman"/>
          <w:bCs/>
          <w:sz w:val="28"/>
          <w:lang w:eastAsia="es-ES"/>
        </w:rPr>
        <w:t>bién creo que hay que reclamar garantías para los Congresistas que tenemos un claro interés en defender este proyecto de Reforma y que no se dé el espacio a tanto abuso frente a torpedear el debate legislativo. Por eso yo solicito señora Presidenta, que sí</w:t>
      </w:r>
      <w:r w:rsidRPr="00EE2FA1">
        <w:rPr>
          <w:rFonts w:ascii="Times New Roman" w:eastAsia="Calibri" w:hAnsi="Times New Roman" w:cs="Times New Roman"/>
          <w:bCs/>
          <w:sz w:val="28"/>
          <w:lang w:eastAsia="es-ES"/>
        </w:rPr>
        <w:t xml:space="preserve"> someta a consideración esta proposición y que empecemos de inmediato al debate del articulado del proyecto de Reforma, pero recogiendo el hecho de que ya hay unos consensos, hay unas proposiciones que se han venido discutiendo y que sin duda hay articulad</w:t>
      </w:r>
      <w:r w:rsidRPr="00EE2FA1">
        <w:rPr>
          <w:rFonts w:ascii="Times New Roman" w:eastAsia="Calibri" w:hAnsi="Times New Roman" w:cs="Times New Roman"/>
          <w:bCs/>
          <w:sz w:val="28"/>
          <w:lang w:eastAsia="es-ES"/>
        </w:rPr>
        <w:t>o sobre los cuales hay un pleno consenso de las diferentes vocerías y de los diferentes ponentes que representan la opinión de las bancadas que hay aquí en el Congreso. Así que señora Presidenta, por favor garantías también para defender la Reforma”</w:t>
      </w:r>
      <w:r w:rsidRPr="00EE2FA1">
        <w:rPr>
          <w:rStyle w:val="Refdenotaalpie"/>
          <w:rFonts w:ascii="Times New Roman" w:eastAsia="Calibri" w:hAnsi="Times New Roman" w:cs="Times New Roman"/>
          <w:bCs/>
          <w:sz w:val="28"/>
          <w:lang w:eastAsia="es-ES"/>
        </w:rPr>
        <w:footnoteReference w:id="175"/>
      </w:r>
      <w:r w:rsidRPr="00EE2FA1">
        <w:rPr>
          <w:rFonts w:ascii="Times New Roman" w:eastAsia="Calibri" w:hAnsi="Times New Roman" w:cs="Times New Roman"/>
          <w:bCs/>
          <w:sz w:val="28"/>
          <w:lang w:eastAsia="es-ES"/>
        </w:rPr>
        <w:t>.</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eastAsia="Calibri" w:hAnsi="Times New Roman" w:cs="Times New Roman"/>
          <w:bCs/>
          <w:sz w:val="28"/>
          <w:szCs w:val="28"/>
          <w:lang w:eastAsia="es-ES"/>
        </w:rPr>
        <w:t>Por</w:t>
      </w:r>
      <w:r w:rsidRPr="00EE2FA1">
        <w:rPr>
          <w:rFonts w:ascii="Times New Roman" w:eastAsia="Calibri" w:hAnsi="Times New Roman" w:cs="Times New Roman"/>
          <w:bCs/>
          <w:sz w:val="28"/>
          <w:szCs w:val="28"/>
          <w:lang w:eastAsia="es-ES"/>
        </w:rPr>
        <w:t xml:space="preserve"> otra parte, el senador Juan Diego Echavarría Sánchez pidió que no se votara la proposición de votación por separado dado que, a su juicio, es atribución de la mesa directiva decidir cómo se va a votar: </w:t>
      </w:r>
    </w:p>
    <w:p w:rsidR="00247CDC" w:rsidRPr="00EE2FA1" w:rsidRDefault="00EE2FA1" w:rsidP="00247CDC">
      <w:pPr>
        <w:pStyle w:val="Prrafodelista"/>
        <w:tabs>
          <w:tab w:val="left" w:pos="426"/>
        </w:tabs>
        <w:spacing w:line="0" w:lineRule="atLeast"/>
        <w:ind w:left="0"/>
        <w:jc w:val="both"/>
        <w:rPr>
          <w:rFonts w:ascii="Times New Roman" w:hAnsi="Times New Roman" w:cs="Times New Roman"/>
          <w:sz w:val="28"/>
          <w:szCs w:val="28"/>
        </w:rPr>
      </w:pPr>
    </w:p>
    <w:p w:rsidR="00247CDC" w:rsidRPr="00EE2FA1" w:rsidRDefault="00EE2FA1" w:rsidP="009D7CEB">
      <w:pPr>
        <w:pStyle w:val="Prrafodelista"/>
        <w:spacing w:line="0" w:lineRule="atLeast"/>
        <w:ind w:left="567"/>
        <w:jc w:val="both"/>
        <w:rPr>
          <w:rFonts w:ascii="Times New Roman" w:hAnsi="Times New Roman" w:cs="Times New Roman"/>
          <w:sz w:val="28"/>
        </w:rPr>
      </w:pPr>
      <w:r w:rsidRPr="00EE2FA1">
        <w:rPr>
          <w:rFonts w:ascii="Times New Roman" w:eastAsia="Calibri" w:hAnsi="Times New Roman" w:cs="Times New Roman"/>
          <w:bCs/>
          <w:sz w:val="28"/>
          <w:lang w:eastAsia="es-ES"/>
        </w:rPr>
        <w:t>“Yo por el contrario le pediría que no someta a con</w:t>
      </w:r>
      <w:r w:rsidRPr="00EE2FA1">
        <w:rPr>
          <w:rFonts w:ascii="Times New Roman" w:eastAsia="Calibri" w:hAnsi="Times New Roman" w:cs="Times New Roman"/>
          <w:bCs/>
          <w:sz w:val="28"/>
          <w:lang w:eastAsia="es-ES"/>
        </w:rPr>
        <w:t>sideración esa proposición, ni las siguientes que van a presentar. ¿Por qué? Artículo 41 de la Ley 5ª cuando habla de Mesas Directivas. “ATRIBUCIONES”. Como órgano de orientación y dirección de la Cámara respectiva, cada Mesa Directiva cumplirá las siguien</w:t>
      </w:r>
      <w:r w:rsidRPr="00EE2FA1">
        <w:rPr>
          <w:rFonts w:ascii="Times New Roman" w:eastAsia="Calibri" w:hAnsi="Times New Roman" w:cs="Times New Roman"/>
          <w:bCs/>
          <w:sz w:val="28"/>
          <w:lang w:eastAsia="es-ES"/>
        </w:rPr>
        <w:t>tes funciones: 1. Adoptar las decisiones y medidas necesarias y procedentes para una mejor organización interna en orden a una eficiente labor legislativa y administrativa. Eso es función de la Mesa Directiva, usted es quien dirige, quien orienta y quien d</w:t>
      </w:r>
      <w:r w:rsidRPr="00EE2FA1">
        <w:rPr>
          <w:rFonts w:ascii="Times New Roman" w:eastAsia="Calibri" w:hAnsi="Times New Roman" w:cs="Times New Roman"/>
          <w:bCs/>
          <w:sz w:val="28"/>
          <w:lang w:eastAsia="es-ES"/>
        </w:rPr>
        <w:t>ecide cómo vamos a votar. Entonces, no podemos seguir toda la tarde presentando proposiciones, cuando es una competencia suya y usted tiene la facultad de organizar”</w:t>
      </w:r>
      <w:r w:rsidRPr="00EE2FA1">
        <w:rPr>
          <w:rStyle w:val="Refdenotaalpie"/>
          <w:rFonts w:ascii="Times New Roman" w:eastAsia="Calibri" w:hAnsi="Times New Roman" w:cs="Times New Roman"/>
          <w:bCs/>
          <w:sz w:val="28"/>
          <w:lang w:eastAsia="es-ES"/>
        </w:rPr>
        <w:t xml:space="preserve"> </w:t>
      </w:r>
      <w:r w:rsidRPr="00EE2FA1">
        <w:rPr>
          <w:rStyle w:val="Refdenotaalpie"/>
          <w:rFonts w:ascii="Times New Roman" w:eastAsia="Calibri" w:hAnsi="Times New Roman" w:cs="Times New Roman"/>
          <w:bCs/>
          <w:sz w:val="28"/>
          <w:lang w:eastAsia="es-ES"/>
        </w:rPr>
        <w:footnoteReference w:id="176"/>
      </w:r>
      <w:r w:rsidRPr="00EE2FA1">
        <w:rPr>
          <w:rFonts w:ascii="Times New Roman" w:eastAsia="Calibri" w:hAnsi="Times New Roman" w:cs="Times New Roman"/>
          <w:bCs/>
          <w:sz w:val="28"/>
          <w:lang w:eastAsia="es-ES"/>
        </w:rPr>
        <w:t>.</w:t>
      </w:r>
    </w:p>
    <w:p w:rsidR="00247CDC" w:rsidRPr="00EE2FA1" w:rsidRDefault="00EE2FA1" w:rsidP="00247CDC">
      <w:pPr>
        <w:pStyle w:val="Prrafodelista"/>
        <w:tabs>
          <w:tab w:val="left" w:pos="426"/>
        </w:tabs>
        <w:spacing w:line="0" w:lineRule="atLeast"/>
        <w:ind w:left="0"/>
        <w:jc w:val="both"/>
        <w:rPr>
          <w:rFonts w:ascii="Times New Roman" w:hAnsi="Times New Roman" w:cs="Times New Roman"/>
          <w:sz w:val="28"/>
          <w:szCs w:val="28"/>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eastAsia="Calibri" w:hAnsi="Times New Roman" w:cs="Times New Roman"/>
          <w:bCs/>
          <w:sz w:val="28"/>
          <w:szCs w:val="28"/>
          <w:lang w:eastAsia="es-ES"/>
        </w:rPr>
        <w:t xml:space="preserve"> Por solicitud de la presidenta de las comisiones conjuntas, la secretaria general de la Comisión Tercera de la Cámara de Representantes manifestó “señora presidenta, voy a darle lectura a la proposición presentada por el Senador Miguel Uribe”, acto seguid</w:t>
      </w:r>
      <w:r w:rsidRPr="00EE2FA1">
        <w:rPr>
          <w:rFonts w:ascii="Times New Roman" w:eastAsia="Calibri" w:hAnsi="Times New Roman" w:cs="Times New Roman"/>
          <w:bCs/>
          <w:sz w:val="28"/>
          <w:szCs w:val="28"/>
          <w:lang w:eastAsia="es-ES"/>
        </w:rPr>
        <w:t>o expuso:</w:t>
      </w:r>
    </w:p>
    <w:p w:rsidR="00247CDC" w:rsidRPr="00EE2FA1" w:rsidRDefault="00EE2FA1" w:rsidP="00247CDC">
      <w:pPr>
        <w:pStyle w:val="Prrafodelista"/>
        <w:tabs>
          <w:tab w:val="left" w:pos="426"/>
        </w:tabs>
        <w:spacing w:line="0" w:lineRule="atLeast"/>
        <w:ind w:left="0"/>
        <w:jc w:val="both"/>
        <w:rPr>
          <w:rFonts w:ascii="Times New Roman" w:hAnsi="Times New Roman" w:cs="Times New Roman"/>
          <w:sz w:val="28"/>
          <w:szCs w:val="28"/>
        </w:rPr>
      </w:pPr>
    </w:p>
    <w:p w:rsidR="00247CDC" w:rsidRPr="00EE2FA1" w:rsidRDefault="00EE2FA1" w:rsidP="009D7CEB">
      <w:pPr>
        <w:pStyle w:val="Prrafodelista"/>
        <w:spacing w:line="0" w:lineRule="atLeast"/>
        <w:ind w:left="567"/>
        <w:jc w:val="both"/>
        <w:rPr>
          <w:rFonts w:ascii="Times New Roman" w:hAnsi="Times New Roman" w:cs="Times New Roman"/>
          <w:sz w:val="28"/>
        </w:rPr>
      </w:pPr>
      <w:r w:rsidRPr="00EE2FA1">
        <w:rPr>
          <w:rFonts w:ascii="Times New Roman" w:eastAsia="Calibri" w:hAnsi="Times New Roman" w:cs="Times New Roman"/>
          <w:bCs/>
          <w:sz w:val="28"/>
          <w:lang w:eastAsia="es-ES"/>
        </w:rPr>
        <w:t>“Solicitud de votación artículo por artículo. Proposición. Con base en lo dispuesto en el inciso 1° del artículo 158 del a [sic] Ley 5° de 1992, solicito votación nominal artículo por artículo incluyendo en la discusión de cada artículo las prop</w:t>
      </w:r>
      <w:r w:rsidRPr="00EE2FA1">
        <w:rPr>
          <w:rFonts w:ascii="Times New Roman" w:eastAsia="Calibri" w:hAnsi="Times New Roman" w:cs="Times New Roman"/>
          <w:bCs/>
          <w:sz w:val="28"/>
          <w:lang w:eastAsia="es-ES"/>
        </w:rPr>
        <w:t>osiciones que se hayan radicado. Firma el Senador”</w:t>
      </w:r>
      <w:r w:rsidRPr="00EE2FA1">
        <w:rPr>
          <w:rStyle w:val="Refdenotaalpie"/>
          <w:rFonts w:ascii="Times New Roman" w:eastAsia="Calibri" w:hAnsi="Times New Roman" w:cs="Times New Roman"/>
          <w:bCs/>
          <w:sz w:val="28"/>
          <w:lang w:eastAsia="es-ES"/>
        </w:rPr>
        <w:footnoteReference w:id="177"/>
      </w:r>
      <w:r w:rsidRPr="00EE2FA1">
        <w:rPr>
          <w:rFonts w:ascii="Times New Roman" w:eastAsia="Calibri" w:hAnsi="Times New Roman" w:cs="Times New Roman"/>
          <w:bCs/>
          <w:sz w:val="28"/>
          <w:lang w:eastAsia="es-ES"/>
        </w:rPr>
        <w:t>.</w:t>
      </w:r>
    </w:p>
    <w:p w:rsidR="00247CDC" w:rsidRPr="00EE2FA1" w:rsidRDefault="00EE2FA1" w:rsidP="00247CDC">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247CDC" w:rsidRPr="00EE2FA1" w:rsidRDefault="00EE2FA1" w:rsidP="00247CDC">
      <w:pPr>
        <w:pStyle w:val="Prrafodelista"/>
        <w:numPr>
          <w:ilvl w:val="0"/>
          <w:numId w:val="1"/>
        </w:numPr>
        <w:tabs>
          <w:tab w:val="left" w:pos="426"/>
        </w:tabs>
        <w:spacing w:line="0" w:lineRule="atLeast"/>
        <w:ind w:left="0" w:firstLine="0"/>
        <w:jc w:val="both"/>
        <w:rPr>
          <w:rFonts w:ascii="Times New Roman" w:hAnsi="Times New Roman" w:cs="Times New Roman"/>
          <w:sz w:val="28"/>
          <w:szCs w:val="28"/>
        </w:rPr>
      </w:pPr>
      <w:r w:rsidRPr="00EE2FA1">
        <w:rPr>
          <w:rFonts w:ascii="Times New Roman" w:eastAsia="Calibri" w:hAnsi="Times New Roman" w:cs="Times New Roman"/>
          <w:bCs/>
          <w:sz w:val="28"/>
          <w:szCs w:val="28"/>
          <w:lang w:eastAsia="es-ES"/>
        </w:rPr>
        <w:t>Una vez socializada la proposición presentada, la presidenta ordenó a la secretaria llamar a lista. Luego de esto, la secretaria general de la referida comisión informó que la presidenta puso a consider</w:t>
      </w:r>
      <w:r w:rsidRPr="00EE2FA1">
        <w:rPr>
          <w:rFonts w:ascii="Times New Roman" w:eastAsia="Calibri" w:hAnsi="Times New Roman" w:cs="Times New Roman"/>
          <w:bCs/>
          <w:sz w:val="28"/>
          <w:szCs w:val="28"/>
          <w:lang w:eastAsia="es-ES"/>
        </w:rPr>
        <w:t>ación la proposición presentada por el senador Uribe Turbay. Surtida la votación de la proposición, informó el resultado de la siguiente manera: “señora presidente, la Comisión Tercera votó de la siguiente manera: por SÍ: dos (02); por el NO: veintidós (22</w:t>
      </w:r>
      <w:r w:rsidRPr="00EE2FA1">
        <w:rPr>
          <w:rFonts w:ascii="Times New Roman" w:eastAsia="Calibri" w:hAnsi="Times New Roman" w:cs="Times New Roman"/>
          <w:bCs/>
          <w:sz w:val="28"/>
          <w:szCs w:val="28"/>
          <w:lang w:eastAsia="es-ES"/>
        </w:rPr>
        <w:t>); ha sido negada la proposición presentada por el senador Miguel Uribe, en el sentido de votar artículo por artículo”</w:t>
      </w:r>
      <w:r w:rsidRPr="00EE2FA1">
        <w:rPr>
          <w:rStyle w:val="Refdenotaalpie"/>
          <w:rFonts w:ascii="Times New Roman" w:eastAsia="Calibri" w:hAnsi="Times New Roman" w:cs="Times New Roman"/>
          <w:bCs/>
          <w:sz w:val="28"/>
          <w:szCs w:val="28"/>
          <w:lang w:eastAsia="es-ES"/>
        </w:rPr>
        <w:footnoteReference w:id="178"/>
      </w:r>
      <w:r w:rsidRPr="00EE2FA1">
        <w:rPr>
          <w:rFonts w:ascii="Times New Roman" w:eastAsia="Calibri" w:hAnsi="Times New Roman" w:cs="Times New Roman"/>
          <w:bCs/>
          <w:sz w:val="28"/>
          <w:szCs w:val="28"/>
          <w:lang w:eastAsia="es-ES"/>
        </w:rPr>
        <w:t>. Acto seguido, la presidente manifestó que: “Negada en la Comisión Tercera de la Cámara no se hace necesario abrir la votación en Senado</w:t>
      </w:r>
      <w:r w:rsidRPr="00EE2FA1">
        <w:rPr>
          <w:rFonts w:ascii="Times New Roman" w:eastAsia="Calibri" w:hAnsi="Times New Roman" w:cs="Times New Roman"/>
          <w:bCs/>
          <w:sz w:val="28"/>
          <w:szCs w:val="28"/>
          <w:lang w:eastAsia="es-ES"/>
        </w:rPr>
        <w:t>”</w:t>
      </w:r>
      <w:r w:rsidRPr="00EE2FA1">
        <w:rPr>
          <w:rStyle w:val="Refdenotaalpie"/>
          <w:rFonts w:ascii="Times New Roman" w:eastAsia="Calibri" w:hAnsi="Times New Roman" w:cs="Times New Roman"/>
          <w:bCs/>
          <w:sz w:val="28"/>
          <w:szCs w:val="28"/>
          <w:lang w:eastAsia="es-ES"/>
        </w:rPr>
        <w:footnoteReference w:id="179"/>
      </w:r>
      <w:r w:rsidRPr="00EE2FA1">
        <w:rPr>
          <w:rFonts w:ascii="Times New Roman" w:eastAsia="Calibri" w:hAnsi="Times New Roman" w:cs="Times New Roman"/>
          <w:bCs/>
          <w:sz w:val="28"/>
          <w:szCs w:val="28"/>
          <w:lang w:eastAsia="es-ES"/>
        </w:rPr>
        <w:t>.</w:t>
      </w:r>
    </w:p>
    <w:p w:rsidR="009D7CEB" w:rsidRPr="00EE2FA1" w:rsidRDefault="00EE2FA1" w:rsidP="009D7CEB">
      <w:pPr>
        <w:pStyle w:val="Prrafodelista"/>
        <w:tabs>
          <w:tab w:val="left" w:pos="426"/>
        </w:tabs>
        <w:spacing w:line="0" w:lineRule="atLeast"/>
        <w:ind w:left="0"/>
        <w:jc w:val="both"/>
        <w:rPr>
          <w:rFonts w:ascii="Times New Roman" w:hAnsi="Times New Roman" w:cs="Times New Roman"/>
          <w:sz w:val="28"/>
          <w:szCs w:val="28"/>
        </w:rPr>
      </w:pPr>
    </w:p>
    <w:p w:rsidR="009D7CEB" w:rsidRPr="00EE2FA1" w:rsidRDefault="00EE2FA1" w:rsidP="00592B88">
      <w:pPr>
        <w:pStyle w:val="Prrafodelista"/>
        <w:numPr>
          <w:ilvl w:val="0"/>
          <w:numId w:val="1"/>
        </w:numPr>
        <w:ind w:left="0" w:right="45" w:firstLine="0"/>
        <w:jc w:val="both"/>
        <w:rPr>
          <w:rFonts w:ascii="Times New Roman" w:hAnsi="Times New Roman" w:cs="Times New Roman"/>
          <w:i/>
          <w:iCs/>
          <w:sz w:val="28"/>
          <w:szCs w:val="28"/>
        </w:rPr>
      </w:pPr>
      <w:r w:rsidRPr="00EE2FA1">
        <w:rPr>
          <w:rFonts w:ascii="Times New Roman" w:hAnsi="Times New Roman" w:cs="Times New Roman"/>
          <w:i/>
          <w:iCs/>
          <w:sz w:val="28"/>
          <w:szCs w:val="28"/>
        </w:rPr>
        <w:t>No</w:t>
      </w:r>
      <w:r w:rsidRPr="00EE2FA1">
        <w:rPr>
          <w:rFonts w:ascii="Times New Roman" w:hAnsi="Times New Roman" w:cs="Times New Roman"/>
          <w:i/>
          <w:iCs/>
          <w:sz w:val="28"/>
          <w:szCs w:val="28"/>
        </w:rPr>
        <w:t xml:space="preserve"> </w:t>
      </w:r>
      <w:r w:rsidRPr="00EE2FA1">
        <w:rPr>
          <w:rFonts w:ascii="Times New Roman" w:hAnsi="Times New Roman" w:cs="Times New Roman"/>
          <w:i/>
          <w:iCs/>
          <w:sz w:val="28"/>
          <w:szCs w:val="28"/>
        </w:rPr>
        <w:t>se desconoció</w:t>
      </w:r>
      <w:r w:rsidRPr="00EE2FA1">
        <w:rPr>
          <w:rFonts w:ascii="Times New Roman" w:hAnsi="Times New Roman" w:cs="Times New Roman"/>
          <w:i/>
          <w:iCs/>
          <w:sz w:val="28"/>
          <w:szCs w:val="28"/>
        </w:rPr>
        <w:t xml:space="preserve"> la Constitución</w:t>
      </w:r>
      <w:r w:rsidRPr="00EE2FA1">
        <w:rPr>
          <w:rFonts w:ascii="Times New Roman" w:hAnsi="Times New Roman" w:cs="Times New Roman"/>
          <w:i/>
          <w:iCs/>
          <w:sz w:val="28"/>
          <w:szCs w:val="28"/>
        </w:rPr>
        <w:t xml:space="preserve"> con el trámite surtido sobre la proposición que pretendía votación artículo por artículo del </w:t>
      </w:r>
      <w:r w:rsidRPr="00EE2FA1">
        <w:rPr>
          <w:rFonts w:ascii="Times New Roman" w:hAnsi="Times New Roman" w:cs="Times New Roman"/>
          <w:i/>
          <w:iCs/>
          <w:sz w:val="28"/>
          <w:szCs w:val="28"/>
        </w:rPr>
        <w:t xml:space="preserve">bloque referido del </w:t>
      </w:r>
      <w:r w:rsidRPr="00EE2FA1">
        <w:rPr>
          <w:rFonts w:ascii="Times New Roman" w:hAnsi="Times New Roman" w:cs="Times New Roman"/>
          <w:i/>
          <w:iCs/>
          <w:sz w:val="28"/>
          <w:szCs w:val="28"/>
        </w:rPr>
        <w:t>proyecto</w:t>
      </w:r>
      <w:r w:rsidRPr="00EE2FA1">
        <w:rPr>
          <w:rFonts w:ascii="Times New Roman" w:hAnsi="Times New Roman" w:cs="Times New Roman"/>
          <w:i/>
          <w:iCs/>
          <w:sz w:val="28"/>
          <w:szCs w:val="28"/>
        </w:rPr>
        <w:t xml:space="preserve">. </w:t>
      </w:r>
      <w:r w:rsidRPr="00EE2FA1">
        <w:rPr>
          <w:rFonts w:ascii="Times New Roman" w:hAnsi="Times New Roman" w:cs="Times New Roman"/>
          <w:sz w:val="28"/>
          <w:szCs w:val="28"/>
        </w:rPr>
        <w:t>A partir del</w:t>
      </w:r>
      <w:r w:rsidRPr="00EE2FA1">
        <w:rPr>
          <w:rFonts w:ascii="Times New Roman" w:hAnsi="Times New Roman" w:cs="Times New Roman"/>
          <w:sz w:val="28"/>
          <w:szCs w:val="28"/>
        </w:rPr>
        <w:t xml:space="preserve"> análisis </w:t>
      </w:r>
      <w:r w:rsidRPr="00EE2FA1">
        <w:rPr>
          <w:rFonts w:ascii="Times New Roman" w:hAnsi="Times New Roman" w:cs="Times New Roman"/>
          <w:sz w:val="28"/>
          <w:szCs w:val="28"/>
        </w:rPr>
        <w:t xml:space="preserve">sobre el  </w:t>
      </w:r>
      <w:r w:rsidRPr="00EE2FA1">
        <w:rPr>
          <w:rFonts w:ascii="Times New Roman" w:hAnsi="Times New Roman" w:cs="Times New Roman"/>
          <w:sz w:val="28"/>
          <w:szCs w:val="28"/>
        </w:rPr>
        <w:t xml:space="preserve">trámite </w:t>
      </w:r>
      <w:r w:rsidRPr="00EE2FA1">
        <w:rPr>
          <w:rFonts w:ascii="Times New Roman" w:hAnsi="Times New Roman" w:cs="Times New Roman"/>
          <w:sz w:val="28"/>
          <w:szCs w:val="28"/>
        </w:rPr>
        <w:t xml:space="preserve">surtido </w:t>
      </w:r>
      <w:r w:rsidRPr="00EE2FA1">
        <w:rPr>
          <w:rFonts w:ascii="Times New Roman" w:hAnsi="Times New Roman" w:cs="Times New Roman"/>
          <w:sz w:val="28"/>
          <w:szCs w:val="28"/>
        </w:rPr>
        <w:t xml:space="preserve">para adoptar la decisión de votar </w:t>
      </w:r>
      <w:r w:rsidRPr="00EE2FA1">
        <w:rPr>
          <w:rFonts w:ascii="Times New Roman" w:hAnsi="Times New Roman" w:cs="Times New Roman"/>
          <w:sz w:val="28"/>
          <w:szCs w:val="28"/>
        </w:rPr>
        <w:t xml:space="preserve">un </w:t>
      </w:r>
      <w:r w:rsidRPr="00EE2FA1">
        <w:rPr>
          <w:rFonts w:ascii="Times New Roman" w:hAnsi="Times New Roman" w:cs="Times New Roman"/>
          <w:sz w:val="28"/>
          <w:szCs w:val="28"/>
        </w:rPr>
        <w:t xml:space="preserve">bloque </w:t>
      </w:r>
      <w:r w:rsidRPr="00EE2FA1">
        <w:rPr>
          <w:rFonts w:ascii="Times New Roman" w:hAnsi="Times New Roman" w:cs="Times New Roman"/>
          <w:sz w:val="28"/>
          <w:szCs w:val="28"/>
        </w:rPr>
        <w:t xml:space="preserve">del </w:t>
      </w:r>
      <w:r w:rsidRPr="00EE2FA1">
        <w:rPr>
          <w:rFonts w:ascii="Times New Roman" w:hAnsi="Times New Roman" w:cs="Times New Roman"/>
          <w:sz w:val="28"/>
          <w:szCs w:val="28"/>
        </w:rPr>
        <w:t>articulado, la Sala Plena estima que se cumplieron con las exigencias jurisprudenciales para que esa decisión no se tornara arbitraria. En primer lugar, la mesa directiva otorgó oportunidad para exponer los argumentos a favor o en contra de la propuest</w:t>
      </w:r>
      <w:r w:rsidRPr="00EE2FA1">
        <w:rPr>
          <w:rFonts w:ascii="Times New Roman" w:hAnsi="Times New Roman" w:cs="Times New Roman"/>
          <w:sz w:val="28"/>
          <w:szCs w:val="28"/>
        </w:rPr>
        <w:t>a de votación por partes. Por una parte, se otorgó la palabra para que el senador Miguel Uribe Turbay expusiera y detallara su propuesta. Por la otra, algunos congresistas se opusieron</w:t>
      </w:r>
      <w:r w:rsidRPr="00EE2FA1">
        <w:rPr>
          <w:rFonts w:ascii="Times New Roman" w:hAnsi="Times New Roman" w:cs="Times New Roman"/>
          <w:sz w:val="28"/>
          <w:szCs w:val="28"/>
        </w:rPr>
        <w:t xml:space="preserve"> a la proposición,</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con base en</w:t>
      </w:r>
      <w:r w:rsidRPr="00EE2FA1">
        <w:rPr>
          <w:rFonts w:ascii="Times New Roman" w:hAnsi="Times New Roman" w:cs="Times New Roman"/>
          <w:sz w:val="28"/>
          <w:szCs w:val="28"/>
        </w:rPr>
        <w:t xml:space="preserve"> la existencia de una discusión y estudio </w:t>
      </w:r>
      <w:r w:rsidRPr="00EE2FA1">
        <w:rPr>
          <w:rFonts w:ascii="Times New Roman" w:hAnsi="Times New Roman" w:cs="Times New Roman"/>
          <w:sz w:val="28"/>
          <w:szCs w:val="28"/>
        </w:rPr>
        <w:t xml:space="preserve">previo respecto de cada artículo, </w:t>
      </w:r>
      <w:r w:rsidRPr="00EE2FA1">
        <w:rPr>
          <w:rFonts w:ascii="Times New Roman" w:hAnsi="Times New Roman" w:cs="Times New Roman"/>
          <w:sz w:val="28"/>
          <w:szCs w:val="28"/>
        </w:rPr>
        <w:t xml:space="preserve">en </w:t>
      </w:r>
      <w:r w:rsidRPr="00EE2FA1">
        <w:rPr>
          <w:rFonts w:ascii="Times New Roman" w:hAnsi="Times New Roman" w:cs="Times New Roman"/>
          <w:sz w:val="28"/>
          <w:szCs w:val="28"/>
        </w:rPr>
        <w:t xml:space="preserve">la necesidad de que ese análisis no generara la obstaculización del debate </w:t>
      </w:r>
      <w:r w:rsidRPr="00EE2FA1">
        <w:rPr>
          <w:rFonts w:ascii="Times New Roman" w:hAnsi="Times New Roman" w:cs="Times New Roman"/>
          <w:sz w:val="28"/>
          <w:szCs w:val="28"/>
        </w:rPr>
        <w:t xml:space="preserve">ni la </w:t>
      </w:r>
      <w:r w:rsidRPr="00EE2FA1">
        <w:rPr>
          <w:rFonts w:ascii="Times New Roman" w:hAnsi="Times New Roman" w:cs="Times New Roman"/>
          <w:sz w:val="28"/>
          <w:szCs w:val="28"/>
        </w:rPr>
        <w:t xml:space="preserve">votación del proyecto, y </w:t>
      </w:r>
      <w:r w:rsidRPr="00EE2FA1">
        <w:rPr>
          <w:rFonts w:ascii="Times New Roman" w:hAnsi="Times New Roman" w:cs="Times New Roman"/>
          <w:sz w:val="28"/>
          <w:szCs w:val="28"/>
        </w:rPr>
        <w:t>apelaron a</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la facultad que tiene la mesa directiva para impulsar una labor legislativa eficiente. Este intercambi</w:t>
      </w:r>
      <w:r w:rsidRPr="00EE2FA1">
        <w:rPr>
          <w:rFonts w:ascii="Times New Roman" w:hAnsi="Times New Roman" w:cs="Times New Roman"/>
          <w:sz w:val="28"/>
          <w:szCs w:val="28"/>
        </w:rPr>
        <w:t>o de posturas sobre la votación en bloque precedió a la votación de la proposición al respecto.</w:t>
      </w:r>
    </w:p>
    <w:p w:rsidR="009D7CEB" w:rsidRPr="00EE2FA1" w:rsidRDefault="00EE2FA1" w:rsidP="009D7CEB">
      <w:pPr>
        <w:pStyle w:val="Prrafodelista"/>
        <w:tabs>
          <w:tab w:val="left" w:pos="426"/>
        </w:tabs>
        <w:spacing w:line="0" w:lineRule="atLeast"/>
        <w:ind w:left="0"/>
        <w:jc w:val="both"/>
        <w:rPr>
          <w:rFonts w:ascii="Times New Roman" w:hAnsi="Times New Roman" w:cs="Times New Roman"/>
          <w:sz w:val="28"/>
          <w:szCs w:val="28"/>
        </w:rPr>
      </w:pPr>
    </w:p>
    <w:p w:rsidR="009D7CEB" w:rsidRPr="00EE2FA1" w:rsidRDefault="00EE2FA1" w:rsidP="00D22E9F">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En segundo lugar, es evidente que, de acuerdo con lo descrito anteriormente,</w:t>
      </w:r>
      <w:r w:rsidRPr="00EE2FA1">
        <w:rPr>
          <w:rFonts w:ascii="Times New Roman" w:hAnsi="Times New Roman" w:cs="Times New Roman"/>
          <w:sz w:val="28"/>
          <w:szCs w:val="28"/>
        </w:rPr>
        <w:t xml:space="preserve"> existía una voluntad mayoritaria de votar en bloque pero </w:t>
      </w:r>
      <w:r w:rsidRPr="00EE2FA1">
        <w:rPr>
          <w:rFonts w:ascii="Times New Roman" w:hAnsi="Times New Roman" w:cs="Times New Roman"/>
          <w:sz w:val="28"/>
          <w:szCs w:val="28"/>
        </w:rPr>
        <w:t>no hubo consenso. Esto se</w:t>
      </w:r>
      <w:r w:rsidRPr="00EE2FA1">
        <w:rPr>
          <w:rFonts w:ascii="Times New Roman" w:hAnsi="Times New Roman" w:cs="Times New Roman"/>
          <w:sz w:val="28"/>
          <w:szCs w:val="28"/>
        </w:rPr>
        <w:t xml:space="preserve"> evidencia por la presencia de posturas contrarias en el debate sobre la necesidad de esa votación del articulado en forma separada. Además, la votación que tuvo lugar respecto de la proposición de votación artículo por artículo no fue unánime: hubo 2 voto</w:t>
      </w:r>
      <w:r w:rsidRPr="00EE2FA1">
        <w:rPr>
          <w:rFonts w:ascii="Times New Roman" w:hAnsi="Times New Roman" w:cs="Times New Roman"/>
          <w:sz w:val="28"/>
          <w:szCs w:val="28"/>
        </w:rPr>
        <w:t xml:space="preserve">s afirmativos y 22 negativos. </w:t>
      </w:r>
    </w:p>
    <w:p w:rsidR="006B3902" w:rsidRPr="00EE2FA1" w:rsidRDefault="00EE2FA1" w:rsidP="006B3902">
      <w:pPr>
        <w:pStyle w:val="Prrafodelista"/>
        <w:spacing w:line="0" w:lineRule="atLeast"/>
        <w:ind w:left="0"/>
        <w:jc w:val="both"/>
        <w:rPr>
          <w:rFonts w:ascii="Times New Roman" w:hAnsi="Times New Roman" w:cs="Times New Roman"/>
          <w:sz w:val="28"/>
          <w:szCs w:val="28"/>
        </w:rPr>
      </w:pPr>
    </w:p>
    <w:p w:rsidR="00E8415E" w:rsidRPr="00EE2FA1" w:rsidRDefault="00EE2FA1" w:rsidP="00E8415E">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Conforme con lo anterior, la mesa directiva estaba habilitada para tomar una determinación definitiva sobre la modalidad de votación</w:t>
      </w:r>
      <w:r w:rsidRPr="00EE2FA1">
        <w:rPr>
          <w:rFonts w:ascii="Times New Roman" w:hAnsi="Times New Roman" w:cs="Times New Roman"/>
          <w:sz w:val="28"/>
          <w:szCs w:val="28"/>
        </w:rPr>
        <w:t xml:space="preserve"> en los términos de la Sentencia C-044 de 2015 por las siguientes razones:</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E8415E">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Previo a la deci</w:t>
      </w:r>
      <w:r w:rsidRPr="00EE2FA1">
        <w:rPr>
          <w:rFonts w:ascii="Times New Roman" w:hAnsi="Times New Roman" w:cs="Times New Roman"/>
          <w:sz w:val="28"/>
          <w:szCs w:val="28"/>
        </w:rPr>
        <w:t xml:space="preserve">sión de la mesa directiva se abrió un espacio para exponer los argumentos a favor o en contra de la propuesta de votación por partes. En efecto, </w:t>
      </w:r>
      <w:r w:rsidRPr="00EE2FA1">
        <w:rPr>
          <w:rFonts w:ascii="Times New Roman" w:hAnsi="Times New Roman" w:cs="Times New Roman"/>
          <w:sz w:val="28"/>
          <w:szCs w:val="28"/>
        </w:rPr>
        <w:t xml:space="preserve">se escucharon intervenciones sobre este punto y </w:t>
      </w:r>
      <w:r w:rsidRPr="00EE2FA1">
        <w:rPr>
          <w:rFonts w:ascii="Times New Roman" w:hAnsi="Times New Roman" w:cs="Times New Roman"/>
          <w:sz w:val="28"/>
          <w:szCs w:val="28"/>
        </w:rPr>
        <w:t>aquella decidió poner a disposición de la Comisión Tercera de l</w:t>
      </w:r>
      <w:r w:rsidRPr="00EE2FA1">
        <w:rPr>
          <w:rFonts w:ascii="Times New Roman" w:hAnsi="Times New Roman" w:cs="Times New Roman"/>
          <w:sz w:val="28"/>
          <w:szCs w:val="28"/>
        </w:rPr>
        <w:t xml:space="preserve">a Cámara la proposición presentada. Ello con el fin de someter la misma a votación dentro de la célula legislativa y que esta determinara la forma en que se haría la votación. </w:t>
      </w:r>
      <w:r w:rsidRPr="00EE2FA1">
        <w:rPr>
          <w:rFonts w:ascii="Times New Roman" w:hAnsi="Times New Roman" w:cs="Times New Roman"/>
          <w:sz w:val="28"/>
          <w:szCs w:val="28"/>
        </w:rPr>
        <w:t xml:space="preserve">Dicha situación constituye </w:t>
      </w:r>
      <w:r w:rsidRPr="00EE2FA1">
        <w:rPr>
          <w:rFonts w:ascii="Times New Roman" w:hAnsi="Times New Roman" w:cs="Times New Roman"/>
          <w:sz w:val="28"/>
          <w:szCs w:val="28"/>
        </w:rPr>
        <w:t xml:space="preserve">para la Sala </w:t>
      </w:r>
      <w:r w:rsidRPr="00EE2FA1">
        <w:rPr>
          <w:rFonts w:ascii="Times New Roman" w:hAnsi="Times New Roman" w:cs="Times New Roman"/>
          <w:sz w:val="28"/>
          <w:szCs w:val="28"/>
        </w:rPr>
        <w:t>la aplicación de</w:t>
      </w:r>
      <w:r w:rsidRPr="00EE2FA1">
        <w:rPr>
          <w:rFonts w:ascii="Times New Roman" w:hAnsi="Times New Roman" w:cs="Times New Roman"/>
          <w:sz w:val="28"/>
          <w:szCs w:val="28"/>
        </w:rPr>
        <w:t xml:space="preserve"> un criterio garantista </w:t>
      </w:r>
      <w:r w:rsidRPr="00EE2FA1">
        <w:rPr>
          <w:rFonts w:ascii="Times New Roman" w:hAnsi="Times New Roman" w:cs="Times New Roman"/>
          <w:sz w:val="28"/>
          <w:szCs w:val="28"/>
        </w:rPr>
        <w:t xml:space="preserve">por parte de la mesa directiva, en atención a que pese a contar con la facultad discrecional para decidir </w:t>
      </w:r>
      <w:r w:rsidRPr="00EE2FA1">
        <w:rPr>
          <w:rFonts w:ascii="Times New Roman" w:hAnsi="Times New Roman" w:cs="Times New Roman"/>
          <w:sz w:val="28"/>
          <w:szCs w:val="28"/>
        </w:rPr>
        <w:t>sobre el particular</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se </w:t>
      </w:r>
      <w:r w:rsidRPr="00EE2FA1">
        <w:rPr>
          <w:rFonts w:ascii="Times New Roman" w:hAnsi="Times New Roman" w:cs="Times New Roman"/>
          <w:sz w:val="28"/>
          <w:szCs w:val="28"/>
        </w:rPr>
        <w:t xml:space="preserve">adoptó la determinación de conceder la facultad de decisión a los miembros de la Comisión Tercera de la Cámara. </w:t>
      </w:r>
      <w:r w:rsidRPr="00EE2FA1">
        <w:rPr>
          <w:rFonts w:ascii="Times New Roman" w:hAnsi="Times New Roman" w:cs="Times New Roman"/>
          <w:sz w:val="28"/>
          <w:szCs w:val="28"/>
        </w:rPr>
        <w:t xml:space="preserve">En ese punto, </w:t>
      </w:r>
      <w:r w:rsidRPr="00EE2FA1">
        <w:rPr>
          <w:rFonts w:ascii="Times New Roman" w:hAnsi="Times New Roman" w:cs="Times New Roman"/>
          <w:sz w:val="28"/>
          <w:szCs w:val="28"/>
        </w:rPr>
        <w:t xml:space="preserve">la Corte Constitucional advierte que no le corresponde adelantar un juicio sobre la calidad del debate ni </w:t>
      </w:r>
      <w:r w:rsidRPr="00EE2FA1">
        <w:rPr>
          <w:rFonts w:ascii="Times New Roman" w:hAnsi="Times New Roman" w:cs="Times New Roman"/>
          <w:sz w:val="28"/>
          <w:szCs w:val="28"/>
        </w:rPr>
        <w:t xml:space="preserve">sobre </w:t>
      </w:r>
      <w:r w:rsidRPr="00EE2FA1">
        <w:rPr>
          <w:rFonts w:ascii="Times New Roman" w:hAnsi="Times New Roman" w:cs="Times New Roman"/>
          <w:sz w:val="28"/>
          <w:szCs w:val="28"/>
        </w:rPr>
        <w:t xml:space="preserve">las intervenciones de los congresistas. </w:t>
      </w:r>
      <w:r w:rsidRPr="00EE2FA1">
        <w:rPr>
          <w:rFonts w:ascii="Times New Roman" w:hAnsi="Times New Roman" w:cs="Times New Roman"/>
          <w:sz w:val="28"/>
          <w:szCs w:val="28"/>
        </w:rPr>
        <w:t xml:space="preserve">En tal sentido, únicamente </w:t>
      </w:r>
      <w:r w:rsidRPr="00EE2FA1">
        <w:rPr>
          <w:rFonts w:ascii="Times New Roman" w:hAnsi="Times New Roman" w:cs="Times New Roman"/>
          <w:sz w:val="28"/>
          <w:szCs w:val="28"/>
        </w:rPr>
        <w:t xml:space="preserve">procede verificar </w:t>
      </w:r>
      <w:r w:rsidRPr="00EE2FA1">
        <w:rPr>
          <w:rFonts w:ascii="Times New Roman" w:hAnsi="Times New Roman" w:cs="Times New Roman"/>
          <w:sz w:val="28"/>
          <w:szCs w:val="28"/>
        </w:rPr>
        <w:t>el debate previo a la decisión en el que los interesados tu</w:t>
      </w:r>
      <w:r w:rsidRPr="00EE2FA1">
        <w:rPr>
          <w:rFonts w:ascii="Times New Roman" w:hAnsi="Times New Roman" w:cs="Times New Roman"/>
          <w:sz w:val="28"/>
          <w:szCs w:val="28"/>
        </w:rPr>
        <w:t>vieron la oportunidad de exponer las razones por las cuales apoyaba</w:t>
      </w:r>
      <w:r w:rsidRPr="00EE2FA1">
        <w:rPr>
          <w:rFonts w:ascii="Times New Roman" w:hAnsi="Times New Roman" w:cs="Times New Roman"/>
          <w:sz w:val="28"/>
          <w:szCs w:val="28"/>
        </w:rPr>
        <w:t>n</w:t>
      </w:r>
      <w:r w:rsidRPr="00EE2FA1">
        <w:rPr>
          <w:rFonts w:ascii="Times New Roman" w:hAnsi="Times New Roman" w:cs="Times New Roman"/>
          <w:sz w:val="28"/>
          <w:szCs w:val="28"/>
        </w:rPr>
        <w:t xml:space="preserve"> una u otra postura. </w:t>
      </w:r>
    </w:p>
    <w:p w:rsidR="00E8415E" w:rsidRPr="00EE2FA1" w:rsidRDefault="00EE2FA1" w:rsidP="00E8415E">
      <w:pPr>
        <w:pStyle w:val="Prrafodelista"/>
        <w:spacing w:line="0" w:lineRule="atLeast"/>
        <w:ind w:left="0"/>
        <w:jc w:val="both"/>
        <w:rPr>
          <w:rFonts w:ascii="Times New Roman" w:hAnsi="Times New Roman" w:cs="Times New Roman"/>
          <w:sz w:val="28"/>
          <w:szCs w:val="28"/>
        </w:rPr>
      </w:pPr>
    </w:p>
    <w:p w:rsidR="00E8415E" w:rsidRPr="00EE2FA1" w:rsidRDefault="00EE2FA1" w:rsidP="00E8415E">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No se alcanzó un consenso al respecto entre los integrantes de la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célula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legislativa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Tal y como se evidenció, a pesar de las actuaciones previas de debate y votación, no hubo consenso sobre la votación en bloque. </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E8415E">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Motivo por el cual, no se observa actuación injustificada y arbitraria por parte de la mesa directiva que orientó el trámite</w:t>
      </w:r>
      <w:r w:rsidRPr="00EE2FA1">
        <w:rPr>
          <w:rFonts w:ascii="Times New Roman" w:hAnsi="Times New Roman" w:cs="Times New Roman"/>
          <w:sz w:val="28"/>
          <w:szCs w:val="28"/>
        </w:rPr>
        <w:t xml:space="preserve"> legislativo del proyecto de ley </w:t>
      </w:r>
      <w:r w:rsidRPr="00EE2FA1">
        <w:rPr>
          <w:rFonts w:ascii="Times New Roman" w:eastAsia="Calibri" w:hAnsi="Times New Roman" w:cs="Times New Roman"/>
          <w:bCs/>
          <w:sz w:val="28"/>
          <w:szCs w:val="28"/>
          <w:lang w:eastAsia="es-ES"/>
        </w:rPr>
        <w:t xml:space="preserve">número 118 de 2022 Cámara – 131 de 2022 Senado, en primer debate. </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FF45A4">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Del contexto del debate no se infiere </w:t>
      </w:r>
      <w:r w:rsidRPr="00EE2FA1">
        <w:rPr>
          <w:rFonts w:ascii="Times New Roman" w:hAnsi="Times New Roman" w:cs="Times New Roman"/>
          <w:sz w:val="28"/>
          <w:szCs w:val="28"/>
        </w:rPr>
        <w:t xml:space="preserve">en el caso </w:t>
      </w:r>
      <w:r w:rsidRPr="00EE2FA1">
        <w:rPr>
          <w:rFonts w:ascii="Times New Roman" w:hAnsi="Times New Roman" w:cs="Times New Roman"/>
          <w:sz w:val="28"/>
          <w:szCs w:val="28"/>
        </w:rPr>
        <w:t xml:space="preserve">que con la votación en bloque </w:t>
      </w:r>
      <w:r w:rsidRPr="00EE2FA1">
        <w:rPr>
          <w:rFonts w:ascii="Times New Roman" w:hAnsi="Times New Roman" w:cs="Times New Roman"/>
          <w:sz w:val="28"/>
          <w:szCs w:val="28"/>
        </w:rPr>
        <w:t>de artículos</w:t>
      </w:r>
      <w:r w:rsidRPr="00EE2FA1">
        <w:rPr>
          <w:rFonts w:ascii="Times New Roman" w:hAnsi="Times New Roman" w:cs="Times New Roman"/>
          <w:sz w:val="28"/>
          <w:szCs w:val="28"/>
        </w:rPr>
        <w:t xml:space="preserve"> se sacrifiquen las finalidades que se aseguran con la votación por partes. </w:t>
      </w:r>
      <w:r w:rsidRPr="00EE2FA1">
        <w:rPr>
          <w:rFonts w:ascii="Times New Roman" w:hAnsi="Times New Roman" w:cs="Times New Roman"/>
          <w:sz w:val="28"/>
          <w:szCs w:val="28"/>
        </w:rPr>
        <w:t xml:space="preserve">Al respecto, la Sala precisa lo siguiente: </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FF45A4">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A</w:t>
      </w:r>
      <w:r w:rsidRPr="00EE2FA1">
        <w:rPr>
          <w:rFonts w:ascii="Times New Roman" w:hAnsi="Times New Roman" w:cs="Times New Roman"/>
          <w:sz w:val="28"/>
          <w:szCs w:val="28"/>
        </w:rPr>
        <w:t xml:space="preserve">lgunos congresistas como el senador Mauricio Gómez Amín, Karina Espinosa e Irma Luz Herrera sí intervinieron durante la discusión del </w:t>
      </w:r>
      <w:r w:rsidRPr="00EE2FA1">
        <w:rPr>
          <w:rFonts w:ascii="Times New Roman" w:hAnsi="Times New Roman" w:cs="Times New Roman"/>
          <w:sz w:val="28"/>
          <w:szCs w:val="28"/>
        </w:rPr>
        <w:t>bloque de 47 artículos para indicar, a modo de constancia, que votaban diferente algunos artículos de ese bloque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como</w:t>
      </w:r>
      <w:r w:rsidRPr="00EE2FA1">
        <w:rPr>
          <w:rFonts w:ascii="Times New Roman" w:hAnsi="Times New Roman" w:cs="Times New Roman"/>
          <w:sz w:val="28"/>
          <w:szCs w:val="28"/>
        </w:rPr>
        <w:t xml:space="preserve"> en el caso de</w:t>
      </w:r>
      <w:r w:rsidRPr="00EE2FA1">
        <w:rPr>
          <w:rFonts w:ascii="Times New Roman" w:hAnsi="Times New Roman" w:cs="Times New Roman"/>
          <w:sz w:val="28"/>
          <w:szCs w:val="28"/>
        </w:rPr>
        <w:t xml:space="preserve"> los artículos 2, 13, 29, 30, 32, 34, 43, 44, 57 y el 58</w:t>
      </w:r>
      <w:r w:rsidRPr="00EE2FA1">
        <w:rPr>
          <w:rStyle w:val="Refdenotaalpie"/>
          <w:rFonts w:ascii="Times New Roman" w:hAnsi="Times New Roman" w:cs="Times New Roman"/>
          <w:sz w:val="28"/>
          <w:szCs w:val="28"/>
        </w:rPr>
        <w:footnoteReference w:id="180"/>
      </w:r>
      <w:r w:rsidRPr="00EE2FA1">
        <w:rPr>
          <w:rFonts w:ascii="Times New Roman" w:hAnsi="Times New Roman" w:cs="Times New Roman"/>
          <w:sz w:val="28"/>
          <w:szCs w:val="28"/>
        </w:rPr>
        <w:t xml:space="preserve">. La Sala llama la atención sobre la importancia que habría tenido </w:t>
      </w:r>
      <w:r w:rsidRPr="00EE2FA1">
        <w:rPr>
          <w:rFonts w:ascii="Times New Roman" w:hAnsi="Times New Roman" w:cs="Times New Roman"/>
          <w:sz w:val="28"/>
          <w:szCs w:val="28"/>
        </w:rPr>
        <w:t xml:space="preserve">que la presidencia ordenara que esos artículos fueran votados de manera independiente. Sin embargo, tal </w:t>
      </w:r>
      <w:r w:rsidRPr="00EE2FA1">
        <w:rPr>
          <w:rFonts w:ascii="Times New Roman" w:hAnsi="Times New Roman" w:cs="Times New Roman"/>
          <w:sz w:val="28"/>
          <w:szCs w:val="28"/>
        </w:rPr>
        <w:t>situación</w:t>
      </w:r>
      <w:r w:rsidRPr="00EE2FA1">
        <w:rPr>
          <w:rFonts w:ascii="Times New Roman" w:hAnsi="Times New Roman" w:cs="Times New Roman"/>
          <w:sz w:val="28"/>
          <w:szCs w:val="28"/>
        </w:rPr>
        <w:t xml:space="preserve"> no g</w:t>
      </w:r>
      <w:r w:rsidRPr="00EE2FA1">
        <w:rPr>
          <w:rFonts w:ascii="Times New Roman" w:hAnsi="Times New Roman" w:cs="Times New Roman"/>
          <w:sz w:val="28"/>
          <w:szCs w:val="28"/>
        </w:rPr>
        <w:t>e</w:t>
      </w:r>
      <w:r w:rsidRPr="00EE2FA1">
        <w:rPr>
          <w:rFonts w:ascii="Times New Roman" w:hAnsi="Times New Roman" w:cs="Times New Roman"/>
          <w:sz w:val="28"/>
          <w:szCs w:val="28"/>
        </w:rPr>
        <w:t xml:space="preserve">nera vicio o irregularidad porque </w:t>
      </w:r>
      <w:r w:rsidRPr="00EE2FA1">
        <w:rPr>
          <w:rFonts w:ascii="Times New Roman" w:hAnsi="Times New Roman" w:cs="Times New Roman"/>
          <w:sz w:val="28"/>
          <w:szCs w:val="28"/>
        </w:rPr>
        <w:t xml:space="preserve">dichos </w:t>
      </w:r>
      <w:r w:rsidRPr="00EE2FA1">
        <w:rPr>
          <w:rFonts w:ascii="Times New Roman" w:hAnsi="Times New Roman" w:cs="Times New Roman"/>
          <w:sz w:val="28"/>
          <w:szCs w:val="28"/>
        </w:rPr>
        <w:t>congresistas tuvieron la oportunidad de precisar el sentido de su voto en relación con esos artí</w:t>
      </w:r>
      <w:r w:rsidRPr="00EE2FA1">
        <w:rPr>
          <w:rFonts w:ascii="Times New Roman" w:hAnsi="Times New Roman" w:cs="Times New Roman"/>
          <w:sz w:val="28"/>
          <w:szCs w:val="28"/>
        </w:rPr>
        <w:t xml:space="preserve">culos, pero no solicitaron su exclusión del bloque de artículos y se limitaron a dejar las respectivas constancias. </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FF45A4">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w:t>
      </w:r>
      <w:r w:rsidRPr="00EE2FA1">
        <w:rPr>
          <w:rFonts w:ascii="Times New Roman" w:hAnsi="Times New Roman" w:cs="Times New Roman"/>
          <w:sz w:val="28"/>
          <w:szCs w:val="28"/>
        </w:rPr>
        <w:t>l senador Miguel Uribe solicitó verbalmente que el artículo 2 se votara de forma independiente</w:t>
      </w:r>
      <w:r w:rsidRPr="00EE2FA1">
        <w:rPr>
          <w:rStyle w:val="Refdenotaalpie"/>
          <w:rFonts w:ascii="Times New Roman" w:hAnsi="Times New Roman" w:cs="Times New Roman"/>
          <w:sz w:val="28"/>
          <w:szCs w:val="28"/>
        </w:rPr>
        <w:footnoteReference w:id="181"/>
      </w:r>
      <w:r w:rsidRPr="00EE2FA1">
        <w:rPr>
          <w:rFonts w:ascii="Times New Roman" w:hAnsi="Times New Roman" w:cs="Times New Roman"/>
          <w:sz w:val="28"/>
          <w:szCs w:val="28"/>
        </w:rPr>
        <w:t>, pero al final ese artículo se votó junto</w:t>
      </w:r>
      <w:r w:rsidRPr="00EE2FA1">
        <w:rPr>
          <w:rFonts w:ascii="Times New Roman" w:hAnsi="Times New Roman" w:cs="Times New Roman"/>
          <w:sz w:val="28"/>
          <w:szCs w:val="28"/>
        </w:rPr>
        <w:t xml:space="preserve"> con los demás del bloque. Sin embargo, respecto de esa situación tampoco se </w:t>
      </w:r>
      <w:r w:rsidRPr="00EE2FA1">
        <w:rPr>
          <w:rFonts w:ascii="Times New Roman" w:hAnsi="Times New Roman" w:cs="Times New Roman"/>
          <w:sz w:val="28"/>
          <w:szCs w:val="28"/>
        </w:rPr>
        <w:t>configuró</w:t>
      </w:r>
      <w:r w:rsidRPr="00EE2FA1">
        <w:rPr>
          <w:rFonts w:ascii="Times New Roman" w:hAnsi="Times New Roman" w:cs="Times New Roman"/>
          <w:sz w:val="28"/>
          <w:szCs w:val="28"/>
        </w:rPr>
        <w:t xml:space="preserve"> un vicio o irregularidad toda vez que el senador no propuso una moción de orden ni insistió en su solicitud. Por ende, en aplicación de la regla de la debida diligencia </w:t>
      </w:r>
      <w:r w:rsidRPr="00EE2FA1">
        <w:rPr>
          <w:rFonts w:ascii="Times New Roman" w:hAnsi="Times New Roman" w:cs="Times New Roman"/>
          <w:sz w:val="28"/>
          <w:szCs w:val="28"/>
        </w:rPr>
        <w:t>que deben observar los congresistas, la inacción del senador para que su propuesta fuera sometida a consideración permite concluir que desistió de ella. Además, esas manifestaciones en nada afectan el estudio de este caso</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pues la votación en bloque de los</w:t>
      </w:r>
      <w:r w:rsidRPr="00EE2FA1">
        <w:rPr>
          <w:rFonts w:ascii="Times New Roman" w:hAnsi="Times New Roman" w:cs="Times New Roman"/>
          <w:sz w:val="28"/>
          <w:szCs w:val="28"/>
        </w:rPr>
        <w:t xml:space="preserve"> artículos 2, 13, 29, 30, 32, 34, 43, 44, 57 y 58 no fue objeto de reproche por parte de la demandante. </w:t>
      </w:r>
    </w:p>
    <w:p w:rsidR="00E8415E" w:rsidRPr="00EE2FA1" w:rsidRDefault="00EE2FA1" w:rsidP="00E8415E">
      <w:pPr>
        <w:pStyle w:val="Prrafodelista"/>
        <w:rPr>
          <w:rFonts w:ascii="Times New Roman" w:hAnsi="Times New Roman" w:cs="Times New Roman"/>
          <w:sz w:val="28"/>
          <w:szCs w:val="28"/>
        </w:rPr>
      </w:pPr>
    </w:p>
    <w:p w:rsidR="00E8415E" w:rsidRPr="00EE2FA1" w:rsidRDefault="00EE2FA1" w:rsidP="00FF45A4">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w:t>
      </w:r>
      <w:r w:rsidRPr="00EE2FA1">
        <w:rPr>
          <w:rFonts w:ascii="Times New Roman" w:hAnsi="Times New Roman" w:cs="Times New Roman"/>
          <w:sz w:val="28"/>
          <w:szCs w:val="28"/>
        </w:rPr>
        <w:t>n relación con los artículos demandados, la representante Irma Luz Herrera manifestó que dejaba como constancia que su voto al artículo 9 era negativ</w:t>
      </w:r>
      <w:r w:rsidRPr="00EE2FA1">
        <w:rPr>
          <w:rFonts w:ascii="Times New Roman" w:hAnsi="Times New Roman" w:cs="Times New Roman"/>
          <w:sz w:val="28"/>
          <w:szCs w:val="28"/>
        </w:rPr>
        <w:t>o</w:t>
      </w:r>
      <w:r w:rsidRPr="00EE2FA1">
        <w:rPr>
          <w:rStyle w:val="Refdenotaalpie"/>
          <w:rFonts w:ascii="Times New Roman" w:hAnsi="Times New Roman" w:cs="Times New Roman"/>
          <w:sz w:val="28"/>
          <w:szCs w:val="28"/>
        </w:rPr>
        <w:footnoteReference w:id="182"/>
      </w:r>
      <w:r w:rsidRPr="00EE2FA1">
        <w:rPr>
          <w:rFonts w:ascii="Times New Roman" w:hAnsi="Times New Roman" w:cs="Times New Roman"/>
          <w:sz w:val="28"/>
          <w:szCs w:val="28"/>
        </w:rPr>
        <w:t>. La Sala precisa que ante esa manifestación la presidencia podría haber dispuesto la votación individual del artículo 9 de la ponencia. Sin embargo, el no haberlo hecho no constituye una actuación arbitraria ni vicia la votación del artículo</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toda vez que la representante Herrera tuvo la oportunidad de solicitar la exclusión del artículo del bloque y no lo hizo, pues consideró que bastaba con dejar la constancia al respecto. Además, la representante acompañó con su voto el bloque de artículos</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entre los que se encontraba aquel</w:t>
      </w:r>
      <w:r w:rsidRPr="00EE2FA1">
        <w:rPr>
          <w:rStyle w:val="Refdenotaalpie"/>
          <w:rFonts w:ascii="Times New Roman" w:hAnsi="Times New Roman" w:cs="Times New Roman"/>
          <w:sz w:val="28"/>
          <w:szCs w:val="28"/>
        </w:rPr>
        <w:footnoteReference w:id="183"/>
      </w:r>
      <w:r w:rsidRPr="00EE2FA1">
        <w:rPr>
          <w:rFonts w:ascii="Times New Roman" w:hAnsi="Times New Roman" w:cs="Times New Roman"/>
          <w:sz w:val="28"/>
          <w:szCs w:val="28"/>
        </w:rPr>
        <w:t xml:space="preserve">. Todo ello permite concluir, a partir del contexto del debate, que la representante Herrera no consideró necesaria la votación del artículo fuera del bloque para poder expresar su aprobación respecto de unos contenidos y </w:t>
      </w:r>
      <w:r w:rsidRPr="00EE2FA1">
        <w:rPr>
          <w:rFonts w:ascii="Times New Roman" w:hAnsi="Times New Roman" w:cs="Times New Roman"/>
          <w:sz w:val="28"/>
          <w:szCs w:val="28"/>
        </w:rPr>
        <w:t xml:space="preserve">su desaprobación respecto de otros. </w:t>
      </w:r>
    </w:p>
    <w:p w:rsidR="00E8415E" w:rsidRPr="00EE2FA1" w:rsidRDefault="00EE2FA1" w:rsidP="00E8415E">
      <w:pPr>
        <w:pStyle w:val="Prrafodelista"/>
        <w:rPr>
          <w:rFonts w:ascii="Times New Roman" w:hAnsi="Times New Roman" w:cs="Times New Roman"/>
          <w:sz w:val="28"/>
          <w:szCs w:val="28"/>
        </w:rPr>
      </w:pPr>
    </w:p>
    <w:p w:rsidR="00FF45A4" w:rsidRPr="00EE2FA1" w:rsidRDefault="00EE2FA1" w:rsidP="00FF45A4">
      <w:pPr>
        <w:pStyle w:val="Prrafodelista"/>
        <w:numPr>
          <w:ilvl w:val="0"/>
          <w:numId w:val="1"/>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En síntesis, de la revisión del debate se evidencia que algunos congresistas sí manifestaron, en relación con algunos de los artículos del bloque, por qué votaban diferente determinado artículo. Sin embargo, no insisti</w:t>
      </w:r>
      <w:r w:rsidRPr="00EE2FA1">
        <w:rPr>
          <w:rFonts w:ascii="Times New Roman" w:hAnsi="Times New Roman" w:cs="Times New Roman"/>
          <w:sz w:val="28"/>
          <w:szCs w:val="28"/>
        </w:rPr>
        <w:t xml:space="preserve">eron en la exclusión de los artículos del bloque y se limitaron a dejar constancias, lo que no genera vicio o irregularidad que desconozca la Constitución. </w:t>
      </w:r>
    </w:p>
    <w:p w:rsidR="00FF45A4" w:rsidRPr="00EE2FA1" w:rsidRDefault="00EE2FA1" w:rsidP="00FF45A4">
      <w:pPr>
        <w:pStyle w:val="Prrafodelista"/>
        <w:spacing w:line="0" w:lineRule="atLeast"/>
        <w:ind w:left="0"/>
        <w:jc w:val="both"/>
        <w:rPr>
          <w:rFonts w:ascii="Times New Roman" w:hAnsi="Times New Roman" w:cs="Times New Roman"/>
          <w:sz w:val="28"/>
          <w:szCs w:val="28"/>
        </w:rPr>
      </w:pPr>
    </w:p>
    <w:p w:rsidR="009D7CEB" w:rsidRPr="00EE2FA1" w:rsidRDefault="00EE2FA1" w:rsidP="009D7CEB">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Lo anterior, permite concluir que no le asiste razón a la demandante</w:t>
      </w:r>
      <w:r w:rsidRPr="00EE2FA1">
        <w:rPr>
          <w:rFonts w:ascii="Times New Roman" w:hAnsi="Times New Roman" w:cs="Times New Roman"/>
          <w:sz w:val="28"/>
          <w:szCs w:val="28"/>
        </w:rPr>
        <w:t xml:space="preserve"> en cuanto a este cargo,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porqu</w:t>
      </w:r>
      <w:r w:rsidRPr="00EE2FA1">
        <w:rPr>
          <w:rFonts w:ascii="Times New Roman" w:hAnsi="Times New Roman" w:cs="Times New Roman"/>
          <w:sz w:val="28"/>
          <w:szCs w:val="28"/>
        </w:rPr>
        <w:t xml:space="preserve">e </w:t>
      </w:r>
      <w:r w:rsidRPr="00EE2FA1">
        <w:rPr>
          <w:rFonts w:ascii="Times New Roman" w:hAnsi="Times New Roman" w:cs="Times New Roman"/>
          <w:sz w:val="28"/>
          <w:szCs w:val="28"/>
        </w:rPr>
        <w:t>no</w:t>
      </w:r>
      <w:r w:rsidRPr="00EE2FA1">
        <w:rPr>
          <w:rFonts w:ascii="Times New Roman" w:hAnsi="Times New Roman" w:cs="Times New Roman"/>
          <w:sz w:val="28"/>
          <w:szCs w:val="28"/>
        </w:rPr>
        <w:t xml:space="preserve"> se configuró irregularidad o vicio de inconstitucionalidad en la </w:t>
      </w:r>
      <w:r w:rsidRPr="00EE2FA1">
        <w:rPr>
          <w:rFonts w:ascii="Times New Roman" w:hAnsi="Times New Roman" w:cs="Times New Roman"/>
          <w:sz w:val="28"/>
          <w:szCs w:val="28"/>
        </w:rPr>
        <w:t>decisión</w:t>
      </w:r>
      <w:r w:rsidRPr="00EE2FA1">
        <w:rPr>
          <w:rFonts w:ascii="Times New Roman" w:hAnsi="Times New Roman" w:cs="Times New Roman"/>
          <w:sz w:val="28"/>
          <w:szCs w:val="28"/>
        </w:rPr>
        <w:t xml:space="preserve"> de votación en bloque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en tanto </w:t>
      </w:r>
      <w:r w:rsidRPr="00EE2FA1">
        <w:rPr>
          <w:rFonts w:ascii="Times New Roman" w:hAnsi="Times New Roman" w:cs="Times New Roman"/>
          <w:sz w:val="28"/>
          <w:szCs w:val="28"/>
        </w:rPr>
        <w:t>no</w:t>
      </w:r>
      <w:r w:rsidRPr="00EE2FA1">
        <w:rPr>
          <w:rFonts w:ascii="Times New Roman" w:hAnsi="Times New Roman" w:cs="Times New Roman"/>
          <w:sz w:val="28"/>
          <w:szCs w:val="28"/>
        </w:rPr>
        <w:t xml:space="preserve"> existió arbitrariedad por parte de la mesa directiva </w:t>
      </w:r>
      <w:r w:rsidRPr="00EE2FA1">
        <w:rPr>
          <w:rFonts w:ascii="Times New Roman" w:hAnsi="Times New Roman" w:cs="Times New Roman"/>
          <w:sz w:val="28"/>
          <w:szCs w:val="28"/>
        </w:rPr>
        <w:t>de las Comisiones Terceras en sesiones conjuntas al disponer tal método de decisión</w:t>
      </w:r>
      <w:r w:rsidRPr="00EE2FA1">
        <w:rPr>
          <w:rFonts w:ascii="Times New Roman" w:hAnsi="Times New Roman" w:cs="Times New Roman"/>
          <w:sz w:val="28"/>
          <w:szCs w:val="28"/>
        </w:rPr>
        <w:t>. En e</w:t>
      </w:r>
      <w:r w:rsidRPr="00EE2FA1">
        <w:rPr>
          <w:rFonts w:ascii="Times New Roman" w:hAnsi="Times New Roman" w:cs="Times New Roman"/>
          <w:sz w:val="28"/>
          <w:szCs w:val="28"/>
        </w:rPr>
        <w:t>se sentido, la Sala encuentra que</w:t>
      </w:r>
      <w:r w:rsidRPr="00EE2FA1">
        <w:rPr>
          <w:rFonts w:ascii="Times New Roman" w:hAnsi="Times New Roman" w:cs="Times New Roman"/>
          <w:sz w:val="28"/>
          <w:szCs w:val="28"/>
        </w:rPr>
        <w:t xml:space="preserve"> se cumplieron l</w:t>
      </w:r>
      <w:r w:rsidRPr="00EE2FA1">
        <w:rPr>
          <w:rFonts w:ascii="Times New Roman" w:hAnsi="Times New Roman" w:cs="Times New Roman"/>
          <w:sz w:val="28"/>
          <w:szCs w:val="28"/>
        </w:rPr>
        <w:t>os requisitos jurisprudenciales contenidos en la Sentencia C-044 de 2015</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sobre </w:t>
      </w:r>
      <w:r w:rsidRPr="00EE2FA1">
        <w:rPr>
          <w:rFonts w:ascii="Times New Roman" w:hAnsi="Times New Roman" w:cs="Times New Roman"/>
          <w:sz w:val="28"/>
          <w:szCs w:val="28"/>
        </w:rPr>
        <w:t>deliberación previa 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incluso</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se sometió la decisión a la Comisión Tercera de la Cámara </w:t>
      </w:r>
      <w:r w:rsidRPr="00EE2FA1">
        <w:rPr>
          <w:rFonts w:ascii="Times New Roman" w:hAnsi="Times New Roman" w:cs="Times New Roman"/>
          <w:sz w:val="28"/>
          <w:szCs w:val="28"/>
        </w:rPr>
        <w:t xml:space="preserve">de Representantes, </w:t>
      </w:r>
      <w:r w:rsidRPr="00EE2FA1">
        <w:rPr>
          <w:rFonts w:ascii="Times New Roman" w:hAnsi="Times New Roman" w:cs="Times New Roman"/>
          <w:sz w:val="28"/>
          <w:szCs w:val="28"/>
        </w:rPr>
        <w:t>a efecto que los in</w:t>
      </w:r>
      <w:r w:rsidRPr="00EE2FA1">
        <w:rPr>
          <w:rFonts w:ascii="Times New Roman" w:hAnsi="Times New Roman" w:cs="Times New Roman"/>
          <w:sz w:val="28"/>
          <w:szCs w:val="28"/>
        </w:rPr>
        <w:t xml:space="preserve">tegrantes de dicha célula decidieran mediante </w:t>
      </w:r>
      <w:r w:rsidRPr="00EE2FA1">
        <w:rPr>
          <w:rFonts w:ascii="Times New Roman" w:hAnsi="Times New Roman" w:cs="Times New Roman"/>
          <w:sz w:val="28"/>
          <w:szCs w:val="28"/>
        </w:rPr>
        <w:t xml:space="preserve">voto </w:t>
      </w:r>
      <w:r w:rsidRPr="00EE2FA1">
        <w:rPr>
          <w:rFonts w:ascii="Times New Roman" w:hAnsi="Times New Roman" w:cs="Times New Roman"/>
          <w:sz w:val="28"/>
          <w:szCs w:val="28"/>
        </w:rPr>
        <w:t>tal determinación.</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Tampoco</w:t>
      </w:r>
      <w:r w:rsidRPr="00EE2FA1">
        <w:rPr>
          <w:rFonts w:ascii="Times New Roman" w:hAnsi="Times New Roman" w:cs="Times New Roman"/>
          <w:sz w:val="28"/>
          <w:szCs w:val="28"/>
        </w:rPr>
        <w:t xml:space="preserve"> se sacrificaron las finalidades sustantivas que se aseguran con la votación por partes</w:t>
      </w:r>
      <w:r w:rsidRPr="00EE2FA1">
        <w:rPr>
          <w:rFonts w:ascii="Times New Roman" w:hAnsi="Times New Roman" w:cs="Times New Roman"/>
          <w:sz w:val="28"/>
          <w:szCs w:val="28"/>
        </w:rPr>
        <w:t xml:space="preserve"> del proyecto de ley</w:t>
      </w:r>
      <w:r w:rsidRPr="00EE2FA1">
        <w:rPr>
          <w:rFonts w:ascii="Times New Roman" w:hAnsi="Times New Roman" w:cs="Times New Roman"/>
          <w:sz w:val="28"/>
          <w:szCs w:val="28"/>
        </w:rPr>
        <w:t xml:space="preserve">. </w:t>
      </w:r>
    </w:p>
    <w:p w:rsidR="009D7CEB" w:rsidRPr="00EE2FA1" w:rsidRDefault="00EE2FA1" w:rsidP="009D7CEB">
      <w:pPr>
        <w:pStyle w:val="Prrafodelista"/>
        <w:spacing w:line="0" w:lineRule="atLeast"/>
        <w:ind w:left="0"/>
        <w:jc w:val="both"/>
        <w:rPr>
          <w:rFonts w:ascii="Times New Roman" w:hAnsi="Times New Roman" w:cs="Times New Roman"/>
          <w:sz w:val="28"/>
          <w:szCs w:val="28"/>
        </w:rPr>
      </w:pPr>
    </w:p>
    <w:p w:rsidR="009D7CEB" w:rsidRPr="00EE2FA1" w:rsidRDefault="00EE2FA1" w:rsidP="009D7CEB">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A modo de resumen, </w:t>
      </w:r>
      <w:r w:rsidRPr="00EE2FA1">
        <w:rPr>
          <w:rFonts w:ascii="Times New Roman" w:hAnsi="Times New Roman" w:cs="Times New Roman"/>
          <w:sz w:val="28"/>
          <w:szCs w:val="28"/>
        </w:rPr>
        <w:t xml:space="preserve">se establece que </w:t>
      </w:r>
      <w:r w:rsidRPr="00EE2FA1">
        <w:rPr>
          <w:rFonts w:ascii="Times New Roman" w:hAnsi="Times New Roman" w:cs="Times New Roman"/>
          <w:sz w:val="28"/>
          <w:szCs w:val="28"/>
        </w:rPr>
        <w:t>ninguno de los tres cargos formu</w:t>
      </w:r>
      <w:r w:rsidRPr="00EE2FA1">
        <w:rPr>
          <w:rFonts w:ascii="Times New Roman" w:hAnsi="Times New Roman" w:cs="Times New Roman"/>
          <w:sz w:val="28"/>
          <w:szCs w:val="28"/>
        </w:rPr>
        <w:t>lados por vicios de procedimiento prosper</w:t>
      </w:r>
      <w:r w:rsidRPr="00EE2FA1">
        <w:rPr>
          <w:rFonts w:ascii="Times New Roman" w:hAnsi="Times New Roman" w:cs="Times New Roman"/>
          <w:sz w:val="28"/>
          <w:szCs w:val="28"/>
        </w:rPr>
        <w:t>ó</w:t>
      </w:r>
      <w:r w:rsidRPr="00EE2FA1">
        <w:rPr>
          <w:rFonts w:ascii="Times New Roman" w:hAnsi="Times New Roman" w:cs="Times New Roman"/>
          <w:sz w:val="28"/>
          <w:szCs w:val="28"/>
        </w:rPr>
        <w:t xml:space="preserve">. A continuación, de acuerdo con la metodología anunciada previamente, la Sala procederá al análisis de los dos cargos por vicios materiales formulados únicamente contra </w:t>
      </w:r>
      <w:r w:rsidRPr="00EE2FA1">
        <w:rPr>
          <w:rFonts w:ascii="Times New Roman" w:hAnsi="Times New Roman" w:cs="Times New Roman"/>
          <w:iCs/>
          <w:sz w:val="28"/>
          <w:szCs w:val="28"/>
          <w:lang w:eastAsia="es-ES"/>
        </w:rPr>
        <w:t xml:space="preserve">el parágrafo 3.° </w:t>
      </w:r>
      <w:r w:rsidRPr="00EE2FA1">
        <w:rPr>
          <w:rFonts w:ascii="Times New Roman" w:hAnsi="Times New Roman" w:cs="Times New Roman"/>
          <w:iCs/>
          <w:sz w:val="28"/>
          <w:szCs w:val="28"/>
          <w:lang w:eastAsia="es-ES"/>
        </w:rPr>
        <w:t>(parcial) d</w:t>
      </w:r>
      <w:r w:rsidRPr="00EE2FA1">
        <w:rPr>
          <w:rFonts w:ascii="Times New Roman" w:hAnsi="Times New Roman" w:cs="Times New Roman"/>
          <w:iCs/>
          <w:sz w:val="28"/>
          <w:szCs w:val="28"/>
          <w:lang w:eastAsia="es-ES"/>
        </w:rPr>
        <w:t xml:space="preserve">el artículo 10 </w:t>
      </w:r>
      <w:r w:rsidRPr="00EE2FA1">
        <w:rPr>
          <w:rFonts w:ascii="Times New Roman" w:hAnsi="Times New Roman" w:cs="Times New Roman"/>
          <w:iCs/>
          <w:sz w:val="28"/>
          <w:szCs w:val="28"/>
          <w:lang w:eastAsia="es-ES"/>
        </w:rPr>
        <w:t>de la Ley 2277 de 2022.</w:t>
      </w:r>
    </w:p>
    <w:p w:rsidR="009D7CEB" w:rsidRPr="00EE2FA1" w:rsidRDefault="00EE2FA1" w:rsidP="00B64679">
      <w:pPr>
        <w:pStyle w:val="Prrafodelista"/>
        <w:ind w:left="0"/>
        <w:rPr>
          <w:rFonts w:ascii="Times New Roman" w:hAnsi="Times New Roman" w:cs="Times New Roman"/>
          <w:sz w:val="28"/>
          <w:szCs w:val="28"/>
        </w:rPr>
      </w:pPr>
    </w:p>
    <w:p w:rsidR="00DA37A4" w:rsidRPr="00EE2FA1" w:rsidRDefault="00EE2FA1" w:rsidP="00DA37A4">
      <w:pPr>
        <w:tabs>
          <w:tab w:val="left" w:pos="284"/>
        </w:tabs>
        <w:spacing w:line="0" w:lineRule="atLeast"/>
        <w:contextualSpacing/>
        <w:jc w:val="both"/>
        <w:rPr>
          <w:rFonts w:ascii="Times New Roman" w:eastAsiaTheme="minorHAnsi" w:hAnsi="Times New Roman" w:cs="Times New Roman"/>
          <w:b/>
          <w:bCs/>
          <w:sz w:val="28"/>
          <w:szCs w:val="28"/>
          <w:lang w:eastAsia="en-US"/>
        </w:rPr>
      </w:pPr>
      <w:r w:rsidRPr="00EE2FA1">
        <w:rPr>
          <w:rFonts w:ascii="Times New Roman" w:hAnsi="Times New Roman" w:cs="Times New Roman"/>
          <w:b/>
          <w:bCs/>
          <w:sz w:val="28"/>
          <w:szCs w:val="28"/>
        </w:rPr>
        <w:t xml:space="preserve">B. </w:t>
      </w:r>
      <w:r w:rsidRPr="00EE2FA1">
        <w:rPr>
          <w:rFonts w:ascii="Times New Roman" w:hAnsi="Times New Roman" w:cs="Times New Roman"/>
          <w:b/>
          <w:bCs/>
          <w:sz w:val="28"/>
          <w:szCs w:val="28"/>
        </w:rPr>
        <w:t>Cargos por vicios de fondo</w:t>
      </w:r>
    </w:p>
    <w:p w:rsidR="00FA50FF" w:rsidRPr="00EE2FA1" w:rsidRDefault="00EE2FA1" w:rsidP="00B64679">
      <w:pPr>
        <w:pStyle w:val="Prrafodelista"/>
        <w:ind w:left="0"/>
        <w:rPr>
          <w:rFonts w:ascii="Times New Roman" w:hAnsi="Times New Roman" w:cs="Times New Roman"/>
          <w:sz w:val="28"/>
          <w:szCs w:val="28"/>
        </w:rPr>
      </w:pPr>
    </w:p>
    <w:p w:rsidR="00743800" w:rsidRPr="00EE2FA1" w:rsidRDefault="00EE2FA1" w:rsidP="00C833B9">
      <w:pPr>
        <w:tabs>
          <w:tab w:val="left" w:pos="426"/>
        </w:tabs>
        <w:spacing w:line="0" w:lineRule="atLeast"/>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Cuarto</w:t>
      </w:r>
      <w:r w:rsidRPr="00EE2FA1">
        <w:rPr>
          <w:rFonts w:ascii="Times New Roman" w:eastAsia="Calibri" w:hAnsi="Times New Roman" w:cs="Times New Roman"/>
          <w:b/>
          <w:bCs/>
          <w:sz w:val="28"/>
          <w:szCs w:val="28"/>
          <w:lang w:eastAsia="es-ES"/>
        </w:rPr>
        <w:t xml:space="preserve"> cargo. </w:t>
      </w:r>
      <w:r w:rsidRPr="00EE2FA1">
        <w:rPr>
          <w:rFonts w:ascii="Times New Roman" w:hAnsi="Times New Roman" w:cs="Times New Roman"/>
          <w:b/>
          <w:bCs/>
          <w:sz w:val="28"/>
          <w:szCs w:val="28"/>
        </w:rPr>
        <w:t xml:space="preserve">Quebrantamiento de la Constitución por la aplicación retroactiva </w:t>
      </w:r>
      <w:r w:rsidRPr="00EE2FA1">
        <w:rPr>
          <w:rFonts w:ascii="Times New Roman" w:hAnsi="Times New Roman" w:cs="Times New Roman"/>
          <w:b/>
          <w:bCs/>
          <w:sz w:val="28"/>
          <w:szCs w:val="28"/>
        </w:rPr>
        <w:t xml:space="preserve">y retrospectiva </w:t>
      </w:r>
      <w:r w:rsidRPr="00EE2FA1">
        <w:rPr>
          <w:rFonts w:ascii="Times New Roman" w:hAnsi="Times New Roman" w:cs="Times New Roman"/>
          <w:b/>
          <w:bCs/>
          <w:sz w:val="28"/>
          <w:szCs w:val="28"/>
        </w:rPr>
        <w:t>de la ley tributaria</w:t>
      </w:r>
    </w:p>
    <w:p w:rsidR="00743800" w:rsidRPr="00EE2FA1" w:rsidRDefault="00EE2FA1" w:rsidP="001940F6">
      <w:pPr>
        <w:tabs>
          <w:tab w:val="left" w:pos="426"/>
        </w:tabs>
        <w:spacing w:line="0" w:lineRule="atLeast"/>
        <w:jc w:val="both"/>
        <w:rPr>
          <w:rFonts w:ascii="Times New Roman" w:eastAsia="Calibri" w:hAnsi="Times New Roman" w:cs="Times New Roman"/>
          <w:sz w:val="28"/>
          <w:szCs w:val="28"/>
          <w:lang w:eastAsia="es-ES"/>
        </w:rPr>
      </w:pPr>
    </w:p>
    <w:p w:rsidR="0006185A" w:rsidRPr="00EE2FA1" w:rsidRDefault="00EE2FA1" w:rsidP="0006185A">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sz w:val="28"/>
          <w:szCs w:val="28"/>
        </w:rPr>
      </w:pPr>
      <w:r w:rsidRPr="00EE2FA1">
        <w:rPr>
          <w:rFonts w:ascii="Times New Roman" w:eastAsia="Calibri" w:hAnsi="Times New Roman" w:cs="Times New Roman"/>
          <w:sz w:val="28"/>
          <w:szCs w:val="28"/>
          <w:lang w:eastAsia="es-ES"/>
        </w:rPr>
        <w:t xml:space="preserve">La accionante manifestó que </w:t>
      </w:r>
      <w:r w:rsidRPr="00EE2FA1">
        <w:rPr>
          <w:rFonts w:ascii="Times New Roman" w:hAnsi="Times New Roman" w:cs="Times New Roman"/>
          <w:sz w:val="28"/>
          <w:szCs w:val="28"/>
        </w:rPr>
        <w:t xml:space="preserve">“(…) el cargo se concreta en que la norma viola, de </w:t>
      </w:r>
      <w:r w:rsidRPr="00EE2FA1">
        <w:rPr>
          <w:rFonts w:ascii="Times New Roman" w:hAnsi="Times New Roman" w:cs="Times New Roman"/>
          <w:sz w:val="28"/>
          <w:szCs w:val="28"/>
        </w:rPr>
        <w:t>manera evidente, la proscripción de la retroactividad en la aplicación de las normas tributarias y la de la retrospectividad, o retroactividad impropia, al establecer: i) que los puntos porcentuales de la ‘sobretasa’ a cargo de las compañías extractoras de</w:t>
      </w:r>
      <w:r w:rsidRPr="00EE2FA1">
        <w:rPr>
          <w:rFonts w:ascii="Times New Roman" w:hAnsi="Times New Roman" w:cs="Times New Roman"/>
          <w:sz w:val="28"/>
          <w:szCs w:val="28"/>
        </w:rPr>
        <w:t xml:space="preserve"> petróleo se definen cada año pero se aplican a la renta liquida gravable del año inmediatamente anterior a esa definición, pese a que ya ha transcurrido, ya ha finalizado, con lo cual la propia disposición demandada ordena la aplicación retroactiva (…) y </w:t>
      </w:r>
      <w:r w:rsidRPr="00EE2FA1">
        <w:rPr>
          <w:rFonts w:ascii="Times New Roman" w:hAnsi="Times New Roman" w:cs="Times New Roman"/>
          <w:sz w:val="28"/>
          <w:szCs w:val="28"/>
        </w:rPr>
        <w:t xml:space="preserve">ii) que los puntos porcentuales de la ‘sobretasa’ que se definan anualmente se apliquen para la tasación del impuesto sobre la renta del año anterior, ya finalizado, ya transcurrido (…) En tal sentido (…) si los puntos porcentuales de sobretasa se definen </w:t>
      </w:r>
      <w:r w:rsidRPr="00EE2FA1">
        <w:rPr>
          <w:rFonts w:ascii="Times New Roman" w:hAnsi="Times New Roman" w:cs="Times New Roman"/>
          <w:sz w:val="28"/>
          <w:szCs w:val="28"/>
        </w:rPr>
        <w:t>en enero de 2024, solo puede empezar a aplicar en 2025, no en el mismo 2024 en que se materializan ni, menos aún, en relación con el año 2023, ya finalizado.”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Expuso que la norma acusada desconoce los principios expuestos porque los sujetos pasivos de la s</w:t>
      </w:r>
      <w:r w:rsidRPr="00EE2FA1">
        <w:rPr>
          <w:rFonts w:ascii="Times New Roman" w:hAnsi="Times New Roman" w:cs="Times New Roman"/>
          <w:sz w:val="28"/>
          <w:szCs w:val="28"/>
        </w:rPr>
        <w:t>obretasa solo pueden conocer uno de los elementos esenciales de la obligación tributaria, específicamente la tarifa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luego de que finalice el periodo gravable respectivo lo cual, en su sentir “es a todas luces inadmisible”. </w:t>
      </w:r>
    </w:p>
    <w:p w:rsidR="000F6D2E" w:rsidRPr="00EE2FA1" w:rsidRDefault="00EE2FA1" w:rsidP="001940F6">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sz w:val="28"/>
          <w:szCs w:val="28"/>
        </w:rPr>
      </w:pPr>
    </w:p>
    <w:p w:rsidR="000F6D2E" w:rsidRPr="00EE2FA1" w:rsidRDefault="00EE2FA1" w:rsidP="001940F6">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Refirió que la oposición objet</w:t>
      </w:r>
      <w:r w:rsidRPr="00EE2FA1">
        <w:rPr>
          <w:rFonts w:ascii="Times New Roman" w:hAnsi="Times New Roman" w:cs="Times New Roman"/>
          <w:sz w:val="28"/>
          <w:szCs w:val="28"/>
        </w:rPr>
        <w:t xml:space="preserve">iva entre la norma y el artículo 363 superior, en relación con el principio de irretroactividad, se sustenta con el siguiente silogismo: </w:t>
      </w:r>
    </w:p>
    <w:p w:rsidR="000F6D2E" w:rsidRPr="00EE2FA1" w:rsidRDefault="00EE2FA1" w:rsidP="001940F6">
      <w:pPr>
        <w:pStyle w:val="Prrafodelista"/>
        <w:ind w:left="0"/>
        <w:jc w:val="both"/>
        <w:rPr>
          <w:rFonts w:ascii="Times New Roman" w:hAnsi="Times New Roman" w:cs="Times New Roman"/>
          <w:sz w:val="28"/>
          <w:szCs w:val="28"/>
        </w:rPr>
      </w:pP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 xml:space="preserve">Premisa mayor: inciso 2 del artículo 363 de la Constitución. </w:t>
      </w: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Premisa menor: el numeral 2º del parágrafo 3 del artícu</w:t>
      </w:r>
      <w:r w:rsidRPr="00EE2FA1">
        <w:rPr>
          <w:rFonts w:ascii="Times New Roman" w:hAnsi="Times New Roman" w:cs="Times New Roman"/>
          <w:sz w:val="28"/>
          <w:szCs w:val="28"/>
        </w:rPr>
        <w:t>lo 10 de la Ley 2277 de 2022 dispone que los puntos porcentuales de la sobretasa a los extractores de crudo, definida en enero de cada año, se aplique al año o per</w:t>
      </w:r>
      <w:r w:rsidRPr="00EE2FA1">
        <w:rPr>
          <w:rFonts w:ascii="Times New Roman" w:hAnsi="Times New Roman" w:cs="Times New Roman"/>
          <w:sz w:val="28"/>
          <w:szCs w:val="28"/>
        </w:rPr>
        <w:t>í</w:t>
      </w:r>
      <w:r w:rsidRPr="00EE2FA1">
        <w:rPr>
          <w:rFonts w:ascii="Times New Roman" w:hAnsi="Times New Roman" w:cs="Times New Roman"/>
          <w:sz w:val="28"/>
          <w:szCs w:val="28"/>
        </w:rPr>
        <w:t xml:space="preserve">odo fiscal inmediatamente anterior. </w:t>
      </w: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 xml:space="preserve">Conclusión: la norma viola la Carta porque contiene la aplicación retroactiva de la sobretasa que se define en enero de cada año. </w:t>
      </w:r>
    </w:p>
    <w:p w:rsidR="000F6D2E" w:rsidRPr="00EE2FA1" w:rsidRDefault="00EE2FA1" w:rsidP="001940F6">
      <w:pPr>
        <w:pStyle w:val="Prrafodelista"/>
        <w:ind w:left="0" w:right="56"/>
        <w:jc w:val="both"/>
        <w:rPr>
          <w:rFonts w:ascii="Times New Roman" w:hAnsi="Times New Roman" w:cs="Times New Roman"/>
          <w:sz w:val="28"/>
          <w:szCs w:val="28"/>
        </w:rPr>
      </w:pPr>
    </w:p>
    <w:p w:rsidR="000F6D2E" w:rsidRPr="00EE2FA1" w:rsidRDefault="00EE2FA1" w:rsidP="001940F6">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i/>
          <w:iCs/>
          <w:sz w:val="28"/>
          <w:szCs w:val="28"/>
        </w:rPr>
      </w:pPr>
      <w:r w:rsidRPr="00EE2FA1">
        <w:rPr>
          <w:rFonts w:ascii="Times New Roman" w:hAnsi="Times New Roman" w:cs="Times New Roman"/>
          <w:sz w:val="28"/>
          <w:szCs w:val="28"/>
        </w:rPr>
        <w:t>Sobre el principio de retrospectividad</w:t>
      </w:r>
      <w:r w:rsidRPr="00EE2FA1">
        <w:rPr>
          <w:rStyle w:val="Refdenotaalpie"/>
          <w:rFonts w:ascii="Times New Roman" w:hAnsi="Times New Roman" w:cs="Times New Roman"/>
          <w:sz w:val="28"/>
          <w:szCs w:val="28"/>
        </w:rPr>
        <w:footnoteReference w:id="184"/>
      </w:r>
      <w:r w:rsidRPr="00EE2FA1">
        <w:rPr>
          <w:rFonts w:ascii="Times New Roman" w:hAnsi="Times New Roman" w:cs="Times New Roman"/>
          <w:sz w:val="28"/>
          <w:szCs w:val="28"/>
        </w:rPr>
        <w:t>, present</w:t>
      </w:r>
      <w:r w:rsidRPr="00EE2FA1">
        <w:rPr>
          <w:rFonts w:ascii="Times New Roman" w:hAnsi="Times New Roman" w:cs="Times New Roman"/>
          <w:sz w:val="28"/>
          <w:szCs w:val="28"/>
        </w:rPr>
        <w:t>ó</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la demanda </w:t>
      </w:r>
      <w:r w:rsidRPr="00EE2FA1">
        <w:rPr>
          <w:rFonts w:ascii="Times New Roman" w:hAnsi="Times New Roman" w:cs="Times New Roman"/>
          <w:sz w:val="28"/>
          <w:szCs w:val="28"/>
        </w:rPr>
        <w:t xml:space="preserve">el siguiente silogismo: </w:t>
      </w:r>
    </w:p>
    <w:p w:rsidR="000F6D2E" w:rsidRPr="00EE2FA1" w:rsidRDefault="00EE2FA1" w:rsidP="001940F6">
      <w:pPr>
        <w:pStyle w:val="Prrafodelista"/>
        <w:ind w:left="0" w:right="56"/>
        <w:jc w:val="both"/>
        <w:rPr>
          <w:rFonts w:ascii="Times New Roman" w:hAnsi="Times New Roman" w:cs="Times New Roman"/>
          <w:sz w:val="28"/>
          <w:szCs w:val="28"/>
        </w:rPr>
      </w:pP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Premisa mayor: último inciso del artí</w:t>
      </w:r>
      <w:r w:rsidRPr="00EE2FA1">
        <w:rPr>
          <w:rFonts w:ascii="Times New Roman" w:hAnsi="Times New Roman" w:cs="Times New Roman"/>
          <w:sz w:val="28"/>
          <w:szCs w:val="28"/>
        </w:rPr>
        <w:t xml:space="preserve">culo 338 superior. </w:t>
      </w: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Premisa menor: el numeral 2º del parágrafo 3 del artículo 10 de la Ley 2277 de 2022 dispone que los puntos porcentuales de la sobretasa a los extractores de crudo, definida en enero de cada año, se aplique al año o per</w:t>
      </w:r>
      <w:r w:rsidRPr="00EE2FA1">
        <w:rPr>
          <w:rFonts w:ascii="Times New Roman" w:hAnsi="Times New Roman" w:cs="Times New Roman"/>
          <w:sz w:val="28"/>
          <w:szCs w:val="28"/>
        </w:rPr>
        <w:t>í</w:t>
      </w:r>
      <w:r w:rsidRPr="00EE2FA1">
        <w:rPr>
          <w:rFonts w:ascii="Times New Roman" w:hAnsi="Times New Roman" w:cs="Times New Roman"/>
          <w:sz w:val="28"/>
          <w:szCs w:val="28"/>
        </w:rPr>
        <w:t>odo fiscal inmedi</w:t>
      </w:r>
      <w:r w:rsidRPr="00EE2FA1">
        <w:rPr>
          <w:rFonts w:ascii="Times New Roman" w:hAnsi="Times New Roman" w:cs="Times New Roman"/>
          <w:sz w:val="28"/>
          <w:szCs w:val="28"/>
        </w:rPr>
        <w:t xml:space="preserve">atamente anterior. </w:t>
      </w:r>
    </w:p>
    <w:p w:rsidR="000F6D2E" w:rsidRPr="00EE2FA1" w:rsidRDefault="00EE2FA1" w:rsidP="001940F6">
      <w:pPr>
        <w:pStyle w:val="Prrafodelista"/>
        <w:numPr>
          <w:ilvl w:val="0"/>
          <w:numId w:val="4"/>
        </w:numPr>
        <w:overflowPunct w:val="0"/>
        <w:autoSpaceDE w:val="0"/>
        <w:autoSpaceDN w:val="0"/>
        <w:adjustRightInd w:val="0"/>
        <w:ind w:left="0" w:right="56" w:firstLine="0"/>
        <w:jc w:val="both"/>
        <w:textAlignment w:val="baseline"/>
        <w:rPr>
          <w:rFonts w:ascii="Times New Roman" w:hAnsi="Times New Roman" w:cs="Times New Roman"/>
          <w:sz w:val="28"/>
          <w:szCs w:val="28"/>
        </w:rPr>
      </w:pPr>
      <w:r w:rsidRPr="00EE2FA1">
        <w:rPr>
          <w:rFonts w:ascii="Times New Roman" w:hAnsi="Times New Roman" w:cs="Times New Roman"/>
          <w:sz w:val="28"/>
          <w:szCs w:val="28"/>
        </w:rPr>
        <w:t xml:space="preserve">Conclusión: la norma viola la Carta porque no dispone que la sobretasa, conocida en enero de un determinado año, solo se puede aplicar a partir del año inmediatamente siguiente. </w:t>
      </w:r>
    </w:p>
    <w:p w:rsidR="000F6D2E" w:rsidRPr="00EE2FA1" w:rsidRDefault="00EE2FA1" w:rsidP="001940F6">
      <w:pPr>
        <w:pStyle w:val="Prrafodelista"/>
        <w:ind w:left="0" w:right="56"/>
        <w:jc w:val="both"/>
        <w:rPr>
          <w:rFonts w:ascii="Times New Roman" w:hAnsi="Times New Roman" w:cs="Times New Roman"/>
          <w:i/>
          <w:iCs/>
          <w:sz w:val="28"/>
          <w:szCs w:val="28"/>
        </w:rPr>
      </w:pPr>
    </w:p>
    <w:p w:rsidR="00D068C6" w:rsidRPr="00EE2FA1" w:rsidRDefault="00EE2FA1" w:rsidP="00327008">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i/>
          <w:iCs/>
          <w:sz w:val="28"/>
          <w:szCs w:val="28"/>
        </w:rPr>
      </w:pPr>
      <w:r w:rsidRPr="00EE2FA1">
        <w:rPr>
          <w:rFonts w:ascii="Times New Roman" w:hAnsi="Times New Roman" w:cs="Times New Roman"/>
          <w:i/>
          <w:iCs/>
          <w:sz w:val="28"/>
          <w:szCs w:val="28"/>
        </w:rPr>
        <w:t xml:space="preserve">Cuestión previa. </w:t>
      </w:r>
      <w:r w:rsidRPr="00EE2FA1">
        <w:rPr>
          <w:rFonts w:ascii="Times New Roman" w:hAnsi="Times New Roman" w:cs="Times New Roman"/>
          <w:sz w:val="28"/>
          <w:szCs w:val="28"/>
        </w:rPr>
        <w:t xml:space="preserve">La Sala </w:t>
      </w:r>
      <w:r w:rsidRPr="00EE2FA1">
        <w:rPr>
          <w:rFonts w:ascii="Times New Roman" w:hAnsi="Times New Roman" w:cs="Times New Roman"/>
          <w:sz w:val="28"/>
          <w:szCs w:val="28"/>
        </w:rPr>
        <w:t>Plena encuentra</w:t>
      </w:r>
      <w:r w:rsidRPr="00EE2FA1">
        <w:rPr>
          <w:rFonts w:ascii="Times New Roman" w:hAnsi="Times New Roman" w:cs="Times New Roman"/>
          <w:sz w:val="28"/>
          <w:szCs w:val="28"/>
        </w:rPr>
        <w:t>, en ejercicio d</w:t>
      </w:r>
      <w:r w:rsidRPr="00EE2FA1">
        <w:rPr>
          <w:rFonts w:ascii="Times New Roman" w:hAnsi="Times New Roman" w:cs="Times New Roman"/>
          <w:sz w:val="28"/>
          <w:szCs w:val="28"/>
        </w:rPr>
        <w:t>e su facultad propia de evaluar las condiciones de aptitud al momento de proferir sentencia</w:t>
      </w:r>
      <w:r w:rsidRPr="00EE2FA1">
        <w:rPr>
          <w:rStyle w:val="Refdenotaalpie"/>
          <w:rFonts w:ascii="Times New Roman" w:hAnsi="Times New Roman" w:cs="Times New Roman"/>
          <w:sz w:val="28"/>
          <w:szCs w:val="28"/>
        </w:rPr>
        <w:footnoteReference w:id="185"/>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que en este cargo </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e presenta una ineptitud parcial en relación con la censura fundada en el desconocimiento </w:t>
      </w:r>
      <w:r w:rsidRPr="00EE2FA1">
        <w:rPr>
          <w:rFonts w:ascii="Times New Roman" w:hAnsi="Times New Roman" w:cs="Times New Roman"/>
          <w:sz w:val="28"/>
          <w:szCs w:val="28"/>
        </w:rPr>
        <w:t>del principio de</w:t>
      </w:r>
      <w:r w:rsidRPr="00EE2FA1">
        <w:rPr>
          <w:rFonts w:ascii="Times New Roman" w:hAnsi="Times New Roman" w:cs="Times New Roman"/>
          <w:sz w:val="28"/>
          <w:szCs w:val="28"/>
        </w:rPr>
        <w:t xml:space="preserve"> retrospectividad</w:t>
      </w:r>
      <w:r w:rsidRPr="00EE2FA1">
        <w:rPr>
          <w:rFonts w:ascii="Times New Roman" w:hAnsi="Times New Roman" w:cs="Times New Roman"/>
          <w:sz w:val="28"/>
          <w:szCs w:val="28"/>
        </w:rPr>
        <w:t>, conocido por la do</w:t>
      </w:r>
      <w:r w:rsidRPr="00EE2FA1">
        <w:rPr>
          <w:rFonts w:ascii="Times New Roman" w:hAnsi="Times New Roman" w:cs="Times New Roman"/>
          <w:sz w:val="28"/>
          <w:szCs w:val="28"/>
        </w:rPr>
        <w:t>ctrina como de retroactividad impropia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En concreto, se advierte falta de</w:t>
      </w:r>
      <w:r w:rsidRPr="00EE2FA1">
        <w:rPr>
          <w:rFonts w:ascii="Times New Roman" w:hAnsi="Times New Roman" w:cs="Times New Roman"/>
          <w:sz w:val="28"/>
          <w:szCs w:val="28"/>
        </w:rPr>
        <w:t xml:space="preserve"> </w:t>
      </w:r>
      <w:r w:rsidRPr="00EE2FA1">
        <w:rPr>
          <w:rFonts w:ascii="Times New Roman" w:hAnsi="Times New Roman" w:cs="Times New Roman"/>
          <w:i/>
          <w:iCs/>
          <w:sz w:val="28"/>
          <w:szCs w:val="28"/>
        </w:rPr>
        <w:t>claridad</w:t>
      </w:r>
      <w:r w:rsidRPr="00EE2FA1">
        <w:rPr>
          <w:rFonts w:ascii="Times New Roman" w:hAnsi="Times New Roman" w:cs="Times New Roman"/>
          <w:sz w:val="28"/>
          <w:szCs w:val="28"/>
        </w:rPr>
        <w:t xml:space="preserve"> porque la argumentación de esta censura se corresponde a la presentada para el reproche </w:t>
      </w:r>
      <w:r w:rsidRPr="00EE2FA1">
        <w:rPr>
          <w:rFonts w:ascii="Times New Roman" w:hAnsi="Times New Roman" w:cs="Times New Roman"/>
          <w:sz w:val="28"/>
          <w:szCs w:val="28"/>
        </w:rPr>
        <w:t xml:space="preserve">por </w:t>
      </w:r>
      <w:r w:rsidRPr="00EE2FA1">
        <w:rPr>
          <w:rFonts w:ascii="Times New Roman" w:hAnsi="Times New Roman" w:cs="Times New Roman"/>
          <w:sz w:val="28"/>
          <w:szCs w:val="28"/>
        </w:rPr>
        <w:t>aplicación retroactiva de la norma acusada</w:t>
      </w:r>
      <w:r w:rsidRPr="00EE2FA1">
        <w:rPr>
          <w:rFonts w:ascii="Times New Roman" w:hAnsi="Times New Roman" w:cs="Times New Roman"/>
          <w:sz w:val="28"/>
          <w:szCs w:val="28"/>
        </w:rPr>
        <w:t xml:space="preserve">, en cuanto </w:t>
      </w:r>
      <w:r w:rsidRPr="00EE2FA1">
        <w:rPr>
          <w:rFonts w:ascii="Times New Roman" w:hAnsi="Times New Roman" w:cs="Times New Roman"/>
          <w:sz w:val="28"/>
          <w:szCs w:val="28"/>
        </w:rPr>
        <w:t xml:space="preserve">que los puntos porcentuales de la sobretarifa que se definen en enero se aplique al año o periodo fiscal anterior. También, está ausente la </w:t>
      </w:r>
      <w:r w:rsidRPr="00EE2FA1">
        <w:rPr>
          <w:rFonts w:ascii="Times New Roman" w:hAnsi="Times New Roman" w:cs="Times New Roman"/>
          <w:i/>
          <w:iCs/>
          <w:sz w:val="28"/>
          <w:szCs w:val="28"/>
        </w:rPr>
        <w:t>especificidad</w:t>
      </w:r>
      <w:r w:rsidRPr="00EE2FA1">
        <w:rPr>
          <w:rFonts w:ascii="Times New Roman" w:hAnsi="Times New Roman" w:cs="Times New Roman"/>
          <w:sz w:val="28"/>
          <w:szCs w:val="28"/>
        </w:rPr>
        <w:t xml:space="preserve"> porque no </w:t>
      </w:r>
      <w:r w:rsidRPr="00EE2FA1">
        <w:rPr>
          <w:rFonts w:ascii="Times New Roman" w:hAnsi="Times New Roman" w:cs="Times New Roman"/>
          <w:sz w:val="28"/>
          <w:szCs w:val="28"/>
        </w:rPr>
        <w:t xml:space="preserve">se </w:t>
      </w:r>
      <w:r w:rsidRPr="00EE2FA1">
        <w:rPr>
          <w:rFonts w:ascii="Times New Roman" w:hAnsi="Times New Roman" w:cs="Times New Roman"/>
          <w:sz w:val="28"/>
          <w:szCs w:val="28"/>
        </w:rPr>
        <w:t>expuso si la retrospectividad configura un parámetro de control constitucional</w:t>
      </w:r>
      <w:r w:rsidRPr="00EE2FA1">
        <w:rPr>
          <w:rFonts w:ascii="Times New Roman" w:hAnsi="Times New Roman" w:cs="Times New Roman"/>
          <w:sz w:val="28"/>
          <w:szCs w:val="28"/>
        </w:rPr>
        <w:t xml:space="preserve"> en materia</w:t>
      </w:r>
      <w:r w:rsidRPr="00EE2FA1">
        <w:rPr>
          <w:rFonts w:ascii="Times New Roman" w:hAnsi="Times New Roman" w:cs="Times New Roman"/>
          <w:sz w:val="28"/>
          <w:szCs w:val="28"/>
        </w:rPr>
        <w:t xml:space="preserve"> tributaria independiente o es una dimensión del principio de irretroactividad. De igual forma, </w:t>
      </w:r>
      <w:r w:rsidRPr="00EE2FA1">
        <w:rPr>
          <w:rFonts w:ascii="Times New Roman" w:hAnsi="Times New Roman" w:cs="Times New Roman"/>
          <w:sz w:val="28"/>
          <w:szCs w:val="28"/>
        </w:rPr>
        <w:t xml:space="preserve">adolece de </w:t>
      </w:r>
      <w:r w:rsidRPr="00EE2FA1">
        <w:rPr>
          <w:rFonts w:ascii="Times New Roman" w:hAnsi="Times New Roman" w:cs="Times New Roman"/>
          <w:i/>
          <w:iCs/>
          <w:sz w:val="28"/>
          <w:szCs w:val="28"/>
        </w:rPr>
        <w:t>c</w:t>
      </w:r>
      <w:r w:rsidRPr="00EE2FA1">
        <w:rPr>
          <w:rFonts w:ascii="Times New Roman" w:hAnsi="Times New Roman" w:cs="Times New Roman"/>
          <w:i/>
          <w:iCs/>
          <w:sz w:val="28"/>
          <w:szCs w:val="28"/>
        </w:rPr>
        <w:t>erteza</w:t>
      </w:r>
      <w:r w:rsidRPr="00EE2FA1">
        <w:rPr>
          <w:rFonts w:ascii="Times New Roman" w:hAnsi="Times New Roman" w:cs="Times New Roman"/>
          <w:sz w:val="28"/>
          <w:szCs w:val="28"/>
        </w:rPr>
        <w:t xml:space="preserve"> porque de la estructura de la sobretarifa no se advierte </w:t>
      </w:r>
      <w:r w:rsidRPr="00EE2FA1">
        <w:rPr>
          <w:rFonts w:ascii="Times New Roman" w:hAnsi="Times New Roman" w:cs="Times New Roman"/>
          <w:i/>
          <w:iCs/>
          <w:sz w:val="28"/>
          <w:szCs w:val="28"/>
        </w:rPr>
        <w:t>prima facie</w:t>
      </w:r>
      <w:r w:rsidRPr="00EE2FA1">
        <w:rPr>
          <w:rFonts w:ascii="Times New Roman" w:hAnsi="Times New Roman" w:cs="Times New Roman"/>
          <w:sz w:val="28"/>
          <w:szCs w:val="28"/>
        </w:rPr>
        <w:t>, que la medida se aplique a situaciones jurídicas que no se han consolid</w:t>
      </w:r>
      <w:r w:rsidRPr="00EE2FA1">
        <w:rPr>
          <w:rFonts w:ascii="Times New Roman" w:hAnsi="Times New Roman" w:cs="Times New Roman"/>
          <w:sz w:val="28"/>
          <w:szCs w:val="28"/>
        </w:rPr>
        <w:t>ado</w:t>
      </w:r>
      <w:r w:rsidRPr="00EE2FA1">
        <w:rPr>
          <w:rFonts w:ascii="Times New Roman" w:hAnsi="Times New Roman" w:cs="Times New Roman"/>
          <w:sz w:val="28"/>
          <w:szCs w:val="28"/>
        </w:rPr>
        <w:t>; en efecto, se alude a este principio para señalar que la medida que se aplique con base en la definición de la ANH en enero de una anualidad debería hacerse efectiva en el año siguiente y ni siquiera cubrir esa misma anualidad, no obstante la norma no</w:t>
      </w:r>
      <w:r w:rsidRPr="00EE2FA1">
        <w:rPr>
          <w:rFonts w:ascii="Times New Roman" w:hAnsi="Times New Roman" w:cs="Times New Roman"/>
          <w:sz w:val="28"/>
          <w:szCs w:val="28"/>
        </w:rPr>
        <w:t xml:space="preserve"> contiene ese efecto, pues su impacto se ordena respecto al período anual gravable del año previo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A lo anterior se suma la falta de </w:t>
      </w:r>
      <w:r w:rsidRPr="00EE2FA1">
        <w:rPr>
          <w:rFonts w:ascii="Times New Roman" w:hAnsi="Times New Roman" w:cs="Times New Roman"/>
          <w:i/>
          <w:iCs/>
          <w:sz w:val="28"/>
          <w:szCs w:val="28"/>
        </w:rPr>
        <w:t>suficiencia</w:t>
      </w:r>
      <w:r w:rsidRPr="00EE2FA1">
        <w:rPr>
          <w:rFonts w:ascii="Times New Roman" w:hAnsi="Times New Roman" w:cs="Times New Roman"/>
          <w:sz w:val="28"/>
          <w:szCs w:val="28"/>
        </w:rPr>
        <w:t>, porque la accionante no aportó las razones que logren generar una duda mínima y razonable sobre la constitucio</w:t>
      </w:r>
      <w:r w:rsidRPr="00EE2FA1">
        <w:rPr>
          <w:rFonts w:ascii="Times New Roman" w:hAnsi="Times New Roman" w:cs="Times New Roman"/>
          <w:sz w:val="28"/>
          <w:szCs w:val="28"/>
        </w:rPr>
        <w:t xml:space="preserve">nalidad de la norma por el presunto desconocimiento de la retrospectividad tributaria. </w:t>
      </w:r>
      <w:r w:rsidRPr="00EE2FA1">
        <w:rPr>
          <w:rFonts w:ascii="Times New Roman" w:hAnsi="Times New Roman" w:cs="Times New Roman"/>
          <w:sz w:val="28"/>
          <w:szCs w:val="28"/>
        </w:rPr>
        <w:t xml:space="preserve">Por tal razón, procede una decisión inhibitoria en relación con este reproche.  </w:t>
      </w:r>
    </w:p>
    <w:p w:rsidR="00D068C6" w:rsidRPr="00EE2FA1" w:rsidRDefault="00EE2FA1" w:rsidP="00D068C6">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i/>
          <w:iCs/>
          <w:sz w:val="28"/>
          <w:szCs w:val="28"/>
        </w:rPr>
      </w:pPr>
    </w:p>
    <w:p w:rsidR="007A0D92" w:rsidRPr="00EE2FA1" w:rsidRDefault="00EE2FA1" w:rsidP="007A0D92">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i/>
          <w:iCs/>
          <w:sz w:val="28"/>
          <w:szCs w:val="28"/>
        </w:rPr>
      </w:pPr>
      <w:r w:rsidRPr="00EE2FA1">
        <w:rPr>
          <w:rFonts w:ascii="Times New Roman" w:hAnsi="Times New Roman" w:cs="Times New Roman"/>
          <w:i/>
          <w:iCs/>
          <w:sz w:val="28"/>
          <w:szCs w:val="28"/>
        </w:rPr>
        <w:t xml:space="preserve">Problema jurídico. </w:t>
      </w:r>
      <w:r w:rsidRPr="00EE2FA1">
        <w:rPr>
          <w:rFonts w:ascii="Times New Roman" w:hAnsi="Times New Roman" w:cs="Times New Roman"/>
          <w:sz w:val="28"/>
          <w:szCs w:val="28"/>
        </w:rPr>
        <w:t xml:space="preserve">La Sala Plena debe resolver ¿si el parágrafo 3 (parcial) del artículo 10 de la Ley 2277 de 2022 </w:t>
      </w:r>
      <w:r w:rsidRPr="00EE2FA1">
        <w:rPr>
          <w:rFonts w:ascii="Times New Roman" w:hAnsi="Times New Roman" w:cs="Times New Roman"/>
          <w:sz w:val="28"/>
          <w:szCs w:val="28"/>
        </w:rPr>
        <w:t xml:space="preserve">vulnera </w:t>
      </w:r>
      <w:r w:rsidRPr="00EE2FA1">
        <w:rPr>
          <w:rFonts w:ascii="Times New Roman" w:hAnsi="Times New Roman" w:cs="Times New Roman"/>
          <w:sz w:val="28"/>
          <w:szCs w:val="28"/>
        </w:rPr>
        <w:t>el</w:t>
      </w:r>
      <w:r w:rsidRPr="00EE2FA1">
        <w:rPr>
          <w:rFonts w:ascii="Times New Roman" w:hAnsi="Times New Roman" w:cs="Times New Roman"/>
          <w:sz w:val="28"/>
          <w:szCs w:val="28"/>
        </w:rPr>
        <w:t xml:space="preserve"> principio de </w:t>
      </w:r>
      <w:r w:rsidRPr="00EE2FA1">
        <w:rPr>
          <w:rFonts w:ascii="Times New Roman" w:hAnsi="Times New Roman" w:cs="Times New Roman"/>
          <w:sz w:val="28"/>
          <w:szCs w:val="28"/>
        </w:rPr>
        <w:t>irretroactividad</w:t>
      </w:r>
      <w:r w:rsidRPr="00EE2FA1">
        <w:rPr>
          <w:rFonts w:ascii="Times New Roman" w:hAnsi="Times New Roman" w:cs="Times New Roman"/>
          <w:sz w:val="28"/>
          <w:szCs w:val="28"/>
        </w:rPr>
        <w:t xml:space="preserve"> de la ley tributaria</w:t>
      </w:r>
      <w:r w:rsidRPr="00EE2FA1">
        <w:rPr>
          <w:rFonts w:ascii="Times New Roman" w:hAnsi="Times New Roman" w:cs="Times New Roman"/>
          <w:sz w:val="28"/>
          <w:szCs w:val="28"/>
        </w:rPr>
        <w:t xml:space="preserve"> (artículo</w:t>
      </w:r>
      <w:r w:rsidRPr="00EE2FA1">
        <w:rPr>
          <w:rFonts w:ascii="Times New Roman" w:hAnsi="Times New Roman" w:cs="Times New Roman"/>
          <w:sz w:val="28"/>
          <w:szCs w:val="28"/>
        </w:rPr>
        <w:t xml:space="preserve"> 363</w:t>
      </w:r>
      <w:r w:rsidRPr="00EE2FA1">
        <w:rPr>
          <w:rFonts w:ascii="Times New Roman" w:hAnsi="Times New Roman" w:cs="Times New Roman"/>
          <w:sz w:val="28"/>
          <w:szCs w:val="28"/>
        </w:rPr>
        <w:t xml:space="preserve"> de la </w:t>
      </w:r>
      <w:r w:rsidRPr="00EE2FA1">
        <w:rPr>
          <w:rFonts w:ascii="Times New Roman" w:hAnsi="Times New Roman" w:cs="Times New Roman"/>
          <w:sz w:val="28"/>
          <w:szCs w:val="28"/>
        </w:rPr>
        <w:t>Constitución</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al permitir que</w:t>
      </w:r>
      <w:r w:rsidRPr="00EE2FA1">
        <w:rPr>
          <w:rFonts w:ascii="Times New Roman" w:hAnsi="Times New Roman" w:cs="Times New Roman"/>
          <w:sz w:val="28"/>
          <w:szCs w:val="28"/>
        </w:rPr>
        <w:t xml:space="preserve"> dentro de la estructura de un impuesto de periodo </w:t>
      </w:r>
      <w:r w:rsidRPr="00EE2FA1">
        <w:rPr>
          <w:rFonts w:ascii="Times New Roman" w:hAnsi="Times New Roman" w:cs="Times New Roman"/>
          <w:sz w:val="28"/>
          <w:szCs w:val="28"/>
        </w:rPr>
        <w:t xml:space="preserve">se tenga </w:t>
      </w:r>
      <w:r w:rsidRPr="00EE2FA1">
        <w:rPr>
          <w:rFonts w:ascii="Times New Roman" w:hAnsi="Times New Roman" w:cs="Times New Roman"/>
          <w:sz w:val="28"/>
          <w:szCs w:val="28"/>
        </w:rPr>
        <w:t>en cuenta para la determinación de la obligación tributaria información suministrada por fuera del periodo correspondiente</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afectando</w:t>
      </w:r>
      <w:r w:rsidRPr="00EE2FA1">
        <w:rPr>
          <w:rFonts w:ascii="Times New Roman" w:hAnsi="Times New Roman" w:cs="Times New Roman"/>
          <w:sz w:val="28"/>
          <w:szCs w:val="28"/>
        </w:rPr>
        <w:t xml:space="preserve"> situaciones de la vigencia anterior</w:t>
      </w:r>
      <w:r w:rsidRPr="00EE2FA1">
        <w:rPr>
          <w:rFonts w:ascii="Times New Roman" w:hAnsi="Times New Roman" w:cs="Times New Roman"/>
          <w:sz w:val="28"/>
          <w:szCs w:val="28"/>
        </w:rPr>
        <w:t xml:space="preserve"> y sin que los sujetos pasi</w:t>
      </w:r>
      <w:r w:rsidRPr="00EE2FA1">
        <w:rPr>
          <w:rFonts w:ascii="Times New Roman" w:hAnsi="Times New Roman" w:cs="Times New Roman"/>
          <w:sz w:val="28"/>
          <w:szCs w:val="28"/>
        </w:rPr>
        <w:t>vos puedan conocer un elemento de la obligación tributaria</w:t>
      </w:r>
      <w:r w:rsidRPr="00EE2FA1">
        <w:rPr>
          <w:rFonts w:ascii="Times New Roman" w:hAnsi="Times New Roman" w:cs="Times New Roman"/>
          <w:sz w:val="28"/>
          <w:szCs w:val="28"/>
        </w:rPr>
        <w:t>?</w:t>
      </w:r>
    </w:p>
    <w:p w:rsidR="0006185A" w:rsidRPr="00EE2FA1" w:rsidRDefault="00EE2FA1" w:rsidP="0006185A">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i/>
          <w:iCs/>
          <w:sz w:val="28"/>
          <w:szCs w:val="28"/>
        </w:rPr>
      </w:pPr>
    </w:p>
    <w:p w:rsidR="007A0D92" w:rsidRPr="00EE2FA1" w:rsidRDefault="00EE2FA1" w:rsidP="001940F6">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i/>
          <w:iCs/>
          <w:sz w:val="28"/>
          <w:szCs w:val="28"/>
        </w:rPr>
      </w:pPr>
      <w:r w:rsidRPr="00EE2FA1">
        <w:rPr>
          <w:rFonts w:ascii="Times New Roman" w:hAnsi="Times New Roman" w:cs="Times New Roman"/>
          <w:i/>
          <w:iCs/>
          <w:sz w:val="28"/>
          <w:szCs w:val="28"/>
        </w:rPr>
        <w:t xml:space="preserve">Metodología. </w:t>
      </w:r>
      <w:r w:rsidRPr="00EE2FA1">
        <w:rPr>
          <w:rFonts w:ascii="Times New Roman" w:hAnsi="Times New Roman" w:cs="Times New Roman"/>
          <w:sz w:val="28"/>
          <w:szCs w:val="28"/>
        </w:rPr>
        <w:t xml:space="preserve">Para dar respuesta al problema jurídico planteado, la Sala </w:t>
      </w:r>
      <w:r w:rsidRPr="00EE2FA1">
        <w:rPr>
          <w:rFonts w:ascii="Times New Roman" w:hAnsi="Times New Roman" w:cs="Times New Roman"/>
          <w:sz w:val="28"/>
          <w:szCs w:val="28"/>
        </w:rPr>
        <w:t xml:space="preserve">(i) </w:t>
      </w:r>
      <w:r w:rsidRPr="00EE2FA1">
        <w:rPr>
          <w:rFonts w:ascii="Times New Roman" w:hAnsi="Times New Roman" w:cs="Times New Roman"/>
          <w:sz w:val="28"/>
          <w:szCs w:val="28"/>
        </w:rPr>
        <w:t>referirá</w:t>
      </w:r>
      <w:r w:rsidRPr="00EE2FA1">
        <w:rPr>
          <w:rFonts w:ascii="Times New Roman" w:hAnsi="Times New Roman" w:cs="Times New Roman"/>
          <w:sz w:val="28"/>
          <w:szCs w:val="28"/>
        </w:rPr>
        <w:t xml:space="preserve"> el</w:t>
      </w:r>
      <w:r w:rsidRPr="00EE2FA1">
        <w:rPr>
          <w:rFonts w:ascii="Times New Roman" w:hAnsi="Times New Roman" w:cs="Times New Roman"/>
          <w:sz w:val="28"/>
          <w:szCs w:val="28"/>
        </w:rPr>
        <w:t xml:space="preserve"> principio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de irretroactividad en materia </w:t>
      </w:r>
      <w:r w:rsidRPr="00EE2FA1">
        <w:rPr>
          <w:rFonts w:ascii="Times New Roman" w:hAnsi="Times New Roman" w:cs="Times New Roman"/>
          <w:sz w:val="28"/>
          <w:szCs w:val="28"/>
        </w:rPr>
        <w:t xml:space="preserve">tributaria </w:t>
      </w:r>
      <w:r w:rsidRPr="00EE2FA1">
        <w:rPr>
          <w:rFonts w:ascii="Times New Roman" w:hAnsi="Times New Roman" w:cs="Times New Roman"/>
          <w:sz w:val="28"/>
          <w:szCs w:val="28"/>
        </w:rPr>
        <w:t xml:space="preserve">y luego </w:t>
      </w:r>
      <w:r w:rsidRPr="00EE2FA1">
        <w:rPr>
          <w:rFonts w:ascii="Times New Roman" w:hAnsi="Times New Roman" w:cs="Times New Roman"/>
          <w:sz w:val="28"/>
          <w:szCs w:val="28"/>
        </w:rPr>
        <w:t xml:space="preserve">(ii) </w:t>
      </w:r>
      <w:r w:rsidRPr="00EE2FA1">
        <w:rPr>
          <w:rFonts w:ascii="Times New Roman" w:hAnsi="Times New Roman" w:cs="Times New Roman"/>
          <w:sz w:val="28"/>
          <w:szCs w:val="28"/>
        </w:rPr>
        <w:t xml:space="preserve">analizará el caso concreto. </w:t>
      </w:r>
    </w:p>
    <w:p w:rsidR="007A0D92" w:rsidRPr="00EE2FA1" w:rsidRDefault="00EE2FA1" w:rsidP="007A0D92">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i/>
          <w:iCs/>
          <w:sz w:val="28"/>
          <w:szCs w:val="28"/>
        </w:rPr>
      </w:pPr>
    </w:p>
    <w:p w:rsidR="007A0D92" w:rsidRPr="00EE2FA1" w:rsidRDefault="00EE2FA1" w:rsidP="007A0D92">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b/>
          <w:bCs/>
          <w:sz w:val="28"/>
          <w:szCs w:val="28"/>
        </w:rPr>
      </w:pPr>
      <w:r w:rsidRPr="00EE2FA1">
        <w:rPr>
          <w:rFonts w:ascii="Times New Roman" w:hAnsi="Times New Roman" w:cs="Times New Roman"/>
          <w:b/>
          <w:bCs/>
          <w:sz w:val="28"/>
          <w:szCs w:val="28"/>
        </w:rPr>
        <w:t xml:space="preserve">La irretroactividad de la </w:t>
      </w:r>
      <w:r w:rsidRPr="00EE2FA1">
        <w:rPr>
          <w:rFonts w:ascii="Times New Roman" w:hAnsi="Times New Roman" w:cs="Times New Roman"/>
          <w:b/>
          <w:bCs/>
          <w:sz w:val="28"/>
          <w:szCs w:val="28"/>
        </w:rPr>
        <w:t xml:space="preserve">potestad </w:t>
      </w:r>
      <w:r w:rsidRPr="00EE2FA1">
        <w:rPr>
          <w:rFonts w:ascii="Times New Roman" w:hAnsi="Times New Roman" w:cs="Times New Roman"/>
          <w:b/>
          <w:bCs/>
          <w:sz w:val="28"/>
          <w:szCs w:val="28"/>
        </w:rPr>
        <w:t>tributaria</w:t>
      </w:r>
    </w:p>
    <w:p w:rsidR="007A0D92" w:rsidRPr="00EE2FA1" w:rsidRDefault="00EE2FA1" w:rsidP="007A0D92">
      <w:pPr>
        <w:pStyle w:val="Prrafodelista"/>
        <w:tabs>
          <w:tab w:val="left" w:pos="426"/>
          <w:tab w:val="left" w:pos="567"/>
        </w:tabs>
        <w:overflowPunct w:val="0"/>
        <w:autoSpaceDE w:val="0"/>
        <w:autoSpaceDN w:val="0"/>
        <w:adjustRightInd w:val="0"/>
        <w:spacing w:line="0" w:lineRule="atLeast"/>
        <w:ind w:left="0" w:right="56"/>
        <w:jc w:val="both"/>
        <w:textAlignment w:val="baseline"/>
        <w:rPr>
          <w:rFonts w:ascii="Times New Roman" w:hAnsi="Times New Roman" w:cs="Times New Roman"/>
          <w:i/>
          <w:iCs/>
          <w:sz w:val="28"/>
          <w:szCs w:val="28"/>
        </w:rPr>
      </w:pPr>
    </w:p>
    <w:p w:rsidR="00340A81" w:rsidRPr="00EE2FA1" w:rsidRDefault="00EE2FA1" w:rsidP="002A378C">
      <w:pPr>
        <w:pStyle w:val="Prrafodelista"/>
        <w:numPr>
          <w:ilvl w:val="0"/>
          <w:numId w:val="1"/>
        </w:numPr>
        <w:tabs>
          <w:tab w:val="left" w:pos="426"/>
          <w:tab w:val="left" w:pos="567"/>
        </w:tabs>
        <w:overflowPunct w:val="0"/>
        <w:autoSpaceDE w:val="0"/>
        <w:autoSpaceDN w:val="0"/>
        <w:adjustRightInd w:val="0"/>
        <w:spacing w:line="0" w:lineRule="atLeast"/>
        <w:ind w:left="0" w:right="56" w:firstLine="0"/>
        <w:jc w:val="both"/>
        <w:textAlignment w:val="baseline"/>
        <w:rPr>
          <w:rFonts w:ascii="Times New Roman" w:hAnsi="Times New Roman" w:cs="Times New Roman"/>
          <w:i/>
          <w:iCs/>
          <w:sz w:val="28"/>
          <w:szCs w:val="28"/>
        </w:rPr>
      </w:pPr>
      <w:r w:rsidRPr="00EE2FA1">
        <w:rPr>
          <w:rFonts w:ascii="Times New Roman" w:hAnsi="Times New Roman" w:cs="Times New Roman"/>
          <w:sz w:val="28"/>
          <w:szCs w:val="28"/>
        </w:rPr>
        <w:t xml:space="preserve">El Congreso goza de un amplio poder de configuración para desarrollar la política tributaria del Estado y establecer contribuciones fiscales y parafiscales. Sin embargo, la jurisprudencia también ha advertido </w:t>
      </w:r>
      <w:r w:rsidRPr="00EE2FA1">
        <w:rPr>
          <w:rFonts w:ascii="Times New Roman" w:hAnsi="Times New Roman" w:cs="Times New Roman"/>
          <w:sz w:val="28"/>
          <w:szCs w:val="28"/>
        </w:rPr>
        <w:t>que no se trata de una potestad absoluta carente de límites, pues se somete, por una parte, al acatamiento de los principios de razonabilidad y proporcionalidad; y, por la otra, al deber de desarrollar el sistema tributario con sujeción a los principios de</w:t>
      </w:r>
      <w:r w:rsidRPr="00EE2FA1">
        <w:rPr>
          <w:rFonts w:ascii="Times New Roman" w:hAnsi="Times New Roman" w:cs="Times New Roman"/>
          <w:sz w:val="28"/>
          <w:szCs w:val="28"/>
        </w:rPr>
        <w:t xml:space="preserve"> igualdad, legalidad, certeza, justicia, equidad, eficiencia, irretroactividad, confianza legítima, buena fe y progresividad</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regulados en los artículos 13, 83, 95, 338 y 363 del texto superior</w:t>
      </w:r>
      <w:r w:rsidRPr="00EE2FA1">
        <w:rPr>
          <w:rStyle w:val="Refdenotaalpie"/>
          <w:rFonts w:ascii="Times New Roman" w:hAnsi="Times New Roman" w:cs="Times New Roman"/>
          <w:sz w:val="28"/>
          <w:szCs w:val="28"/>
        </w:rPr>
        <w:footnoteReference w:id="186"/>
      </w:r>
      <w:r w:rsidRPr="00EE2FA1">
        <w:rPr>
          <w:rFonts w:ascii="Times New Roman" w:hAnsi="Times New Roman" w:cs="Times New Roman"/>
          <w:sz w:val="28"/>
          <w:szCs w:val="28"/>
        </w:rPr>
        <w:t>. Por la pertinencia para este caso, las consideraciones sigui</w:t>
      </w:r>
      <w:r w:rsidRPr="00EE2FA1">
        <w:rPr>
          <w:rFonts w:ascii="Times New Roman" w:hAnsi="Times New Roman" w:cs="Times New Roman"/>
          <w:sz w:val="28"/>
          <w:szCs w:val="28"/>
        </w:rPr>
        <w:t>entes se enfocarán en el principio de irretroactividad.</w:t>
      </w:r>
    </w:p>
    <w:p w:rsidR="00340A81" w:rsidRPr="00EE2FA1" w:rsidRDefault="00EE2FA1" w:rsidP="00340A81">
      <w:pPr>
        <w:tabs>
          <w:tab w:val="left" w:pos="426"/>
        </w:tabs>
        <w:spacing w:line="0" w:lineRule="atLeast"/>
        <w:jc w:val="both"/>
        <w:rPr>
          <w:rFonts w:ascii="Times New Roman" w:eastAsia="Calibri" w:hAnsi="Times New Roman" w:cs="Times New Roman"/>
          <w:sz w:val="28"/>
          <w:szCs w:val="28"/>
          <w:lang w:eastAsia="es-ES"/>
        </w:rPr>
      </w:pPr>
    </w:p>
    <w:p w:rsidR="00340A81" w:rsidRPr="00EE2FA1" w:rsidRDefault="00EE2FA1" w:rsidP="00340A81">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El artículo 363 superior consagra como uno de los principios del sistema tributario la irretroactividad, al prohibir la aplicación retroactiva de las leyes tributarias. Como complemento de lo </w:t>
      </w:r>
      <w:r w:rsidRPr="00EE2FA1">
        <w:rPr>
          <w:rFonts w:ascii="Times New Roman" w:eastAsia="Calibri" w:hAnsi="Times New Roman" w:cs="Times New Roman"/>
          <w:sz w:val="28"/>
          <w:szCs w:val="28"/>
          <w:lang w:eastAsia="es-ES"/>
        </w:rPr>
        <w:t>anterior, el artículo 338 concreta este principio al establecer que “[l]as leyes, ordenanzas o acuerdos que regulen contribuciones en las que la base sea el resultado de hechos ocurridos durante un período determinado, no pueden aplicarse sino partir del p</w:t>
      </w:r>
      <w:r w:rsidRPr="00EE2FA1">
        <w:rPr>
          <w:rFonts w:ascii="Times New Roman" w:eastAsia="Calibri" w:hAnsi="Times New Roman" w:cs="Times New Roman"/>
          <w:sz w:val="28"/>
          <w:szCs w:val="28"/>
          <w:lang w:eastAsia="es-ES"/>
        </w:rPr>
        <w:t>eríodo que comience después de iniciar la vigencia de la respectiva ley, ordenanza o acuerdo”. La Corte ha hecho dos precisiones sobre este precepto constitucional. El artículo 338, inciso 3.° es aplicable, no solo a contribuciones en sentido estricto, sin</w:t>
      </w:r>
      <w:r w:rsidRPr="00EE2FA1">
        <w:rPr>
          <w:rFonts w:ascii="Times New Roman" w:eastAsia="Calibri" w:hAnsi="Times New Roman" w:cs="Times New Roman"/>
          <w:sz w:val="28"/>
          <w:szCs w:val="28"/>
          <w:lang w:eastAsia="es-ES"/>
        </w:rPr>
        <w:t>o además a los impuestos. En particular, este tribunal ha dicho explícitamente que el impuesto sobre la renta y complementarios está sujeto a la prohibición contenida en esa norma constitucional</w:t>
      </w:r>
      <w:r w:rsidRPr="00EE2FA1">
        <w:rPr>
          <w:rStyle w:val="Refdenotaalpie"/>
          <w:rFonts w:ascii="Times New Roman" w:eastAsia="Calibri" w:hAnsi="Times New Roman" w:cs="Times New Roman"/>
          <w:sz w:val="28"/>
          <w:szCs w:val="28"/>
          <w:lang w:eastAsia="es-ES"/>
        </w:rPr>
        <w:footnoteReference w:id="187"/>
      </w:r>
      <w:r w:rsidRPr="00EE2FA1">
        <w:rPr>
          <w:rFonts w:ascii="Times New Roman" w:eastAsia="Calibri" w:hAnsi="Times New Roman" w:cs="Times New Roman"/>
          <w:sz w:val="28"/>
          <w:szCs w:val="28"/>
          <w:lang w:eastAsia="es-ES"/>
        </w:rPr>
        <w:t>. Además, el período al que se refiere la prohibición de irre</w:t>
      </w:r>
      <w:r w:rsidRPr="00EE2FA1">
        <w:rPr>
          <w:rFonts w:ascii="Times New Roman" w:eastAsia="Calibri" w:hAnsi="Times New Roman" w:cs="Times New Roman"/>
          <w:sz w:val="28"/>
          <w:szCs w:val="28"/>
          <w:lang w:eastAsia="es-ES"/>
        </w:rPr>
        <w:t>troactividad de esa norma “</w:t>
      </w:r>
      <w:r w:rsidRPr="00EE2FA1">
        <w:rPr>
          <w:rFonts w:ascii="Times New Roman" w:hAnsi="Times New Roman" w:cs="Times New Roman"/>
          <w:sz w:val="28"/>
          <w:szCs w:val="28"/>
          <w:shd w:val="clear" w:color="auto" w:fill="FFFFFF"/>
        </w:rPr>
        <w:t>por estar libre de cualquier calificativo, no coincide con la noción, más restringida, del período gravable anual característico del impuesto a la renta y complementarios”</w:t>
      </w:r>
      <w:r w:rsidRPr="00EE2FA1">
        <w:rPr>
          <w:rStyle w:val="Refdenotaalpie"/>
          <w:rFonts w:ascii="Times New Roman" w:hAnsi="Times New Roman" w:cs="Times New Roman"/>
          <w:sz w:val="28"/>
          <w:szCs w:val="28"/>
          <w:shd w:val="clear" w:color="auto" w:fill="FFFFFF"/>
        </w:rPr>
        <w:footnoteReference w:id="188"/>
      </w:r>
      <w:r w:rsidRPr="00EE2FA1">
        <w:rPr>
          <w:rFonts w:ascii="Times New Roman" w:hAnsi="Times New Roman" w:cs="Times New Roman"/>
          <w:sz w:val="28"/>
          <w:szCs w:val="28"/>
          <w:shd w:val="clear" w:color="auto" w:fill="FFFFFF"/>
        </w:rPr>
        <w:t>.</w:t>
      </w:r>
    </w:p>
    <w:p w:rsidR="00DB3E4E" w:rsidRPr="00EE2FA1" w:rsidRDefault="00EE2FA1" w:rsidP="00922F3E">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40A81" w:rsidRPr="00EE2FA1" w:rsidRDefault="00EE2FA1" w:rsidP="00340A81">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cuanto a su alcance y contenido, el principio de </w:t>
      </w:r>
      <w:r w:rsidRPr="00EE2FA1">
        <w:rPr>
          <w:rFonts w:ascii="Times New Roman" w:eastAsia="Calibri" w:hAnsi="Times New Roman" w:cs="Times New Roman"/>
          <w:sz w:val="28"/>
          <w:szCs w:val="28"/>
          <w:lang w:eastAsia="es-ES"/>
        </w:rPr>
        <w:t>irretroactividad de la ley tributaria consiste en la imposibilidad de señalar consecuencias jurídicas a actos, hechos o situaciones jurídicas que ya están formalizados jurídicamente, “salvo que se prescriba un efecto más perfecto tanto para el sujeto de de</w:t>
      </w:r>
      <w:r w:rsidRPr="00EE2FA1">
        <w:rPr>
          <w:rFonts w:ascii="Times New Roman" w:eastAsia="Calibri" w:hAnsi="Times New Roman" w:cs="Times New Roman"/>
          <w:sz w:val="28"/>
          <w:szCs w:val="28"/>
          <w:lang w:eastAsia="es-ES"/>
        </w:rPr>
        <w:t>recho, como para el bien común, de manera concurrente”</w:t>
      </w:r>
      <w:r w:rsidRPr="00EE2FA1">
        <w:rPr>
          <w:rStyle w:val="Refdenotaalpie"/>
          <w:rFonts w:ascii="Times New Roman" w:eastAsia="Calibri" w:hAnsi="Times New Roman" w:cs="Times New Roman"/>
          <w:sz w:val="28"/>
          <w:szCs w:val="28"/>
          <w:lang w:eastAsia="es-ES"/>
        </w:rPr>
        <w:footnoteReference w:id="189"/>
      </w:r>
      <w:r w:rsidRPr="00EE2FA1">
        <w:rPr>
          <w:rFonts w:ascii="Times New Roman" w:eastAsia="Calibri" w:hAnsi="Times New Roman" w:cs="Times New Roman"/>
          <w:sz w:val="28"/>
          <w:szCs w:val="28"/>
          <w:lang w:eastAsia="es-ES"/>
        </w:rPr>
        <w:t>. E</w:t>
      </w:r>
      <w:r w:rsidRPr="00EE2FA1">
        <w:rPr>
          <w:rFonts w:ascii="Times New Roman" w:hAnsi="Times New Roman" w:cs="Times New Roman"/>
          <w:sz w:val="28"/>
          <w:szCs w:val="28"/>
        </w:rPr>
        <w:t>ste criterio es uno de los fundamentos constitucionales para la protección de las situaciones jurídicas consolidadas</w:t>
      </w:r>
      <w:r w:rsidRPr="00EE2FA1">
        <w:rPr>
          <w:rStyle w:val="Refdenotaalpie"/>
          <w:rFonts w:ascii="Times New Roman" w:hAnsi="Times New Roman" w:cs="Times New Roman"/>
          <w:sz w:val="28"/>
          <w:szCs w:val="28"/>
        </w:rPr>
        <w:footnoteReference w:id="190"/>
      </w:r>
      <w:r w:rsidRPr="00EE2FA1">
        <w:rPr>
          <w:rFonts w:ascii="Times New Roman" w:hAnsi="Times New Roman" w:cs="Times New Roman"/>
          <w:sz w:val="28"/>
          <w:szCs w:val="28"/>
        </w:rPr>
        <w:t>.</w:t>
      </w:r>
      <w:r w:rsidRPr="00EE2FA1">
        <w:rPr>
          <w:rFonts w:ascii="Times New Roman" w:eastAsia="Calibri" w:hAnsi="Times New Roman" w:cs="Times New Roman"/>
          <w:sz w:val="28"/>
          <w:szCs w:val="28"/>
          <w:lang w:eastAsia="es-ES"/>
        </w:rPr>
        <w:t xml:space="preserve"> </w:t>
      </w:r>
    </w:p>
    <w:p w:rsidR="0077504B" w:rsidRPr="00EE2FA1" w:rsidRDefault="00EE2FA1" w:rsidP="0077504B">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A32EE0" w:rsidRPr="00EE2FA1" w:rsidRDefault="00EE2FA1" w:rsidP="00CB1835">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No solo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proscribe</w:t>
      </w:r>
      <w:r w:rsidRPr="00EE2FA1">
        <w:rPr>
          <w:rFonts w:ascii="Times New Roman" w:eastAsia="Calibri" w:hAnsi="Times New Roman" w:cs="Times New Roman"/>
          <w:sz w:val="28"/>
          <w:szCs w:val="28"/>
          <w:lang w:eastAsia="es-ES"/>
        </w:rPr>
        <w:t>n</w:t>
      </w:r>
      <w:r w:rsidRPr="00EE2FA1">
        <w:rPr>
          <w:rFonts w:ascii="Times New Roman" w:eastAsia="Calibri" w:hAnsi="Times New Roman" w:cs="Times New Roman"/>
          <w:sz w:val="28"/>
          <w:szCs w:val="28"/>
          <w:lang w:eastAsia="es-ES"/>
        </w:rPr>
        <w:t xml:space="preserve"> las variaciones que se puedan presentar hacia el pasado</w:t>
      </w:r>
      <w:r w:rsidRPr="00EE2FA1">
        <w:rPr>
          <w:rFonts w:ascii="Times New Roman" w:eastAsia="Calibri" w:hAnsi="Times New Roman" w:cs="Times New Roman"/>
          <w:sz w:val="28"/>
          <w:szCs w:val="28"/>
          <w:lang w:eastAsia="es-ES"/>
        </w:rPr>
        <w:t xml:space="preserve"> respecto del hecho generador. También </w:t>
      </w:r>
      <w:r w:rsidRPr="00EE2FA1">
        <w:rPr>
          <w:rFonts w:ascii="Times New Roman" w:eastAsia="Calibri" w:hAnsi="Times New Roman" w:cs="Times New Roman"/>
          <w:sz w:val="28"/>
          <w:szCs w:val="28"/>
          <w:lang w:eastAsia="es-ES"/>
        </w:rPr>
        <w:t xml:space="preserve">la garantía se impone </w:t>
      </w:r>
      <w:r w:rsidRPr="00EE2FA1">
        <w:rPr>
          <w:rFonts w:ascii="Times New Roman" w:eastAsia="Calibri" w:hAnsi="Times New Roman" w:cs="Times New Roman"/>
          <w:sz w:val="28"/>
          <w:szCs w:val="28"/>
          <w:lang w:eastAsia="es-ES"/>
        </w:rPr>
        <w:t>frente a cualquier otro elemento de la obligación tributaria e</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incluso, protege los beneficios fiscales que ya se encuentren consolidados</w:t>
      </w:r>
      <w:r w:rsidRPr="00EE2FA1">
        <w:rPr>
          <w:rStyle w:val="Refdenotaalpie"/>
          <w:rFonts w:ascii="Times New Roman" w:eastAsia="Calibri" w:hAnsi="Times New Roman" w:cs="Times New Roman"/>
          <w:sz w:val="28"/>
          <w:szCs w:val="28"/>
          <w:lang w:eastAsia="es-ES"/>
        </w:rPr>
        <w:footnoteReference w:id="191"/>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En efecto, el principio de irretroactividad no sólo se</w:t>
      </w:r>
      <w:r w:rsidRPr="00EE2FA1">
        <w:rPr>
          <w:rFonts w:ascii="Times New Roman" w:eastAsia="Calibri" w:hAnsi="Times New Roman" w:cs="Times New Roman"/>
          <w:sz w:val="28"/>
          <w:szCs w:val="28"/>
          <w:lang w:eastAsia="es-ES"/>
        </w:rPr>
        <w:t xml:space="preserve"> vulnera cuando se altera hacia el pasado el hecho generador, sino también “cuando una ley modifique cualquiera de los aspectos o elementos que delimitan la obligación tributaria (sujetos pasivos, base de cálculo, alícuota, etc.) y pretenda incidir sobre h</w:t>
      </w:r>
      <w:r w:rsidRPr="00EE2FA1">
        <w:rPr>
          <w:rFonts w:ascii="Times New Roman" w:eastAsia="Calibri" w:hAnsi="Times New Roman" w:cs="Times New Roman"/>
          <w:sz w:val="28"/>
          <w:szCs w:val="28"/>
          <w:lang w:eastAsia="es-ES"/>
        </w:rPr>
        <w:t>echos o situaciones configurados antes de la fecha de su entrada en vigor”</w:t>
      </w:r>
      <w:r w:rsidRPr="00EE2FA1">
        <w:rPr>
          <w:rStyle w:val="Refdenotaalpie"/>
          <w:rFonts w:ascii="Times New Roman" w:eastAsia="Calibri" w:hAnsi="Times New Roman" w:cs="Times New Roman"/>
          <w:sz w:val="28"/>
          <w:szCs w:val="28"/>
          <w:lang w:eastAsia="es-ES"/>
        </w:rPr>
        <w:footnoteReference w:id="192"/>
      </w:r>
      <w:r w:rsidRPr="00EE2FA1">
        <w:rPr>
          <w:rFonts w:ascii="Times New Roman" w:eastAsia="Calibri" w:hAnsi="Times New Roman" w:cs="Times New Roman"/>
          <w:sz w:val="28"/>
          <w:szCs w:val="28"/>
          <w:lang w:eastAsia="es-ES"/>
        </w:rPr>
        <w:t>. Los efectos retroactivos de las leyes en materia tributaria no pueden afectar situaciones ya reconocidas o consolidadas, y cuyos implicaciones se hayan dado bajo una legislación a</w:t>
      </w:r>
      <w:r w:rsidRPr="00EE2FA1">
        <w:rPr>
          <w:rFonts w:ascii="Times New Roman" w:eastAsia="Calibri" w:hAnsi="Times New Roman" w:cs="Times New Roman"/>
          <w:sz w:val="28"/>
          <w:szCs w:val="28"/>
          <w:lang w:eastAsia="es-ES"/>
        </w:rPr>
        <w:t>nterior, por lo cual este principio prohíbe en materia de tributos que una ley tenga efectos con anterioridad a su vigencia</w:t>
      </w:r>
      <w:r w:rsidRPr="00EE2FA1">
        <w:rPr>
          <w:rStyle w:val="Refdenotaalpie"/>
          <w:rFonts w:ascii="Times New Roman" w:eastAsia="Calibri" w:hAnsi="Times New Roman" w:cs="Times New Roman"/>
          <w:sz w:val="28"/>
          <w:szCs w:val="28"/>
          <w:lang w:eastAsia="es-ES"/>
        </w:rPr>
        <w:footnoteReference w:id="193"/>
      </w:r>
      <w:r w:rsidRPr="00EE2FA1">
        <w:rPr>
          <w:rFonts w:ascii="Times New Roman" w:eastAsia="Calibri" w:hAnsi="Times New Roman" w:cs="Times New Roman"/>
          <w:sz w:val="28"/>
          <w:szCs w:val="28"/>
          <w:lang w:eastAsia="es-ES"/>
        </w:rPr>
        <w:t>.</w:t>
      </w:r>
    </w:p>
    <w:p w:rsidR="00340A81" w:rsidRPr="00EE2FA1" w:rsidRDefault="00EE2FA1" w:rsidP="005574E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 </w:t>
      </w:r>
    </w:p>
    <w:p w:rsidR="00340A81" w:rsidRPr="00EE2FA1" w:rsidRDefault="00EE2FA1" w:rsidP="00340A81">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i/>
          <w:iCs/>
          <w:sz w:val="28"/>
          <w:szCs w:val="28"/>
          <w:lang w:eastAsia="es-ES"/>
        </w:rPr>
      </w:pPr>
      <w:r w:rsidRPr="00EE2FA1">
        <w:rPr>
          <w:rFonts w:ascii="Times New Roman" w:eastAsia="Calibri" w:hAnsi="Times New Roman" w:cs="Times New Roman"/>
          <w:sz w:val="28"/>
          <w:szCs w:val="28"/>
          <w:lang w:eastAsia="es-ES"/>
        </w:rPr>
        <w:t>La Corte Constitucional ha considerado que el principio de irretroactividad se funda en “la necesidad de dar estabilidad al orde</w:t>
      </w:r>
      <w:r w:rsidRPr="00EE2FA1">
        <w:rPr>
          <w:rFonts w:ascii="Times New Roman" w:eastAsia="Calibri" w:hAnsi="Times New Roman" w:cs="Times New Roman"/>
          <w:sz w:val="28"/>
          <w:szCs w:val="28"/>
          <w:lang w:eastAsia="es-ES"/>
        </w:rPr>
        <w:t>namiento jurídico”</w:t>
      </w:r>
      <w:r w:rsidRPr="00EE2FA1">
        <w:rPr>
          <w:rStyle w:val="Refdenotaalpie"/>
          <w:rFonts w:ascii="Times New Roman" w:eastAsia="Calibri" w:hAnsi="Times New Roman" w:cs="Times New Roman"/>
          <w:sz w:val="28"/>
          <w:szCs w:val="28"/>
          <w:lang w:eastAsia="es-ES"/>
        </w:rPr>
        <w:footnoteReference w:id="194"/>
      </w:r>
      <w:r w:rsidRPr="00EE2FA1">
        <w:rPr>
          <w:rFonts w:ascii="Times New Roman" w:eastAsia="Calibri" w:hAnsi="Times New Roman" w:cs="Times New Roman"/>
          <w:sz w:val="28"/>
          <w:szCs w:val="28"/>
          <w:lang w:eastAsia="es-ES"/>
        </w:rPr>
        <w:t>. Asimismo, esta prohibición busca “impedir que se aumenten las cargas al contribuyente, modificando las regulaciones en relación con períodos vencidos o en curso”</w:t>
      </w:r>
      <w:r w:rsidRPr="00EE2FA1">
        <w:rPr>
          <w:rStyle w:val="Refdenotaalpie"/>
          <w:rFonts w:ascii="Times New Roman" w:eastAsia="Calibri" w:hAnsi="Times New Roman" w:cs="Times New Roman"/>
          <w:sz w:val="28"/>
          <w:szCs w:val="28"/>
          <w:lang w:eastAsia="es-ES"/>
        </w:rPr>
        <w:footnoteReference w:id="195"/>
      </w:r>
      <w:r w:rsidRPr="00EE2FA1">
        <w:rPr>
          <w:rFonts w:ascii="Times New Roman" w:eastAsia="Calibri" w:hAnsi="Times New Roman" w:cs="Times New Roman"/>
          <w:sz w:val="28"/>
          <w:szCs w:val="28"/>
          <w:lang w:eastAsia="es-ES"/>
        </w:rPr>
        <w:t>. También hace efectiva la seguridad jurídica, ya que asegura que el alca</w:t>
      </w:r>
      <w:r w:rsidRPr="00EE2FA1">
        <w:rPr>
          <w:rFonts w:ascii="Times New Roman" w:eastAsia="Calibri" w:hAnsi="Times New Roman" w:cs="Times New Roman"/>
          <w:sz w:val="28"/>
          <w:szCs w:val="28"/>
          <w:lang w:eastAsia="es-ES"/>
        </w:rPr>
        <w:t>nce de la norma impositiva pueda ser conocido por sus destinatarios y por los eventuales realizadores de los hechos generadores</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al garantizarse que tengan carácter previo</w:t>
      </w:r>
      <w:r w:rsidRPr="00EE2FA1">
        <w:rPr>
          <w:rStyle w:val="Refdenotaalpie"/>
          <w:rFonts w:ascii="Times New Roman" w:eastAsia="Calibri" w:hAnsi="Times New Roman" w:cs="Times New Roman"/>
          <w:sz w:val="28"/>
          <w:szCs w:val="28"/>
          <w:lang w:eastAsia="es-ES"/>
        </w:rPr>
        <w:footnoteReference w:id="196"/>
      </w:r>
      <w:r w:rsidRPr="00EE2FA1">
        <w:rPr>
          <w:rFonts w:ascii="Times New Roman" w:eastAsia="Calibri" w:hAnsi="Times New Roman" w:cs="Times New Roman"/>
          <w:sz w:val="28"/>
          <w:szCs w:val="28"/>
          <w:lang w:eastAsia="es-ES"/>
        </w:rPr>
        <w:t>. Además, permite que las reglas tributarias se ajusten al mandato de justicia y equ</w:t>
      </w:r>
      <w:r w:rsidRPr="00EE2FA1">
        <w:rPr>
          <w:rFonts w:ascii="Times New Roman" w:eastAsia="Calibri" w:hAnsi="Times New Roman" w:cs="Times New Roman"/>
          <w:sz w:val="28"/>
          <w:szCs w:val="28"/>
          <w:lang w:eastAsia="es-ES"/>
        </w:rPr>
        <w:t xml:space="preserve">idad debido a que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habilita a los contribuyentes para que planifiquen su gasto y los medios para asumir la carga fiscal</w:t>
      </w:r>
      <w:r w:rsidRPr="00EE2FA1">
        <w:rPr>
          <w:rStyle w:val="Refdenotaalpie"/>
          <w:rFonts w:ascii="Times New Roman" w:eastAsia="Calibri" w:hAnsi="Times New Roman" w:cs="Times New Roman"/>
          <w:sz w:val="28"/>
          <w:szCs w:val="28"/>
          <w:lang w:eastAsia="es-ES"/>
        </w:rPr>
        <w:footnoteReference w:id="197"/>
      </w:r>
      <w:r w:rsidRPr="00EE2FA1">
        <w:rPr>
          <w:rFonts w:ascii="Times New Roman" w:eastAsia="Calibri" w:hAnsi="Times New Roman" w:cs="Times New Roman"/>
          <w:sz w:val="28"/>
          <w:szCs w:val="28"/>
          <w:lang w:eastAsia="es-ES"/>
        </w:rPr>
        <w:t>.</w:t>
      </w:r>
    </w:p>
    <w:p w:rsidR="00720D33" w:rsidRPr="00EE2FA1" w:rsidRDefault="00EE2FA1" w:rsidP="00720D33">
      <w:pPr>
        <w:pStyle w:val="Prrafodelista"/>
        <w:rPr>
          <w:rFonts w:ascii="Times New Roman" w:eastAsia="Calibri" w:hAnsi="Times New Roman" w:cs="Times New Roman"/>
          <w:sz w:val="28"/>
          <w:szCs w:val="28"/>
          <w:lang w:eastAsia="es-ES"/>
        </w:rPr>
      </w:pPr>
    </w:p>
    <w:p w:rsidR="00720D33" w:rsidRPr="00EE2FA1" w:rsidRDefault="00EE2FA1" w:rsidP="00720D33">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De esta manera, conforme a </w:t>
      </w:r>
      <w:r w:rsidRPr="00EE2FA1">
        <w:rPr>
          <w:rFonts w:ascii="Times New Roman" w:hAnsi="Times New Roman" w:cs="Times New Roman"/>
          <w:sz w:val="28"/>
          <w:szCs w:val="28"/>
        </w:rPr>
        <w:t>la jurisprudencia constitucional</w:t>
      </w:r>
      <w:r w:rsidRPr="00EE2FA1">
        <w:rPr>
          <w:rStyle w:val="Refdenotaalpie"/>
          <w:rFonts w:ascii="Times New Roman" w:hAnsi="Times New Roman" w:cs="Times New Roman"/>
          <w:sz w:val="28"/>
          <w:szCs w:val="28"/>
        </w:rPr>
        <w:footnoteReference w:id="198"/>
      </w:r>
      <w:r w:rsidRPr="00EE2FA1">
        <w:rPr>
          <w:rFonts w:ascii="Times New Roman" w:hAnsi="Times New Roman" w:cs="Times New Roman"/>
          <w:sz w:val="28"/>
          <w:szCs w:val="28"/>
        </w:rPr>
        <w:t>, el principio de irretroactividad exige que las leyes tributarias no a</w:t>
      </w:r>
      <w:r w:rsidRPr="00EE2FA1">
        <w:rPr>
          <w:rFonts w:ascii="Times New Roman" w:hAnsi="Times New Roman" w:cs="Times New Roman"/>
          <w:sz w:val="28"/>
          <w:szCs w:val="28"/>
        </w:rPr>
        <w:t>fecten hechos ocurridos antes de su vigencia. Además, determina que las leyes relacionadas con contribuciones basadas en hechos de un período determinado sólo pueden aplicarse para períodos futuros después de la entrada en vigencia de la ley. La prohibició</w:t>
      </w:r>
      <w:r w:rsidRPr="00EE2FA1">
        <w:rPr>
          <w:rFonts w:ascii="Times New Roman" w:hAnsi="Times New Roman" w:cs="Times New Roman"/>
          <w:sz w:val="28"/>
          <w:szCs w:val="28"/>
        </w:rPr>
        <w:t>n de retroactividad asegura que los contribuyentes conozcan previamente las normas que regulan sus obligaciones tributarias y no sean sorprendidos por cambios legislativos que afecten hechos pasados. Esto evita el abuso estatal en la imposición de tributos</w:t>
      </w:r>
      <w:r w:rsidRPr="00EE2FA1">
        <w:rPr>
          <w:rFonts w:ascii="Times New Roman" w:hAnsi="Times New Roman" w:cs="Times New Roman"/>
          <w:sz w:val="28"/>
          <w:szCs w:val="28"/>
        </w:rPr>
        <w:t>, tal como se destacó en la Sentencia C-185 de 1997. Tanto los contribuyentes como los beneficiarios de un gravamen deben poder anticipar sus obligaciones y derechos, lo cual a su vez, afianza el principio de legalidad al proteger los actos y hechos ya con</w:t>
      </w:r>
      <w:r w:rsidRPr="00EE2FA1">
        <w:rPr>
          <w:rFonts w:ascii="Times New Roman" w:hAnsi="Times New Roman" w:cs="Times New Roman"/>
          <w:sz w:val="28"/>
          <w:szCs w:val="28"/>
        </w:rPr>
        <w:t>solidados bajo la ley vigente.</w:t>
      </w:r>
    </w:p>
    <w:p w:rsidR="00232CCE" w:rsidRPr="00EE2FA1" w:rsidRDefault="00EE2FA1" w:rsidP="00C673CB">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232CCE" w:rsidRPr="00EE2FA1" w:rsidRDefault="00EE2FA1" w:rsidP="00232CCE">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Sin embargo, es importante tener en cuenta que esta Corte ha considerado que la referencia a valores o parámetros establecidos con anterioridad a la vigencia de la ley tributaria no configura la aplicación retroactiva proscrita por la Carta. Así lo explicó</w:t>
      </w:r>
      <w:r w:rsidRPr="00EE2FA1">
        <w:rPr>
          <w:rFonts w:ascii="Times New Roman" w:eastAsia="Calibri" w:hAnsi="Times New Roman" w:cs="Times New Roman"/>
          <w:sz w:val="28"/>
          <w:szCs w:val="28"/>
          <w:lang w:eastAsia="es-ES"/>
        </w:rPr>
        <w:t xml:space="preserve"> al analizar el artículo 3° de la Ley 1111 de 2006 que modificaba el artículo 68 del Estatuto Tributario. Dicha norma establecía que, a partir del año gravable 2007, “la determinación del costo fiscal de los activos que hayan sido objeto de ajustes por inf</w:t>
      </w:r>
      <w:r w:rsidRPr="00EE2FA1">
        <w:rPr>
          <w:rFonts w:ascii="Times New Roman" w:eastAsia="Calibri" w:hAnsi="Times New Roman" w:cs="Times New Roman"/>
          <w:sz w:val="28"/>
          <w:szCs w:val="28"/>
          <w:lang w:eastAsia="es-ES"/>
        </w:rPr>
        <w:t>lación se realizará con base en el costo ajustado de dichos activos a 31 de diciembre de 2006”. Al respecto la Corte descartó que se tratara de la aplicación retroactiva de la ley tributaria, porque “la norma acusada se refiere a la aplicación de un método</w:t>
      </w:r>
      <w:r w:rsidRPr="00EE2FA1">
        <w:rPr>
          <w:rFonts w:ascii="Times New Roman" w:eastAsia="Calibri" w:hAnsi="Times New Roman" w:cs="Times New Roman"/>
          <w:sz w:val="28"/>
          <w:szCs w:val="28"/>
          <w:lang w:eastAsia="es-ES"/>
        </w:rPr>
        <w:t xml:space="preserve"> para la determinación del costo de los activos”. De esta sentencia se desprende la regla según la cual de la referencia a eventos pasados con el objetivo de calcular un impuesto hacia el futuro no se sigue una violación del principio de irretroactividad d</w:t>
      </w:r>
      <w:r w:rsidRPr="00EE2FA1">
        <w:rPr>
          <w:rFonts w:ascii="Times New Roman" w:eastAsia="Calibri" w:hAnsi="Times New Roman" w:cs="Times New Roman"/>
          <w:sz w:val="28"/>
          <w:szCs w:val="28"/>
          <w:lang w:eastAsia="es-ES"/>
        </w:rPr>
        <w:t>e la ley tributaria.</w:t>
      </w:r>
    </w:p>
    <w:p w:rsidR="00340A81" w:rsidRPr="00EE2FA1" w:rsidRDefault="00EE2FA1" w:rsidP="00340A81">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52540B" w:rsidRPr="00EE2FA1" w:rsidRDefault="00EE2FA1" w:rsidP="0016568A">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i/>
          <w:iCs/>
          <w:sz w:val="28"/>
          <w:szCs w:val="28"/>
          <w:lang w:eastAsia="es-ES"/>
        </w:rPr>
      </w:pPr>
      <w:r w:rsidRPr="00EE2FA1">
        <w:rPr>
          <w:rFonts w:ascii="Times New Roman" w:eastAsia="Calibri" w:hAnsi="Times New Roman" w:cs="Times New Roman"/>
          <w:sz w:val="28"/>
          <w:szCs w:val="28"/>
          <w:lang w:eastAsia="es-ES"/>
        </w:rPr>
        <w:t>De otra parte</w:t>
      </w:r>
      <w:r w:rsidRPr="00EE2FA1">
        <w:rPr>
          <w:rFonts w:ascii="Times New Roman" w:eastAsia="Calibri" w:hAnsi="Times New Roman" w:cs="Times New Roman"/>
          <w:sz w:val="28"/>
          <w:szCs w:val="28"/>
          <w:lang w:eastAsia="es-ES"/>
        </w:rPr>
        <w:t>, la jurisprudencia constitucional ha establecido la forma como se debe adelantar un juicio por violación del principio de irretroactividad. En concreto, la Sentencia C-083 de 2018</w:t>
      </w:r>
      <w:r w:rsidRPr="00EE2FA1">
        <w:rPr>
          <w:rStyle w:val="Refdenotaalpie"/>
          <w:rFonts w:ascii="Times New Roman" w:eastAsia="Calibri" w:hAnsi="Times New Roman" w:cs="Times New Roman"/>
          <w:sz w:val="28"/>
          <w:szCs w:val="28"/>
          <w:lang w:eastAsia="es-ES"/>
        </w:rPr>
        <w:footnoteReference w:id="199"/>
      </w:r>
      <w:r w:rsidRPr="00EE2FA1">
        <w:rPr>
          <w:rFonts w:ascii="Times New Roman" w:eastAsia="Calibri" w:hAnsi="Times New Roman" w:cs="Times New Roman"/>
          <w:sz w:val="28"/>
          <w:szCs w:val="28"/>
          <w:lang w:eastAsia="es-ES"/>
        </w:rPr>
        <w:t xml:space="preserve"> dijo que</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“[El] juicio de constituciona</w:t>
      </w:r>
      <w:r w:rsidRPr="00EE2FA1">
        <w:rPr>
          <w:rFonts w:ascii="Times New Roman" w:eastAsia="Calibri" w:hAnsi="Times New Roman" w:cs="Times New Roman"/>
          <w:sz w:val="28"/>
          <w:szCs w:val="28"/>
          <w:lang w:eastAsia="es-ES"/>
        </w:rPr>
        <w:t xml:space="preserve">lidad de una ley tributaria acusada de violar el principio de irretroactividad (art. 363 C.P.), presupone que se constate la existencia de una situación jurídica consolidada bajo el amparo del régimen fiscal anterior y su consecuente afectación por la ley </w:t>
      </w:r>
      <w:r w:rsidRPr="00EE2FA1">
        <w:rPr>
          <w:rFonts w:ascii="Times New Roman" w:eastAsia="Calibri" w:hAnsi="Times New Roman" w:cs="Times New Roman"/>
          <w:sz w:val="28"/>
          <w:szCs w:val="28"/>
          <w:lang w:eastAsia="es-ES"/>
        </w:rPr>
        <w:t xml:space="preserve">posterior. En la jurisprudencia de esta Corte, este proceso analítico, por lo menos, implica que se verifique si la nueva ley tiene como consecuencia la modificación de un acto, hecho o situación sobre la cual la ley anterior ha surtido todos sus efectos. </w:t>
      </w:r>
      <w:r w:rsidRPr="00EE2FA1">
        <w:rPr>
          <w:rFonts w:ascii="Times New Roman" w:eastAsia="Calibri" w:hAnsi="Times New Roman" w:cs="Times New Roman"/>
          <w:sz w:val="28"/>
          <w:szCs w:val="28"/>
          <w:lang w:eastAsia="es-ES"/>
        </w:rPr>
        <w:t>Así, por ejemplo, entre muchos otros supuestos, será inconstitucional la ley que crea el impuesto y que se aplica sobre hechos generadores ocurridos antes de su vigencia, o aquella que proyecta sus efectos sobre periodos ya acontecidos”.</w:t>
      </w:r>
    </w:p>
    <w:p w:rsidR="00715B96" w:rsidRPr="00EE2FA1" w:rsidRDefault="00EE2FA1" w:rsidP="002A378C">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p>
    <w:p w:rsidR="002A378C" w:rsidRPr="00EE2FA1" w:rsidRDefault="00EE2FA1" w:rsidP="002A378C">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 xml:space="preserve">Caso concreto. </w:t>
      </w:r>
      <w:r w:rsidRPr="00EE2FA1">
        <w:rPr>
          <w:rFonts w:ascii="Times New Roman" w:eastAsia="Calibri" w:hAnsi="Times New Roman" w:cs="Times New Roman"/>
          <w:b/>
          <w:bCs/>
          <w:sz w:val="28"/>
          <w:szCs w:val="28"/>
          <w:lang w:eastAsia="es-ES"/>
        </w:rPr>
        <w:t>So</w:t>
      </w:r>
      <w:r w:rsidRPr="00EE2FA1">
        <w:rPr>
          <w:rFonts w:ascii="Times New Roman" w:eastAsia="Calibri" w:hAnsi="Times New Roman" w:cs="Times New Roman"/>
          <w:b/>
          <w:bCs/>
          <w:sz w:val="28"/>
          <w:szCs w:val="28"/>
          <w:lang w:eastAsia="es-ES"/>
        </w:rPr>
        <w:t xml:space="preserve">lución </w:t>
      </w:r>
      <w:r w:rsidRPr="00EE2FA1">
        <w:rPr>
          <w:rFonts w:ascii="Times New Roman" w:eastAsia="Calibri" w:hAnsi="Times New Roman" w:cs="Times New Roman"/>
          <w:b/>
          <w:bCs/>
          <w:sz w:val="28"/>
          <w:szCs w:val="28"/>
          <w:lang w:eastAsia="es-ES"/>
        </w:rPr>
        <w:t xml:space="preserve">del </w:t>
      </w:r>
      <w:r w:rsidRPr="00EE2FA1">
        <w:rPr>
          <w:rFonts w:ascii="Times New Roman" w:eastAsia="Calibri" w:hAnsi="Times New Roman" w:cs="Times New Roman"/>
          <w:b/>
          <w:bCs/>
          <w:sz w:val="28"/>
          <w:szCs w:val="28"/>
          <w:lang w:eastAsia="es-ES"/>
        </w:rPr>
        <w:t>cuarto cargo</w:t>
      </w:r>
      <w:r w:rsidRPr="00EE2FA1">
        <w:rPr>
          <w:rFonts w:ascii="Times New Roman" w:eastAsia="Calibri" w:hAnsi="Times New Roman" w:cs="Times New Roman"/>
          <w:b/>
          <w:bCs/>
          <w:sz w:val="28"/>
          <w:szCs w:val="28"/>
          <w:lang w:eastAsia="es-ES"/>
        </w:rPr>
        <w:t>: l</w:t>
      </w:r>
      <w:r w:rsidRPr="00EE2FA1">
        <w:rPr>
          <w:rFonts w:ascii="Times New Roman" w:eastAsia="Calibri" w:hAnsi="Times New Roman" w:cs="Times New Roman"/>
          <w:b/>
          <w:bCs/>
          <w:sz w:val="28"/>
          <w:szCs w:val="28"/>
          <w:lang w:eastAsia="es-ES"/>
        </w:rPr>
        <w:t xml:space="preserve">a norma acusada no desconoce </w:t>
      </w:r>
      <w:r w:rsidRPr="00EE2FA1">
        <w:rPr>
          <w:rFonts w:ascii="Times New Roman" w:eastAsia="Calibri" w:hAnsi="Times New Roman" w:cs="Times New Roman"/>
          <w:b/>
          <w:bCs/>
          <w:sz w:val="28"/>
          <w:szCs w:val="28"/>
          <w:lang w:eastAsia="es-ES"/>
        </w:rPr>
        <w:t xml:space="preserve">el </w:t>
      </w:r>
      <w:r w:rsidRPr="00EE2FA1">
        <w:rPr>
          <w:rFonts w:ascii="Times New Roman" w:eastAsia="Calibri" w:hAnsi="Times New Roman" w:cs="Times New Roman"/>
          <w:b/>
          <w:bCs/>
          <w:sz w:val="28"/>
          <w:szCs w:val="28"/>
          <w:lang w:eastAsia="es-ES"/>
        </w:rPr>
        <w:t xml:space="preserve">principio de </w:t>
      </w:r>
      <w:r w:rsidRPr="00EE2FA1">
        <w:rPr>
          <w:rFonts w:ascii="Times New Roman" w:eastAsia="Calibri" w:hAnsi="Times New Roman" w:cs="Times New Roman"/>
          <w:b/>
          <w:bCs/>
          <w:sz w:val="28"/>
          <w:szCs w:val="28"/>
          <w:lang w:eastAsia="es-ES"/>
        </w:rPr>
        <w:t>irretroactividad</w:t>
      </w:r>
      <w:r w:rsidRPr="00EE2FA1">
        <w:rPr>
          <w:rFonts w:ascii="Times New Roman" w:eastAsia="Calibri" w:hAnsi="Times New Roman" w:cs="Times New Roman"/>
          <w:b/>
          <w:bCs/>
          <w:sz w:val="28"/>
          <w:szCs w:val="28"/>
          <w:lang w:eastAsia="es-ES"/>
        </w:rPr>
        <w:t xml:space="preserve"> tributaria</w:t>
      </w:r>
    </w:p>
    <w:p w:rsidR="002A378C" w:rsidRPr="00EE2FA1" w:rsidRDefault="00EE2FA1" w:rsidP="002A378C">
      <w:pPr>
        <w:pStyle w:val="Prrafodelista"/>
        <w:tabs>
          <w:tab w:val="left" w:pos="426"/>
          <w:tab w:val="left" w:pos="567"/>
        </w:tabs>
        <w:spacing w:line="0" w:lineRule="atLeast"/>
        <w:ind w:left="0"/>
        <w:jc w:val="both"/>
        <w:rPr>
          <w:rFonts w:ascii="Times New Roman" w:eastAsia="Calibri" w:hAnsi="Times New Roman" w:cs="Times New Roman"/>
          <w:i/>
          <w:iCs/>
          <w:sz w:val="28"/>
          <w:szCs w:val="28"/>
          <w:lang w:eastAsia="es-ES"/>
        </w:rPr>
      </w:pPr>
    </w:p>
    <w:p w:rsidR="002A378C" w:rsidRPr="00EE2FA1" w:rsidRDefault="00EE2FA1" w:rsidP="002A378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i/>
          <w:iCs/>
          <w:sz w:val="28"/>
          <w:szCs w:val="28"/>
          <w:lang w:eastAsia="es-ES"/>
        </w:rPr>
      </w:pPr>
      <w:r w:rsidRPr="00EE2FA1">
        <w:rPr>
          <w:rFonts w:ascii="Times New Roman" w:eastAsia="Calibri" w:hAnsi="Times New Roman" w:cs="Times New Roman"/>
          <w:sz w:val="28"/>
          <w:szCs w:val="28"/>
          <w:lang w:eastAsia="es-ES"/>
        </w:rPr>
        <w:t xml:space="preserve">La demandante </w:t>
      </w:r>
      <w:r w:rsidRPr="00EE2FA1">
        <w:rPr>
          <w:rFonts w:ascii="Times New Roman" w:eastAsia="Calibri" w:hAnsi="Times New Roman" w:cs="Times New Roman"/>
          <w:sz w:val="28"/>
          <w:szCs w:val="28"/>
          <w:lang w:eastAsia="es-ES"/>
        </w:rPr>
        <w:t>fundó la censura en los siguientes argumentos</w:t>
      </w:r>
      <w:r w:rsidRPr="00EE2FA1">
        <w:rPr>
          <w:rFonts w:ascii="Times New Roman" w:eastAsia="Calibri" w:hAnsi="Times New Roman" w:cs="Times New Roman"/>
          <w:sz w:val="28"/>
          <w:szCs w:val="28"/>
          <w:lang w:eastAsia="es-ES"/>
        </w:rPr>
        <w:t xml:space="preserve"> principales</w:t>
      </w:r>
      <w:r w:rsidRPr="00EE2FA1">
        <w:rPr>
          <w:rFonts w:ascii="Times New Roman" w:eastAsia="Calibri" w:hAnsi="Times New Roman" w:cs="Times New Roman"/>
          <w:sz w:val="28"/>
          <w:szCs w:val="28"/>
          <w:lang w:eastAsia="es-ES"/>
        </w:rPr>
        <w:t>: (i) la disposición establece que los puntos porcentuales de la sobreta</w:t>
      </w:r>
      <w:r w:rsidRPr="00EE2FA1">
        <w:rPr>
          <w:rFonts w:ascii="Times New Roman" w:eastAsia="Calibri" w:hAnsi="Times New Roman" w:cs="Times New Roman"/>
          <w:sz w:val="28"/>
          <w:szCs w:val="28"/>
          <w:lang w:eastAsia="es-ES"/>
        </w:rPr>
        <w:t>rifa</w:t>
      </w:r>
      <w:r w:rsidRPr="00EE2FA1">
        <w:rPr>
          <w:rFonts w:ascii="Times New Roman" w:eastAsia="Calibri" w:hAnsi="Times New Roman" w:cs="Times New Roman"/>
          <w:sz w:val="28"/>
          <w:szCs w:val="28"/>
          <w:lang w:eastAsia="es-ES"/>
        </w:rPr>
        <w:t xml:space="preserve"> se definen cada año, pero se aplican a la renta líquida gravable del año inmediatamente anterior que ya ha finalizado</w:t>
      </w:r>
      <w:r w:rsidRPr="00EE2FA1">
        <w:rPr>
          <w:rStyle w:val="Refdenotaalpie"/>
          <w:rFonts w:ascii="Times New Roman" w:eastAsia="Calibri" w:hAnsi="Times New Roman" w:cs="Times New Roman"/>
          <w:sz w:val="28"/>
          <w:szCs w:val="28"/>
          <w:lang w:eastAsia="es-ES"/>
        </w:rPr>
        <w:footnoteReference w:id="200"/>
      </w:r>
      <w:r w:rsidRPr="00EE2FA1">
        <w:rPr>
          <w:rFonts w:ascii="Times New Roman" w:eastAsia="Calibri" w:hAnsi="Times New Roman" w:cs="Times New Roman"/>
          <w:sz w:val="28"/>
          <w:szCs w:val="28"/>
          <w:lang w:eastAsia="es-ES"/>
        </w:rPr>
        <w:t>; (ii) la sobreta</w:t>
      </w:r>
      <w:r w:rsidRPr="00EE2FA1">
        <w:rPr>
          <w:rFonts w:ascii="Times New Roman" w:eastAsia="Calibri" w:hAnsi="Times New Roman" w:cs="Times New Roman"/>
          <w:sz w:val="28"/>
          <w:szCs w:val="28"/>
          <w:lang w:eastAsia="es-ES"/>
        </w:rPr>
        <w:t>rifa</w:t>
      </w:r>
      <w:r w:rsidRPr="00EE2FA1">
        <w:rPr>
          <w:rFonts w:ascii="Times New Roman" w:eastAsia="Calibri" w:hAnsi="Times New Roman" w:cs="Times New Roman"/>
          <w:sz w:val="28"/>
          <w:szCs w:val="28"/>
          <w:lang w:eastAsia="es-ES"/>
        </w:rPr>
        <w:t xml:space="preserve"> solo respetaría la prohibición de irretroactividad de la ley tributaria en el caso que, si en enero de 2024 se defi</w:t>
      </w:r>
      <w:r w:rsidRPr="00EE2FA1">
        <w:rPr>
          <w:rFonts w:ascii="Times New Roman" w:eastAsia="Calibri" w:hAnsi="Times New Roman" w:cs="Times New Roman"/>
          <w:sz w:val="28"/>
          <w:szCs w:val="28"/>
          <w:lang w:eastAsia="es-ES"/>
        </w:rPr>
        <w:t>nen los puntos porcentuales, se empiece a aplicar en 2025 y no en el año 2024 o años anteriores</w:t>
      </w:r>
      <w:r w:rsidRPr="00EE2FA1">
        <w:rPr>
          <w:rStyle w:val="Refdenotaalpie"/>
          <w:rFonts w:ascii="Times New Roman" w:eastAsia="Calibri" w:hAnsi="Times New Roman" w:cs="Times New Roman"/>
          <w:sz w:val="28"/>
          <w:szCs w:val="28"/>
          <w:lang w:eastAsia="es-ES"/>
        </w:rPr>
        <w:footnoteReference w:id="201"/>
      </w:r>
      <w:r w:rsidRPr="00EE2FA1">
        <w:rPr>
          <w:rFonts w:ascii="Times New Roman" w:eastAsia="Calibri" w:hAnsi="Times New Roman" w:cs="Times New Roman"/>
          <w:sz w:val="28"/>
          <w:szCs w:val="28"/>
          <w:lang w:eastAsia="es-ES"/>
        </w:rPr>
        <w:t>; y (iii) los sujetos obligados a la sobretasa solo pueden conocer la tarifa que les corresponde luego de que finaliza el período gravable</w:t>
      </w:r>
      <w:r w:rsidRPr="00EE2FA1">
        <w:rPr>
          <w:rStyle w:val="Refdenotaalpie"/>
          <w:rFonts w:ascii="Times New Roman" w:eastAsia="Calibri" w:hAnsi="Times New Roman" w:cs="Times New Roman"/>
          <w:sz w:val="28"/>
          <w:szCs w:val="28"/>
          <w:lang w:eastAsia="es-ES"/>
        </w:rPr>
        <w:footnoteReference w:id="202"/>
      </w:r>
      <w:r w:rsidRPr="00EE2FA1">
        <w:rPr>
          <w:rFonts w:ascii="Times New Roman" w:eastAsia="Calibri" w:hAnsi="Times New Roman" w:cs="Times New Roman"/>
          <w:sz w:val="28"/>
          <w:szCs w:val="28"/>
          <w:lang w:eastAsia="es-ES"/>
        </w:rPr>
        <w:t>.</w:t>
      </w:r>
    </w:p>
    <w:p w:rsidR="002A378C" w:rsidRPr="00EE2FA1" w:rsidRDefault="00EE2FA1" w:rsidP="002A378C">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2A378C" w:rsidRPr="00EE2FA1" w:rsidRDefault="00EE2FA1" w:rsidP="001F6B20">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w:t>
      </w:r>
      <w:r w:rsidRPr="00EE2FA1">
        <w:rPr>
          <w:rFonts w:ascii="Times New Roman" w:eastAsia="Calibri" w:hAnsi="Times New Roman" w:cs="Times New Roman"/>
          <w:sz w:val="28"/>
          <w:szCs w:val="28"/>
          <w:lang w:eastAsia="es-ES"/>
        </w:rPr>
        <w:t>Sala Plena cons</w:t>
      </w:r>
      <w:r w:rsidRPr="00EE2FA1">
        <w:rPr>
          <w:rFonts w:ascii="Times New Roman" w:eastAsia="Calibri" w:hAnsi="Times New Roman" w:cs="Times New Roman"/>
          <w:sz w:val="28"/>
          <w:szCs w:val="28"/>
          <w:lang w:eastAsia="es-ES"/>
        </w:rPr>
        <w:t xml:space="preserve">idera </w:t>
      </w:r>
      <w:r w:rsidRPr="00EE2FA1">
        <w:rPr>
          <w:rFonts w:ascii="Times New Roman" w:eastAsia="Calibri" w:hAnsi="Times New Roman" w:cs="Times New Roman"/>
          <w:sz w:val="28"/>
          <w:szCs w:val="28"/>
          <w:lang w:eastAsia="es-ES"/>
        </w:rPr>
        <w:t>que el cargo formulado no está llamado a prosperar</w:t>
      </w:r>
      <w:r w:rsidRPr="00EE2FA1">
        <w:rPr>
          <w:rFonts w:ascii="Times New Roman" w:eastAsia="Calibri" w:hAnsi="Times New Roman" w:cs="Times New Roman"/>
          <w:sz w:val="28"/>
          <w:szCs w:val="28"/>
          <w:lang w:eastAsia="es-ES"/>
        </w:rPr>
        <w:t xml:space="preserve"> por las siguientes razones: </w:t>
      </w:r>
    </w:p>
    <w:p w:rsidR="00684618" w:rsidRPr="00EE2FA1" w:rsidRDefault="00EE2FA1" w:rsidP="00684618">
      <w:pPr>
        <w:pStyle w:val="Prrafodelista"/>
        <w:spacing w:line="0" w:lineRule="atLeast"/>
        <w:ind w:left="0"/>
        <w:jc w:val="both"/>
        <w:rPr>
          <w:rFonts w:ascii="Times New Roman" w:eastAsia="Calibri" w:hAnsi="Times New Roman" w:cs="Times New Roman"/>
          <w:sz w:val="28"/>
          <w:szCs w:val="28"/>
          <w:lang w:eastAsia="es-ES"/>
        </w:rPr>
      </w:pPr>
    </w:p>
    <w:p w:rsidR="002A378C" w:rsidRPr="00EE2FA1" w:rsidRDefault="00EE2FA1" w:rsidP="002A378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L</w:t>
      </w:r>
      <w:r w:rsidRPr="00EE2FA1">
        <w:rPr>
          <w:rFonts w:ascii="Times New Roman" w:eastAsia="Calibri" w:hAnsi="Times New Roman" w:cs="Times New Roman"/>
          <w:sz w:val="28"/>
          <w:szCs w:val="28"/>
          <w:lang w:eastAsia="es-ES"/>
        </w:rPr>
        <w:t>a sobreta</w:t>
      </w:r>
      <w:r w:rsidRPr="00EE2FA1">
        <w:rPr>
          <w:rFonts w:ascii="Times New Roman" w:eastAsia="Calibri" w:hAnsi="Times New Roman" w:cs="Times New Roman"/>
          <w:sz w:val="28"/>
          <w:szCs w:val="28"/>
          <w:lang w:eastAsia="es-ES"/>
        </w:rPr>
        <w:t>rifa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analizada</w:t>
      </w:r>
      <w:r w:rsidRPr="00EE2FA1">
        <w:rPr>
          <w:rFonts w:ascii="Times New Roman" w:eastAsia="Calibri" w:hAnsi="Times New Roman" w:cs="Times New Roman"/>
          <w:sz w:val="28"/>
          <w:szCs w:val="28"/>
          <w:lang w:eastAsia="es-ES"/>
        </w:rPr>
        <w:t xml:space="preserve"> no refiere su aplicación a un año gravable determinado y anterior a la vigencia de la ley. Por el contrario, la disposición menciona expresiones como “el precio promedio del respectivo año gravable objeto de declaración” o “el año gravable correspondiente</w:t>
      </w:r>
      <w:r w:rsidRPr="00EE2FA1">
        <w:rPr>
          <w:rFonts w:ascii="Times New Roman" w:eastAsia="Calibri" w:hAnsi="Times New Roman" w:cs="Times New Roman"/>
          <w:sz w:val="28"/>
          <w:szCs w:val="28"/>
          <w:lang w:eastAsia="es-ES"/>
        </w:rPr>
        <w:t>”. La determinación de esos referidos años gravables depende, entonces, de lo previsto en el artículo 96 de la misma ley</w:t>
      </w:r>
      <w:r w:rsidRPr="00EE2FA1">
        <w:rPr>
          <w:rFonts w:ascii="Times New Roman" w:eastAsia="Calibri" w:hAnsi="Times New Roman" w:cs="Times New Roman"/>
          <w:sz w:val="28"/>
          <w:szCs w:val="28"/>
          <w:lang w:eastAsia="es-ES"/>
        </w:rPr>
        <w:t xml:space="preserve">, según el cual esta </w:t>
      </w:r>
      <w:r w:rsidRPr="00EE2FA1">
        <w:rPr>
          <w:rFonts w:ascii="Times New Roman" w:eastAsia="Calibri" w:hAnsi="Times New Roman" w:cs="Times New Roman"/>
          <w:sz w:val="28"/>
          <w:szCs w:val="28"/>
          <w:lang w:eastAsia="es-ES"/>
        </w:rPr>
        <w:t>rige a partir de su promulgación, la cual ocurrió el 13 de diciembre de 2022. De acuerdo con lo anterior, el año gr</w:t>
      </w:r>
      <w:r w:rsidRPr="00EE2FA1">
        <w:rPr>
          <w:rFonts w:ascii="Times New Roman" w:eastAsia="Calibri" w:hAnsi="Times New Roman" w:cs="Times New Roman"/>
          <w:sz w:val="28"/>
          <w:szCs w:val="28"/>
          <w:lang w:eastAsia="es-ES"/>
        </w:rPr>
        <w:t xml:space="preserve">avable 2023 es el siguiente a la entrada en vigor de la Ley 2277 de 2022 y de lo expuesto no se advierte que </w:t>
      </w:r>
      <w:r w:rsidRPr="00EE2FA1">
        <w:rPr>
          <w:rFonts w:ascii="Times New Roman" w:eastAsia="Calibri" w:hAnsi="Times New Roman" w:cs="Times New Roman"/>
          <w:sz w:val="28"/>
          <w:szCs w:val="28"/>
          <w:lang w:eastAsia="es-ES"/>
        </w:rPr>
        <w:t xml:space="preserve">la norma censurada </w:t>
      </w:r>
      <w:r w:rsidRPr="00EE2FA1">
        <w:rPr>
          <w:rFonts w:ascii="Times New Roman" w:eastAsia="Calibri" w:hAnsi="Times New Roman" w:cs="Times New Roman"/>
          <w:sz w:val="28"/>
          <w:szCs w:val="28"/>
          <w:lang w:eastAsia="es-ES"/>
        </w:rPr>
        <w:t>disponga efectos sobre liquidaciones del impuesto de renta de años gravables anteriores o en curso al momento de la entrada en v</w:t>
      </w:r>
      <w:r w:rsidRPr="00EE2FA1">
        <w:rPr>
          <w:rFonts w:ascii="Times New Roman" w:eastAsia="Calibri" w:hAnsi="Times New Roman" w:cs="Times New Roman"/>
          <w:sz w:val="28"/>
          <w:szCs w:val="28"/>
          <w:lang w:eastAsia="es-ES"/>
        </w:rPr>
        <w:t>igor</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d</w:t>
      </w:r>
      <w:r w:rsidRPr="00EE2FA1">
        <w:rPr>
          <w:rFonts w:ascii="Times New Roman" w:eastAsia="Calibri" w:hAnsi="Times New Roman" w:cs="Times New Roman"/>
          <w:sz w:val="28"/>
          <w:szCs w:val="28"/>
          <w:lang w:eastAsia="es-ES"/>
        </w:rPr>
        <w:t>e la reforma tributaria 2022</w:t>
      </w:r>
      <w:r w:rsidRPr="00EE2FA1">
        <w:rPr>
          <w:rFonts w:ascii="Times New Roman" w:eastAsia="Calibri" w:hAnsi="Times New Roman" w:cs="Times New Roman"/>
          <w:sz w:val="28"/>
          <w:szCs w:val="28"/>
          <w:lang w:eastAsia="es-ES"/>
        </w:rPr>
        <w:t xml:space="preserve">. Esta circunstancia incide </w:t>
      </w:r>
      <w:r w:rsidRPr="00EE2FA1">
        <w:rPr>
          <w:rFonts w:ascii="Times New Roman" w:eastAsia="Calibri" w:hAnsi="Times New Roman" w:cs="Times New Roman"/>
          <w:sz w:val="28"/>
          <w:szCs w:val="28"/>
          <w:lang w:eastAsia="es-ES"/>
        </w:rPr>
        <w:t xml:space="preserve">esencialmente </w:t>
      </w:r>
      <w:r w:rsidRPr="00EE2FA1">
        <w:rPr>
          <w:rFonts w:ascii="Times New Roman" w:eastAsia="Calibri" w:hAnsi="Times New Roman" w:cs="Times New Roman"/>
          <w:sz w:val="28"/>
          <w:szCs w:val="28"/>
          <w:lang w:eastAsia="es-ES"/>
        </w:rPr>
        <w:t>en el examen de la posible afectación de situaciones jurídicas consolidadas.</w:t>
      </w:r>
    </w:p>
    <w:p w:rsidR="00684618" w:rsidRPr="00EE2FA1" w:rsidRDefault="00EE2FA1" w:rsidP="00684618">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684618" w:rsidRPr="00EE2FA1" w:rsidRDefault="00EE2FA1" w:rsidP="002A378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efecto, el Ministerio de Hacienda y Crédito Público en este proceso y como resultado del ejercicio </w:t>
      </w:r>
      <w:r w:rsidRPr="00EE2FA1">
        <w:rPr>
          <w:rFonts w:ascii="Times New Roman" w:eastAsia="Calibri" w:hAnsi="Times New Roman" w:cs="Times New Roman"/>
          <w:sz w:val="28"/>
          <w:szCs w:val="28"/>
          <w:lang w:eastAsia="es-ES"/>
        </w:rPr>
        <w:t>probatorio adelantado por el despacho ponente</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precisó que la </w:t>
      </w:r>
      <w:r w:rsidRPr="00EE2FA1">
        <w:rPr>
          <w:rFonts w:ascii="Times New Roman" w:eastAsia="Calibri" w:hAnsi="Times New Roman" w:cs="Times New Roman"/>
          <w:sz w:val="28"/>
          <w:szCs w:val="28"/>
          <w:lang w:eastAsia="es-ES"/>
        </w:rPr>
        <w:t>medida</w:t>
      </w:r>
      <w:r w:rsidRPr="00EE2FA1">
        <w:rPr>
          <w:rFonts w:ascii="Times New Roman" w:eastAsia="Calibri" w:hAnsi="Times New Roman" w:cs="Times New Roman"/>
          <w:sz w:val="28"/>
          <w:szCs w:val="28"/>
          <w:lang w:eastAsia="es-ES"/>
        </w:rPr>
        <w:t xml:space="preserve"> solo se verá reflejada cuando los contribuyentes presenten su declaración y paguen las obligaciones por concepto de este impuesto, lo que sucederá en el transcurso del 2024. Bajo tal ente</w:t>
      </w:r>
      <w:r w:rsidRPr="00EE2FA1">
        <w:rPr>
          <w:rFonts w:ascii="Times New Roman" w:eastAsia="Calibri" w:hAnsi="Times New Roman" w:cs="Times New Roman"/>
          <w:sz w:val="28"/>
          <w:szCs w:val="28"/>
          <w:lang w:eastAsia="es-ES"/>
        </w:rPr>
        <w:t>ndido, refirió que conforme a lo dispuesto en el artículo 338</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de la Carta</w:t>
      </w:r>
      <w:r w:rsidRPr="00EE2FA1">
        <w:rPr>
          <w:rFonts w:ascii="Times New Roman" w:eastAsia="Calibri" w:hAnsi="Times New Roman" w:cs="Times New Roman"/>
          <w:sz w:val="28"/>
          <w:szCs w:val="28"/>
          <w:lang w:eastAsia="es-ES"/>
        </w:rPr>
        <w:t xml:space="preserve">, la norma acusada solo puede aplicarse a partir del periodo que comience después de entrar en vigor la ley, es decir, </w:t>
      </w:r>
      <w:r w:rsidRPr="00EE2FA1">
        <w:rPr>
          <w:rFonts w:ascii="Times New Roman" w:eastAsia="Calibri" w:hAnsi="Times New Roman" w:cs="Times New Roman"/>
          <w:sz w:val="28"/>
          <w:szCs w:val="28"/>
          <w:lang w:eastAsia="es-ES"/>
        </w:rPr>
        <w:t xml:space="preserve">luego de </w:t>
      </w:r>
      <w:r w:rsidRPr="00EE2FA1">
        <w:rPr>
          <w:rFonts w:ascii="Times New Roman" w:eastAsia="Calibri" w:hAnsi="Times New Roman" w:cs="Times New Roman"/>
          <w:sz w:val="28"/>
          <w:szCs w:val="28"/>
          <w:lang w:eastAsia="es-ES"/>
        </w:rPr>
        <w:t>2023. Por su parte, la DIAN precisó que la modificación</w:t>
      </w:r>
      <w:r w:rsidRPr="00EE2FA1">
        <w:rPr>
          <w:rFonts w:ascii="Times New Roman" w:eastAsia="Calibri" w:hAnsi="Times New Roman" w:cs="Times New Roman"/>
          <w:sz w:val="28"/>
          <w:szCs w:val="28"/>
          <w:lang w:eastAsia="es-ES"/>
        </w:rPr>
        <w:t xml:space="preserve"> realizada por la norma acusada produce efectos desde el 1º de enero de 2023, en concreto, a partir del año gravable 2023, por lo que dicho impuesto será declarado y pagado en el año 2024. </w:t>
      </w:r>
    </w:p>
    <w:p w:rsidR="002A378C" w:rsidRPr="00EE2FA1" w:rsidRDefault="00EE2FA1" w:rsidP="002A378C">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4E00B9" w:rsidRPr="00EE2FA1" w:rsidRDefault="00EE2FA1" w:rsidP="00174EF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De esta manera</w:t>
      </w:r>
      <w:r w:rsidRPr="00EE2FA1">
        <w:rPr>
          <w:rFonts w:ascii="Times New Roman" w:eastAsia="Calibri" w:hAnsi="Times New Roman" w:cs="Times New Roman"/>
          <w:sz w:val="28"/>
          <w:szCs w:val="28"/>
          <w:lang w:eastAsia="es-ES"/>
        </w:rPr>
        <w:t xml:space="preserve">, de acuerdo con la jurisprudencia constitucional, </w:t>
      </w:r>
      <w:r w:rsidRPr="00EE2FA1">
        <w:rPr>
          <w:rFonts w:ascii="Times New Roman" w:eastAsia="Calibri" w:hAnsi="Times New Roman" w:cs="Times New Roman"/>
          <w:sz w:val="28"/>
          <w:szCs w:val="28"/>
          <w:lang w:eastAsia="es-ES"/>
        </w:rPr>
        <w:t xml:space="preserve">para determinar si hubo una violación del principio de irretroactividad debe establecerse que la ley demandada haya afectado la situación jurídica consolidada de los sujetos pasivos del impuesto modificado. </w:t>
      </w:r>
      <w:r w:rsidRPr="00EE2FA1">
        <w:rPr>
          <w:rFonts w:ascii="Times New Roman" w:eastAsia="Calibri" w:hAnsi="Times New Roman" w:cs="Times New Roman"/>
          <w:sz w:val="28"/>
          <w:szCs w:val="28"/>
          <w:lang w:eastAsia="es-ES"/>
        </w:rPr>
        <w:t>En este punto, la Sala Plena reitera lo expresado</w:t>
      </w:r>
      <w:r w:rsidRPr="00EE2FA1">
        <w:rPr>
          <w:rFonts w:ascii="Times New Roman" w:eastAsia="Calibri" w:hAnsi="Times New Roman" w:cs="Times New Roman"/>
          <w:sz w:val="28"/>
          <w:szCs w:val="28"/>
          <w:lang w:eastAsia="es-ES"/>
        </w:rPr>
        <w:t xml:space="preserve"> en la Sentencia C-036 de 2024</w:t>
      </w:r>
      <w:r w:rsidRPr="00EE2FA1">
        <w:rPr>
          <w:rStyle w:val="Refdenotaalpie"/>
          <w:rFonts w:ascii="Times New Roman" w:eastAsia="Calibri" w:hAnsi="Times New Roman" w:cs="Times New Roman"/>
          <w:sz w:val="28"/>
          <w:szCs w:val="28"/>
          <w:lang w:eastAsia="es-ES"/>
        </w:rPr>
        <w:footnoteReference w:id="203"/>
      </w:r>
      <w:r w:rsidRPr="00EE2FA1">
        <w:rPr>
          <w:rFonts w:ascii="Times New Roman" w:eastAsia="Calibri" w:hAnsi="Times New Roman" w:cs="Times New Roman"/>
          <w:sz w:val="28"/>
          <w:szCs w:val="28"/>
          <w:lang w:eastAsia="es-ES"/>
        </w:rPr>
        <w:t xml:space="preserve"> que estudió una demanda en contra del parágrafo 3 del artículo 10 de la Ley 2277 de 2022 que regula la sobretarifa del impuesto de renta para extracción de hulla y de carbón lignito. Uno de los cargos analizados</w:t>
      </w:r>
      <w:r w:rsidRPr="00EE2FA1">
        <w:rPr>
          <w:rFonts w:ascii="Times New Roman" w:eastAsia="Calibri" w:hAnsi="Times New Roman" w:cs="Times New Roman"/>
          <w:sz w:val="28"/>
          <w:szCs w:val="28"/>
          <w:lang w:eastAsia="es-ES"/>
        </w:rPr>
        <w:t xml:space="preserve"> entonces</w:t>
      </w:r>
      <w:r w:rsidRPr="00EE2FA1">
        <w:rPr>
          <w:rFonts w:ascii="Times New Roman" w:eastAsia="Calibri" w:hAnsi="Times New Roman" w:cs="Times New Roman"/>
          <w:sz w:val="28"/>
          <w:szCs w:val="28"/>
          <w:lang w:eastAsia="es-ES"/>
        </w:rPr>
        <w:t xml:space="preserve"> fue</w:t>
      </w:r>
      <w:r w:rsidRPr="00EE2FA1">
        <w:rPr>
          <w:rFonts w:ascii="Times New Roman" w:eastAsia="Calibri" w:hAnsi="Times New Roman" w:cs="Times New Roman"/>
          <w:sz w:val="28"/>
          <w:szCs w:val="28"/>
          <w:lang w:eastAsia="es-ES"/>
        </w:rPr>
        <w:t xml:space="preserve"> el desconocimiento del principio de irretroactividad. Lo anterior porque, según la demanda, la norma acusada </w:t>
      </w:r>
      <w:r w:rsidRPr="00EE2FA1">
        <w:rPr>
          <w:rFonts w:ascii="Times New Roman" w:eastAsia="Calibri" w:hAnsi="Times New Roman" w:cs="Times New Roman"/>
          <w:sz w:val="28"/>
          <w:szCs w:val="28"/>
          <w:lang w:eastAsia="es-ES"/>
        </w:rPr>
        <w:t>permite</w:t>
      </w:r>
      <w:r w:rsidRPr="00EE2FA1">
        <w:rPr>
          <w:rFonts w:ascii="Times New Roman" w:eastAsia="Calibri" w:hAnsi="Times New Roman" w:cs="Times New Roman"/>
          <w:sz w:val="28"/>
          <w:szCs w:val="28"/>
          <w:lang w:eastAsia="es-ES"/>
        </w:rPr>
        <w:t xml:space="preserve"> que “</w:t>
      </w:r>
      <w:r w:rsidRPr="00EE2FA1">
        <w:rPr>
          <w:rFonts w:ascii="Times New Roman" w:hAnsi="Times New Roman" w:cs="Times New Roman"/>
          <w:sz w:val="28"/>
          <w:szCs w:val="28"/>
        </w:rPr>
        <w:t xml:space="preserve">hechos nuevos (la </w:t>
      </w:r>
      <w:r w:rsidRPr="00EE2FA1">
        <w:rPr>
          <w:rFonts w:ascii="Times New Roman" w:hAnsi="Times New Roman" w:cs="Times New Roman"/>
          <w:sz w:val="28"/>
          <w:szCs w:val="28"/>
        </w:rPr>
        <w:t>construcción</w:t>
      </w:r>
      <w:r w:rsidRPr="00EE2FA1">
        <w:rPr>
          <w:rFonts w:ascii="Times New Roman" w:hAnsi="Times New Roman" w:cs="Times New Roman"/>
          <w:sz w:val="28"/>
          <w:szCs w:val="28"/>
        </w:rPr>
        <w:t xml:space="preserve"> de los </w:t>
      </w:r>
      <w:r w:rsidRPr="00EE2FA1">
        <w:rPr>
          <w:rFonts w:ascii="Times New Roman" w:hAnsi="Times New Roman" w:cs="Times New Roman"/>
          <w:sz w:val="28"/>
          <w:szCs w:val="28"/>
        </w:rPr>
        <w:t>índices</w:t>
      </w:r>
      <w:r w:rsidRPr="00EE2FA1">
        <w:rPr>
          <w:rFonts w:ascii="Times New Roman" w:hAnsi="Times New Roman" w:cs="Times New Roman"/>
          <w:sz w:val="28"/>
          <w:szCs w:val="28"/>
        </w:rPr>
        <w:t xml:space="preserve"> API2 y BCI7), independiente por completo de lo que las empresas extractoras hayan hecho</w:t>
      </w:r>
      <w:r w:rsidRPr="00EE2FA1">
        <w:rPr>
          <w:rFonts w:ascii="Times New Roman" w:hAnsi="Times New Roman" w:cs="Times New Roman"/>
          <w:sz w:val="28"/>
          <w:szCs w:val="28"/>
        </w:rPr>
        <w:t xml:space="preserve"> o dejado de hacer en el </w:t>
      </w:r>
      <w:r w:rsidRPr="00EE2FA1">
        <w:rPr>
          <w:rFonts w:ascii="Times New Roman" w:hAnsi="Times New Roman" w:cs="Times New Roman"/>
          <w:sz w:val="28"/>
          <w:szCs w:val="28"/>
        </w:rPr>
        <w:t>año</w:t>
      </w:r>
      <w:r w:rsidRPr="00EE2FA1">
        <w:rPr>
          <w:rFonts w:ascii="Times New Roman" w:hAnsi="Times New Roman" w:cs="Times New Roman"/>
          <w:sz w:val="28"/>
          <w:szCs w:val="28"/>
        </w:rPr>
        <w:t xml:space="preserve"> gravable, alteren las situaciones </w:t>
      </w:r>
      <w:r w:rsidRPr="00EE2FA1">
        <w:rPr>
          <w:rFonts w:ascii="Times New Roman" w:hAnsi="Times New Roman" w:cs="Times New Roman"/>
          <w:sz w:val="28"/>
          <w:szCs w:val="28"/>
        </w:rPr>
        <w:t>económicas</w:t>
      </w:r>
      <w:r w:rsidRPr="00EE2FA1">
        <w:rPr>
          <w:rFonts w:ascii="Times New Roman" w:hAnsi="Times New Roman" w:cs="Times New Roman"/>
          <w:sz w:val="28"/>
          <w:szCs w:val="28"/>
        </w:rPr>
        <w:t xml:space="preserve"> consolidadas de una empresa extractora de </w:t>
      </w:r>
      <w:r w:rsidRPr="00EE2FA1">
        <w:rPr>
          <w:rFonts w:ascii="Times New Roman" w:hAnsi="Times New Roman" w:cs="Times New Roman"/>
          <w:sz w:val="28"/>
          <w:szCs w:val="28"/>
        </w:rPr>
        <w:t>carbón</w:t>
      </w:r>
      <w:r w:rsidRPr="00EE2FA1">
        <w:rPr>
          <w:rFonts w:ascii="Times New Roman" w:hAnsi="Times New Roman" w:cs="Times New Roman"/>
          <w:sz w:val="28"/>
          <w:szCs w:val="28"/>
        </w:rPr>
        <w:t>”</w:t>
      </w:r>
      <w:r w:rsidRPr="00EE2FA1">
        <w:rPr>
          <w:rStyle w:val="Refdenotaalpie"/>
          <w:rFonts w:ascii="Times New Roman" w:hAnsi="Times New Roman" w:cs="Times New Roman"/>
          <w:sz w:val="28"/>
          <w:szCs w:val="28"/>
        </w:rPr>
        <w:footnoteReference w:id="204"/>
      </w:r>
      <w:r w:rsidRPr="00EE2FA1">
        <w:rPr>
          <w:rFonts w:ascii="Times New Roman" w:hAnsi="Times New Roman" w:cs="Times New Roman"/>
          <w:sz w:val="28"/>
          <w:szCs w:val="28"/>
        </w:rPr>
        <w:t>.</w:t>
      </w:r>
    </w:p>
    <w:p w:rsidR="004E00B9" w:rsidRPr="00EE2FA1" w:rsidRDefault="00EE2FA1" w:rsidP="004E00B9">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15B96" w:rsidRPr="00EE2FA1" w:rsidRDefault="00EE2FA1" w:rsidP="00174EF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Al resolver el cargo, la Corte Constitucional encontró que </w:t>
      </w:r>
      <w:r w:rsidRPr="00EE2FA1">
        <w:rPr>
          <w:rFonts w:ascii="Times New Roman" w:eastAsia="Calibri" w:hAnsi="Times New Roman" w:cs="Times New Roman"/>
          <w:sz w:val="28"/>
          <w:szCs w:val="28"/>
          <w:lang w:eastAsia="es-ES"/>
        </w:rPr>
        <w:t>la disposición censurada no desconoció el principio de irretroactivida</w:t>
      </w:r>
      <w:r w:rsidRPr="00EE2FA1">
        <w:rPr>
          <w:rFonts w:ascii="Times New Roman" w:eastAsia="Calibri" w:hAnsi="Times New Roman" w:cs="Times New Roman"/>
          <w:sz w:val="28"/>
          <w:szCs w:val="28"/>
          <w:lang w:eastAsia="es-ES"/>
        </w:rPr>
        <w:t>d de la ley en materia tributaria. Para tal efecto, recordó que</w:t>
      </w:r>
      <w:r w:rsidRPr="00EE2FA1">
        <w:rPr>
          <w:rFonts w:ascii="Times New Roman" w:hAnsi="Times New Roman" w:cs="Times New Roman"/>
          <w:sz w:val="28"/>
          <w:szCs w:val="28"/>
        </w:rPr>
        <w:t xml:space="preserve"> </w:t>
      </w:r>
    </w:p>
    <w:p w:rsidR="00715B96" w:rsidRPr="00EE2FA1" w:rsidRDefault="00EE2FA1" w:rsidP="00715B96">
      <w:pPr>
        <w:pStyle w:val="Prrafodelista"/>
        <w:rPr>
          <w:rFonts w:ascii="Times New Roman" w:hAnsi="Times New Roman" w:cs="Times New Roman"/>
          <w:sz w:val="28"/>
          <w:szCs w:val="28"/>
        </w:rPr>
      </w:pPr>
    </w:p>
    <w:p w:rsidR="00174EFC" w:rsidRPr="00EE2FA1" w:rsidRDefault="00EE2FA1" w:rsidP="00715B96">
      <w:pPr>
        <w:pStyle w:val="Prrafodelista"/>
        <w:spacing w:line="0" w:lineRule="atLeast"/>
        <w:ind w:left="567"/>
        <w:jc w:val="both"/>
        <w:rPr>
          <w:rFonts w:ascii="Times New Roman" w:eastAsia="Calibri" w:hAnsi="Times New Roman" w:cs="Times New Roman"/>
          <w:sz w:val="28"/>
          <w:szCs w:val="28"/>
          <w:lang w:eastAsia="es-ES"/>
        </w:rPr>
      </w:pPr>
      <w:r w:rsidRPr="00EE2FA1">
        <w:rPr>
          <w:rFonts w:ascii="Times New Roman" w:hAnsi="Times New Roman" w:cs="Times New Roman"/>
          <w:sz w:val="28"/>
        </w:rPr>
        <w:t xml:space="preserve">“en materia tributaria se entiende que una norma tiene efectos retroactivos cuando crea o suprime un gravamen, o modifica alguno de los elementos del hecho generador o cualquiera de los </w:t>
      </w:r>
      <w:r w:rsidRPr="00EE2FA1">
        <w:rPr>
          <w:rFonts w:ascii="Times New Roman" w:hAnsi="Times New Roman" w:cs="Times New Roman"/>
          <w:sz w:val="28"/>
        </w:rPr>
        <w:t>demás</w:t>
      </w:r>
      <w:r w:rsidRPr="00EE2FA1">
        <w:rPr>
          <w:rFonts w:ascii="Times New Roman" w:hAnsi="Times New Roman" w:cs="Times New Roman"/>
          <w:sz w:val="28"/>
        </w:rPr>
        <w:t xml:space="preserve"> elementos de la </w:t>
      </w:r>
      <w:r w:rsidRPr="00EE2FA1">
        <w:rPr>
          <w:rFonts w:ascii="Times New Roman" w:hAnsi="Times New Roman" w:cs="Times New Roman"/>
          <w:sz w:val="28"/>
        </w:rPr>
        <w:t>obligación</w:t>
      </w:r>
      <w:r w:rsidRPr="00EE2FA1">
        <w:rPr>
          <w:rFonts w:ascii="Times New Roman" w:hAnsi="Times New Roman" w:cs="Times New Roman"/>
          <w:sz w:val="28"/>
        </w:rPr>
        <w:t xml:space="preserve"> tributaria y busca incidir sobre hechos o situaciones ya ocurridos o configurados con anterioridad al momento en que la ley entra en vigencia. En el presente asunto es claro que los apartes demandados solo surten efectos so</w:t>
      </w:r>
      <w:r w:rsidRPr="00EE2FA1">
        <w:rPr>
          <w:rFonts w:ascii="Times New Roman" w:hAnsi="Times New Roman" w:cs="Times New Roman"/>
          <w:sz w:val="28"/>
        </w:rPr>
        <w:t xml:space="preserve">bre hechos o situaciones ocurridos o configurados con posterioridad a la entrada en vigencia de la ley que los contiene. Hecha esta </w:t>
      </w:r>
      <w:r w:rsidRPr="00EE2FA1">
        <w:rPr>
          <w:rFonts w:ascii="Times New Roman" w:hAnsi="Times New Roman" w:cs="Times New Roman"/>
          <w:sz w:val="28"/>
        </w:rPr>
        <w:t>precisión</w:t>
      </w:r>
      <w:r w:rsidRPr="00EE2FA1">
        <w:rPr>
          <w:rFonts w:ascii="Times New Roman" w:hAnsi="Times New Roman" w:cs="Times New Roman"/>
          <w:sz w:val="28"/>
        </w:rPr>
        <w:t xml:space="preserve"> la Sala concluyó que la norma no desconoce los referidos principios por cuanto </w:t>
      </w:r>
      <w:r w:rsidRPr="00EE2FA1">
        <w:rPr>
          <w:rFonts w:ascii="Times New Roman" w:hAnsi="Times New Roman" w:cs="Times New Roman"/>
          <w:sz w:val="28"/>
        </w:rPr>
        <w:t>señala</w:t>
      </w:r>
      <w:r w:rsidRPr="00EE2FA1">
        <w:rPr>
          <w:rFonts w:ascii="Times New Roman" w:hAnsi="Times New Roman" w:cs="Times New Roman"/>
          <w:sz w:val="28"/>
        </w:rPr>
        <w:t xml:space="preserve"> de manera clara y completa </w:t>
      </w:r>
      <w:r w:rsidRPr="00EE2FA1">
        <w:rPr>
          <w:rFonts w:ascii="Times New Roman" w:hAnsi="Times New Roman" w:cs="Times New Roman"/>
          <w:sz w:val="28"/>
        </w:rPr>
        <w:t>todos los elementos esenciales de la sobretasa y las condiciones para su aplicación, por lo que el contribuyente conoce de manera previa y con certeza las condiciones que exige la norma para estar obligado al pago de la sobretasa.”</w:t>
      </w:r>
      <w:r w:rsidRPr="00EE2FA1">
        <w:rPr>
          <w:rStyle w:val="Refdenotaalpie"/>
          <w:rFonts w:ascii="Times New Roman" w:hAnsi="Times New Roman" w:cs="Times New Roman"/>
          <w:sz w:val="28"/>
          <w:szCs w:val="28"/>
        </w:rPr>
        <w:footnoteReference w:id="205"/>
      </w:r>
      <w:r w:rsidRPr="00EE2FA1">
        <w:rPr>
          <w:rFonts w:ascii="Times New Roman" w:hAnsi="Times New Roman" w:cs="Times New Roman"/>
          <w:sz w:val="28"/>
        </w:rPr>
        <w:t xml:space="preserve"> </w:t>
      </w:r>
    </w:p>
    <w:p w:rsidR="00174EFC" w:rsidRPr="00EE2FA1" w:rsidRDefault="00EE2FA1" w:rsidP="00174EFC">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174EFC" w:rsidRPr="00EE2FA1" w:rsidRDefault="00EE2FA1" w:rsidP="00174EF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De acuerdo con lo expuesto, no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 xml:space="preserve">demostró </w:t>
      </w:r>
      <w:r w:rsidRPr="00EE2FA1">
        <w:rPr>
          <w:rFonts w:ascii="Times New Roman" w:eastAsia="Calibri" w:hAnsi="Times New Roman" w:cs="Times New Roman"/>
          <w:sz w:val="28"/>
          <w:szCs w:val="28"/>
          <w:lang w:eastAsia="es-ES"/>
        </w:rPr>
        <w:t xml:space="preserve">en este proceso </w:t>
      </w:r>
      <w:r w:rsidRPr="00EE2FA1">
        <w:rPr>
          <w:rFonts w:ascii="Times New Roman" w:eastAsia="Calibri" w:hAnsi="Times New Roman" w:cs="Times New Roman"/>
          <w:sz w:val="28"/>
          <w:szCs w:val="28"/>
          <w:lang w:eastAsia="es-ES"/>
        </w:rPr>
        <w:t xml:space="preserve">que la norma acusada desconozca situaciones jurídicas consolidadas. La Sala tampoco encuentra que </w:t>
      </w:r>
      <w:r w:rsidRPr="00EE2FA1">
        <w:rPr>
          <w:rFonts w:ascii="Times New Roman" w:eastAsia="Calibri" w:hAnsi="Times New Roman" w:cs="Times New Roman"/>
          <w:sz w:val="28"/>
          <w:szCs w:val="28"/>
          <w:lang w:eastAsia="es-ES"/>
        </w:rPr>
        <w:t>se impacten</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condiciones</w:t>
      </w:r>
      <w:r w:rsidRPr="00EE2FA1">
        <w:rPr>
          <w:rFonts w:ascii="Times New Roman" w:eastAsia="Calibri" w:hAnsi="Times New Roman" w:cs="Times New Roman"/>
          <w:sz w:val="28"/>
          <w:szCs w:val="28"/>
          <w:lang w:eastAsia="es-ES"/>
        </w:rPr>
        <w:t xml:space="preserve"> consolidadas en virtud de </w:t>
      </w:r>
      <w:r w:rsidRPr="00EE2FA1">
        <w:rPr>
          <w:rFonts w:ascii="Times New Roman" w:eastAsia="Calibri" w:hAnsi="Times New Roman" w:cs="Times New Roman"/>
          <w:sz w:val="28"/>
          <w:szCs w:val="28"/>
          <w:lang w:eastAsia="es-ES"/>
        </w:rPr>
        <w:t>la disposición demandada</w:t>
      </w:r>
      <w:r w:rsidRPr="00EE2FA1">
        <w:rPr>
          <w:rFonts w:ascii="Times New Roman" w:eastAsia="Calibri" w:hAnsi="Times New Roman" w:cs="Times New Roman"/>
          <w:sz w:val="28"/>
          <w:szCs w:val="28"/>
          <w:lang w:eastAsia="es-ES"/>
        </w:rPr>
        <w:t xml:space="preserve">, pues como se expuso, </w:t>
      </w:r>
      <w:r w:rsidRPr="00EE2FA1">
        <w:rPr>
          <w:rFonts w:ascii="Times New Roman" w:eastAsia="Calibri" w:hAnsi="Times New Roman" w:cs="Times New Roman"/>
          <w:sz w:val="28"/>
          <w:szCs w:val="28"/>
          <w:lang w:eastAsia="es-ES"/>
        </w:rPr>
        <w:t>aq</w:t>
      </w:r>
      <w:r w:rsidRPr="00EE2FA1">
        <w:rPr>
          <w:rFonts w:ascii="Times New Roman" w:eastAsia="Calibri" w:hAnsi="Times New Roman" w:cs="Times New Roman"/>
          <w:sz w:val="28"/>
          <w:szCs w:val="28"/>
          <w:lang w:eastAsia="es-ES"/>
        </w:rPr>
        <w:t xml:space="preserve">uella </w:t>
      </w:r>
      <w:r w:rsidRPr="00EE2FA1">
        <w:rPr>
          <w:rFonts w:ascii="Times New Roman" w:eastAsia="Calibri" w:hAnsi="Times New Roman" w:cs="Times New Roman"/>
          <w:sz w:val="28"/>
          <w:szCs w:val="28"/>
          <w:lang w:eastAsia="es-ES"/>
        </w:rPr>
        <w:t xml:space="preserve">solo tiene efectos a futuro y es aplicable a los períodos posteriores a </w:t>
      </w:r>
      <w:r w:rsidRPr="00EE2FA1">
        <w:rPr>
          <w:rFonts w:ascii="Times New Roman" w:eastAsia="Calibri" w:hAnsi="Times New Roman" w:cs="Times New Roman"/>
          <w:sz w:val="28"/>
          <w:szCs w:val="28"/>
          <w:lang w:eastAsia="es-ES"/>
        </w:rPr>
        <w:t xml:space="preserve">la </w:t>
      </w:r>
      <w:r w:rsidRPr="00EE2FA1">
        <w:rPr>
          <w:rFonts w:ascii="Times New Roman" w:eastAsia="Calibri" w:hAnsi="Times New Roman" w:cs="Times New Roman"/>
          <w:sz w:val="28"/>
          <w:szCs w:val="28"/>
          <w:lang w:eastAsia="es-ES"/>
        </w:rPr>
        <w:t>vigencia</w:t>
      </w:r>
      <w:r w:rsidRPr="00EE2FA1">
        <w:rPr>
          <w:rFonts w:ascii="Times New Roman" w:eastAsia="Calibri" w:hAnsi="Times New Roman" w:cs="Times New Roman"/>
          <w:sz w:val="28"/>
          <w:szCs w:val="28"/>
          <w:lang w:eastAsia="es-ES"/>
        </w:rPr>
        <w:t xml:space="preserve"> de la ley</w:t>
      </w:r>
      <w:r w:rsidRPr="00EE2FA1">
        <w:rPr>
          <w:rFonts w:ascii="Times New Roman" w:eastAsia="Calibri" w:hAnsi="Times New Roman" w:cs="Times New Roman"/>
          <w:sz w:val="28"/>
          <w:szCs w:val="28"/>
          <w:lang w:eastAsia="es-ES"/>
        </w:rPr>
        <w:t xml:space="preserve">. Es decir, se constata que las previsiones de la </w:t>
      </w:r>
      <w:r w:rsidRPr="00EE2FA1">
        <w:rPr>
          <w:rFonts w:ascii="Times New Roman" w:eastAsia="Calibri" w:hAnsi="Times New Roman" w:cs="Times New Roman"/>
          <w:sz w:val="28"/>
          <w:szCs w:val="28"/>
          <w:lang w:eastAsia="es-ES"/>
        </w:rPr>
        <w:t xml:space="preserve">sobretarifa </w:t>
      </w:r>
      <w:r w:rsidRPr="00EE2FA1">
        <w:rPr>
          <w:rFonts w:ascii="Times New Roman" w:eastAsia="Calibri" w:hAnsi="Times New Roman" w:cs="Times New Roman"/>
          <w:sz w:val="28"/>
          <w:szCs w:val="28"/>
          <w:lang w:eastAsia="es-ES"/>
        </w:rPr>
        <w:t>relacionada con la extracción de petróleo crudo no afectan la tarifa o el monto de la obligació</w:t>
      </w:r>
      <w:r w:rsidRPr="00EE2FA1">
        <w:rPr>
          <w:rFonts w:ascii="Times New Roman" w:eastAsia="Calibri" w:hAnsi="Times New Roman" w:cs="Times New Roman"/>
          <w:sz w:val="28"/>
          <w:szCs w:val="28"/>
          <w:lang w:eastAsia="es-ES"/>
        </w:rPr>
        <w:t>n tributaria o cualquier otro elemento del impuesto de renta frente al año gravable 2022 o a años anteriores.</w:t>
      </w:r>
    </w:p>
    <w:p w:rsidR="002A378C" w:rsidRPr="00EE2FA1" w:rsidRDefault="00EE2FA1" w:rsidP="002A378C">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303C54" w:rsidRPr="00EE2FA1" w:rsidRDefault="00EE2FA1" w:rsidP="00303C54">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norma acusada tampoco contraría la prohibición de irretroactividad por el hecho de que para la determinación de los puntos adicionales de la </w:t>
      </w:r>
      <w:r w:rsidRPr="00EE2FA1">
        <w:rPr>
          <w:rFonts w:ascii="Times New Roman" w:eastAsia="Calibri" w:hAnsi="Times New Roman" w:cs="Times New Roman"/>
          <w:sz w:val="28"/>
          <w:szCs w:val="28"/>
          <w:lang w:eastAsia="es-ES"/>
        </w:rPr>
        <w:t xml:space="preserve">sobretarifa </w:t>
      </w:r>
      <w:r w:rsidRPr="00EE2FA1">
        <w:rPr>
          <w:rFonts w:ascii="Times New Roman" w:eastAsia="Calibri" w:hAnsi="Times New Roman" w:cs="Times New Roman"/>
          <w:sz w:val="28"/>
          <w:szCs w:val="28"/>
          <w:lang w:eastAsia="es-ES"/>
        </w:rPr>
        <w:t xml:space="preserve">se haga referencia a factores relacionados con circunstancias anteriores al momento en que inició la vigencia de la Ley 2272 de 2022. Como se explicó previamente, </w:t>
      </w:r>
      <w:r w:rsidRPr="00EE2FA1">
        <w:rPr>
          <w:rFonts w:ascii="Times New Roman" w:eastAsia="Calibri" w:hAnsi="Times New Roman" w:cs="Times New Roman"/>
          <w:sz w:val="28"/>
          <w:szCs w:val="28"/>
          <w:lang w:eastAsia="es-ES"/>
        </w:rPr>
        <w:t xml:space="preserve">esta </w:t>
      </w:r>
      <w:r w:rsidRPr="00EE2FA1">
        <w:rPr>
          <w:rFonts w:ascii="Times New Roman" w:eastAsia="Calibri" w:hAnsi="Times New Roman" w:cs="Times New Roman"/>
          <w:sz w:val="28"/>
          <w:szCs w:val="28"/>
          <w:lang w:eastAsia="es-ES"/>
        </w:rPr>
        <w:t xml:space="preserve">Corte ha aclarado que la referencia a valores o parámetros establecidos con </w:t>
      </w:r>
      <w:r w:rsidRPr="00EE2FA1">
        <w:rPr>
          <w:rFonts w:ascii="Times New Roman" w:eastAsia="Calibri" w:hAnsi="Times New Roman" w:cs="Times New Roman"/>
          <w:sz w:val="28"/>
          <w:szCs w:val="28"/>
          <w:lang w:eastAsia="es-ES"/>
        </w:rPr>
        <w:t xml:space="preserve">anterioridad a la vigencia de la ley tributaria, para establecer </w:t>
      </w:r>
      <w:r w:rsidRPr="00EE2FA1">
        <w:rPr>
          <w:rFonts w:ascii="Times New Roman" w:eastAsia="Calibri" w:hAnsi="Times New Roman" w:cs="Times New Roman"/>
          <w:sz w:val="28"/>
          <w:szCs w:val="28"/>
          <w:lang w:eastAsia="es-ES"/>
        </w:rPr>
        <w:t xml:space="preserve">y aplicar </w:t>
      </w:r>
      <w:r w:rsidRPr="00EE2FA1">
        <w:rPr>
          <w:rFonts w:ascii="Times New Roman" w:eastAsia="Calibri" w:hAnsi="Times New Roman" w:cs="Times New Roman"/>
          <w:sz w:val="28"/>
          <w:szCs w:val="28"/>
          <w:lang w:eastAsia="es-ES"/>
        </w:rPr>
        <w:t>el método de cálculo de la obligación tributaria, no configura una aplicación retroactiva de la norma</w:t>
      </w:r>
      <w:r w:rsidRPr="00EE2FA1">
        <w:rPr>
          <w:rFonts w:ascii="Times New Roman" w:eastAsia="Calibri" w:hAnsi="Times New Roman" w:cs="Times New Roman"/>
          <w:sz w:val="28"/>
          <w:szCs w:val="28"/>
          <w:lang w:eastAsia="es-ES"/>
        </w:rPr>
        <w:t>.</w:t>
      </w:r>
    </w:p>
    <w:p w:rsidR="00303C54" w:rsidRPr="00EE2FA1" w:rsidRDefault="00EE2FA1" w:rsidP="00303C54">
      <w:pPr>
        <w:pStyle w:val="Prrafodelista"/>
        <w:rPr>
          <w:rFonts w:ascii="Times New Roman" w:eastAsia="Calibri" w:hAnsi="Times New Roman" w:cs="Times New Roman"/>
          <w:sz w:val="28"/>
          <w:szCs w:val="28"/>
          <w:lang w:eastAsia="es-ES"/>
        </w:rPr>
      </w:pPr>
    </w:p>
    <w:p w:rsidR="00174EFC" w:rsidRPr="00EE2FA1" w:rsidRDefault="00EE2FA1" w:rsidP="00303C54">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Sobre este mismo aspecto se pronunció la Sentencia C-036 de 2024</w:t>
      </w:r>
      <w:r w:rsidRPr="00EE2FA1">
        <w:rPr>
          <w:rStyle w:val="Refdenotaalpie"/>
          <w:rFonts w:ascii="Times New Roman" w:eastAsia="Calibri" w:hAnsi="Times New Roman" w:cs="Times New Roman"/>
          <w:sz w:val="28"/>
          <w:szCs w:val="28"/>
          <w:lang w:eastAsia="es-ES"/>
        </w:rPr>
        <w:footnoteReference w:id="206"/>
      </w:r>
      <w:r w:rsidRPr="00EE2FA1">
        <w:rPr>
          <w:rFonts w:ascii="Times New Roman" w:eastAsia="Calibri" w:hAnsi="Times New Roman" w:cs="Times New Roman"/>
          <w:sz w:val="28"/>
          <w:szCs w:val="28"/>
          <w:lang w:eastAsia="es-ES"/>
        </w:rPr>
        <w:t xml:space="preserve"> referida pr</w:t>
      </w:r>
      <w:r w:rsidRPr="00EE2FA1">
        <w:rPr>
          <w:rFonts w:ascii="Times New Roman" w:eastAsia="Calibri" w:hAnsi="Times New Roman" w:cs="Times New Roman"/>
          <w:sz w:val="28"/>
          <w:szCs w:val="28"/>
          <w:lang w:eastAsia="es-ES"/>
        </w:rPr>
        <w:t>eviamente</w:t>
      </w:r>
      <w:r w:rsidRPr="00EE2FA1">
        <w:rPr>
          <w:rFonts w:ascii="Times New Roman" w:eastAsia="Calibri" w:hAnsi="Times New Roman" w:cs="Times New Roman"/>
          <w:sz w:val="28"/>
          <w:szCs w:val="28"/>
          <w:lang w:eastAsia="es-ES"/>
        </w:rPr>
        <w:t>, la cual</w:t>
      </w:r>
      <w:r w:rsidRPr="00EE2FA1">
        <w:rPr>
          <w:rFonts w:ascii="Times New Roman" w:eastAsia="Calibri" w:hAnsi="Times New Roman" w:cs="Times New Roman"/>
          <w:sz w:val="28"/>
          <w:szCs w:val="28"/>
          <w:lang w:eastAsia="es-ES"/>
        </w:rPr>
        <w:t xml:space="preserve"> descartó la violación de la misma prohibición frente a un método de definición de la tarifa </w:t>
      </w:r>
      <w:r w:rsidRPr="00EE2FA1">
        <w:rPr>
          <w:rFonts w:ascii="Times New Roman" w:eastAsia="Calibri" w:hAnsi="Times New Roman" w:cs="Times New Roman"/>
          <w:sz w:val="28"/>
          <w:szCs w:val="28"/>
          <w:lang w:eastAsia="es-ES"/>
        </w:rPr>
        <w:t>equivalente</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En tal sentido, la Sala precisa que la labor desplegada por la ANH </w:t>
      </w:r>
      <w:r w:rsidRPr="00EE2FA1">
        <w:rPr>
          <w:rFonts w:ascii="Times New Roman" w:eastAsia="Calibri" w:hAnsi="Times New Roman" w:cs="Times New Roman"/>
          <w:sz w:val="28"/>
          <w:szCs w:val="28"/>
          <w:lang w:eastAsia="es-ES"/>
        </w:rPr>
        <w:t xml:space="preserve">únicamente </w:t>
      </w:r>
      <w:r w:rsidRPr="00EE2FA1">
        <w:rPr>
          <w:rFonts w:ascii="Times New Roman" w:eastAsia="Calibri" w:hAnsi="Times New Roman" w:cs="Times New Roman"/>
          <w:sz w:val="28"/>
          <w:szCs w:val="28"/>
          <w:lang w:eastAsia="es-ES"/>
        </w:rPr>
        <w:t>est</w:t>
      </w:r>
      <w:r w:rsidRPr="00EE2FA1">
        <w:rPr>
          <w:rFonts w:ascii="Times New Roman" w:eastAsia="Calibri" w:hAnsi="Times New Roman" w:cs="Times New Roman"/>
          <w:sz w:val="28"/>
          <w:szCs w:val="28"/>
          <w:lang w:eastAsia="es-ES"/>
        </w:rPr>
        <w:t>á</w:t>
      </w:r>
      <w:r w:rsidRPr="00EE2FA1">
        <w:rPr>
          <w:rFonts w:ascii="Times New Roman" w:eastAsia="Calibri" w:hAnsi="Times New Roman" w:cs="Times New Roman"/>
          <w:sz w:val="28"/>
          <w:szCs w:val="28"/>
          <w:lang w:eastAsia="es-ES"/>
        </w:rPr>
        <w:t xml:space="preserve"> referida a la </w:t>
      </w:r>
      <w:r w:rsidRPr="00EE2FA1">
        <w:rPr>
          <w:rFonts w:ascii="Times New Roman" w:eastAsia="Calibri" w:hAnsi="Times New Roman" w:cs="Times New Roman"/>
          <w:sz w:val="28"/>
          <w:szCs w:val="28"/>
          <w:lang w:eastAsia="es-ES"/>
        </w:rPr>
        <w:t>publicación de la información sobre</w:t>
      </w:r>
      <w:r w:rsidRPr="00EE2FA1">
        <w:rPr>
          <w:rFonts w:ascii="Times New Roman" w:eastAsia="Calibri" w:hAnsi="Times New Roman" w:cs="Times New Roman"/>
          <w:sz w:val="28"/>
          <w:szCs w:val="28"/>
          <w:lang w:eastAsia="es-ES"/>
        </w:rPr>
        <w:t xml:space="preserve"> los precios del crudo que se requiere para aplicar el método que definió claramente el legislador y con el cual se procede a liquidar </w:t>
      </w:r>
      <w:r w:rsidRPr="00EE2FA1">
        <w:rPr>
          <w:rFonts w:ascii="Times New Roman" w:eastAsia="Calibri" w:hAnsi="Times New Roman" w:cs="Times New Roman"/>
          <w:sz w:val="28"/>
          <w:szCs w:val="28"/>
          <w:lang w:eastAsia="es-ES"/>
        </w:rPr>
        <w:t>la tarifa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y no se </w:t>
      </w:r>
      <w:r w:rsidRPr="00EE2FA1">
        <w:rPr>
          <w:rFonts w:ascii="Times New Roman" w:eastAsia="Calibri" w:hAnsi="Times New Roman" w:cs="Times New Roman"/>
          <w:sz w:val="28"/>
          <w:szCs w:val="28"/>
          <w:lang w:eastAsia="es-ES"/>
        </w:rPr>
        <w:t>refiere ni altera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la concreción del hecho generador</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ni </w:t>
      </w:r>
      <w:r w:rsidRPr="00EE2FA1">
        <w:rPr>
          <w:rFonts w:ascii="Times New Roman" w:eastAsia="Calibri" w:hAnsi="Times New Roman" w:cs="Times New Roman"/>
          <w:sz w:val="28"/>
          <w:szCs w:val="28"/>
          <w:lang w:eastAsia="es-ES"/>
        </w:rPr>
        <w:t xml:space="preserve">genera </w:t>
      </w:r>
      <w:r w:rsidRPr="00EE2FA1">
        <w:rPr>
          <w:rFonts w:ascii="Times New Roman" w:eastAsia="Calibri" w:hAnsi="Times New Roman" w:cs="Times New Roman"/>
          <w:sz w:val="28"/>
          <w:szCs w:val="28"/>
          <w:lang w:eastAsia="es-ES"/>
        </w:rPr>
        <w:t>aplicación retroactiva</w:t>
      </w:r>
      <w:r w:rsidRPr="00EE2FA1">
        <w:rPr>
          <w:rFonts w:ascii="Times New Roman" w:eastAsia="Calibri" w:hAnsi="Times New Roman" w:cs="Times New Roman"/>
          <w:sz w:val="28"/>
          <w:szCs w:val="28"/>
          <w:lang w:eastAsia="es-ES"/>
        </w:rPr>
        <w:t xml:space="preserve"> de la norma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 </w:t>
      </w:r>
    </w:p>
    <w:p w:rsidR="00824B30" w:rsidRPr="00EE2FA1" w:rsidRDefault="00EE2FA1" w:rsidP="00824B3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170650" w:rsidRPr="00EE2FA1" w:rsidRDefault="00EE2FA1" w:rsidP="00C47871">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 Esto es precisamente lo que ocurre con la presente disposición que remite, por un lado, a los precios promedio del año gravable que será objeto de declaración y, por otro lado, a los precios promedio de los últimos 120 meses, sin incluir aquellos del año </w:t>
      </w:r>
      <w:r w:rsidRPr="00EE2FA1">
        <w:rPr>
          <w:rFonts w:ascii="Times New Roman" w:eastAsia="Calibri" w:hAnsi="Times New Roman" w:cs="Times New Roman"/>
          <w:sz w:val="28"/>
          <w:szCs w:val="28"/>
          <w:lang w:eastAsia="es-ES"/>
        </w:rPr>
        <w:t>a declarar.</w:t>
      </w:r>
      <w:r w:rsidRPr="00EE2FA1">
        <w:rPr>
          <w:rFonts w:ascii="Times New Roman" w:eastAsia="Calibri" w:hAnsi="Times New Roman" w:cs="Times New Roman"/>
          <w:sz w:val="28"/>
          <w:szCs w:val="28"/>
          <w:lang w:eastAsia="es-ES"/>
        </w:rPr>
        <w:t xml:space="preserve"> Por tal razón, la Sala reitera que el procedimiento para la aplicación de la medida </w:t>
      </w:r>
      <w:r w:rsidRPr="00EE2FA1">
        <w:rPr>
          <w:rFonts w:ascii="Times New Roman" w:eastAsia="Calibri" w:hAnsi="Times New Roman" w:cs="Times New Roman"/>
          <w:sz w:val="28"/>
          <w:szCs w:val="28"/>
          <w:lang w:eastAsia="es-ES"/>
        </w:rPr>
        <w:t xml:space="preserve">tributaria </w:t>
      </w:r>
      <w:r w:rsidRPr="00EE2FA1">
        <w:rPr>
          <w:rFonts w:ascii="Times New Roman" w:eastAsia="Calibri" w:hAnsi="Times New Roman" w:cs="Times New Roman"/>
          <w:sz w:val="28"/>
          <w:szCs w:val="28"/>
          <w:lang w:eastAsia="es-ES"/>
        </w:rPr>
        <w:t xml:space="preserve">contempla una resolución de la Agencia Nacional de Hidrocarburos </w:t>
      </w:r>
      <w:r w:rsidRPr="00EE2FA1">
        <w:rPr>
          <w:rFonts w:ascii="Times New Roman" w:eastAsia="Calibri" w:hAnsi="Times New Roman" w:cs="Times New Roman"/>
          <w:sz w:val="28"/>
          <w:szCs w:val="28"/>
          <w:lang w:eastAsia="es-ES"/>
        </w:rPr>
        <w:t xml:space="preserve">ANH </w:t>
      </w:r>
      <w:r w:rsidRPr="00EE2FA1">
        <w:rPr>
          <w:rFonts w:ascii="Times New Roman" w:eastAsia="Calibri" w:hAnsi="Times New Roman" w:cs="Times New Roman"/>
          <w:sz w:val="28"/>
          <w:szCs w:val="28"/>
          <w:lang w:eastAsia="es-ES"/>
        </w:rPr>
        <w:t xml:space="preserve">a través de una metodología conocida y validada por los agentes de este mercado </w:t>
      </w:r>
      <w:r w:rsidRPr="00EE2FA1">
        <w:rPr>
          <w:rFonts w:ascii="Times New Roman" w:eastAsia="Calibri" w:hAnsi="Times New Roman" w:cs="Times New Roman"/>
          <w:sz w:val="28"/>
          <w:szCs w:val="28"/>
          <w:lang w:eastAsia="es-ES"/>
        </w:rPr>
        <w:t>específico</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por lo demás, </w:t>
      </w:r>
      <w:r w:rsidRPr="00EE2FA1">
        <w:rPr>
          <w:rFonts w:ascii="Times New Roman" w:eastAsia="Calibri" w:hAnsi="Times New Roman" w:cs="Times New Roman"/>
          <w:sz w:val="28"/>
          <w:szCs w:val="28"/>
          <w:lang w:eastAsia="es-ES"/>
        </w:rPr>
        <w:t xml:space="preserve">las diferencias </w:t>
      </w:r>
      <w:r w:rsidRPr="00EE2FA1">
        <w:rPr>
          <w:rFonts w:ascii="Times New Roman" w:eastAsia="Calibri" w:hAnsi="Times New Roman" w:cs="Times New Roman"/>
          <w:sz w:val="28"/>
          <w:szCs w:val="28"/>
          <w:lang w:eastAsia="es-ES"/>
        </w:rPr>
        <w:t xml:space="preserve">que se presenten </w:t>
      </w:r>
      <w:r w:rsidRPr="00EE2FA1">
        <w:rPr>
          <w:rFonts w:ascii="Times New Roman" w:eastAsia="Calibri" w:hAnsi="Times New Roman" w:cs="Times New Roman"/>
          <w:sz w:val="28"/>
          <w:szCs w:val="28"/>
          <w:lang w:eastAsia="es-ES"/>
        </w:rPr>
        <w:t>con aquella pueden ser objeto de control judicial ante la jurisdicción de lo contencioso administrativo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Para la Sala es evidente que esta arquitectura tributaria </w:t>
      </w:r>
      <w:r w:rsidRPr="00EE2FA1">
        <w:rPr>
          <w:rFonts w:ascii="Times New Roman" w:eastAsia="Calibri" w:hAnsi="Times New Roman" w:cs="Times New Roman"/>
          <w:sz w:val="28"/>
          <w:szCs w:val="28"/>
          <w:lang w:eastAsia="es-ES"/>
        </w:rPr>
        <w:t>responde al</w:t>
      </w:r>
      <w:r w:rsidRPr="00EE2FA1">
        <w:rPr>
          <w:rFonts w:ascii="Times New Roman" w:eastAsia="Calibri" w:hAnsi="Times New Roman" w:cs="Times New Roman"/>
          <w:sz w:val="28"/>
          <w:szCs w:val="28"/>
          <w:lang w:eastAsia="es-ES"/>
        </w:rPr>
        <w:t xml:space="preserve"> alto</w:t>
      </w:r>
      <w:r w:rsidRPr="00EE2FA1">
        <w:rPr>
          <w:rFonts w:ascii="Times New Roman" w:eastAsia="Calibri" w:hAnsi="Times New Roman" w:cs="Times New Roman"/>
          <w:sz w:val="28"/>
          <w:szCs w:val="28"/>
          <w:lang w:eastAsia="es-ES"/>
        </w:rPr>
        <w:t xml:space="preserve"> nivel de tecnific</w:t>
      </w:r>
      <w:r w:rsidRPr="00EE2FA1">
        <w:rPr>
          <w:rFonts w:ascii="Times New Roman" w:eastAsia="Calibri" w:hAnsi="Times New Roman" w:cs="Times New Roman"/>
          <w:sz w:val="28"/>
          <w:szCs w:val="28"/>
          <w:lang w:eastAsia="es-ES"/>
        </w:rPr>
        <w:t>ación del sector.</w:t>
      </w:r>
      <w:r w:rsidRPr="00EE2FA1">
        <w:rPr>
          <w:rFonts w:ascii="Times New Roman" w:eastAsia="Calibri" w:hAnsi="Times New Roman" w:cs="Times New Roman"/>
          <w:sz w:val="28"/>
          <w:szCs w:val="28"/>
          <w:lang w:eastAsia="es-ES"/>
        </w:rPr>
        <w:t xml:space="preserve"> Asimismo y considerando que los efectos de la norma atacada solo se producirán a partir de la declaración y pago tributarios de renta que se generen en 2024, con relación al año 2023, tampoco cabe admitir que aquella sea retroactiva, pues</w:t>
      </w:r>
      <w:r w:rsidRPr="00EE2FA1">
        <w:rPr>
          <w:rFonts w:ascii="Times New Roman" w:eastAsia="Calibri" w:hAnsi="Times New Roman" w:cs="Times New Roman"/>
          <w:sz w:val="28"/>
          <w:szCs w:val="28"/>
          <w:lang w:eastAsia="es-ES"/>
        </w:rPr>
        <w:t xml:space="preserve"> la autoridad administrativa tendrá en cuenta los precios promedio del año gravable 2023, posterior al de entrada en vigencia de la Ley 2277.</w:t>
      </w:r>
      <w:r w:rsidRPr="00EE2FA1">
        <w:rPr>
          <w:rFonts w:ascii="Times New Roman" w:eastAsia="Calibri" w:hAnsi="Times New Roman" w:cs="Times New Roman"/>
          <w:sz w:val="28"/>
          <w:szCs w:val="28"/>
          <w:lang w:eastAsia="es-ES"/>
        </w:rPr>
        <w:t xml:space="preserve"> </w:t>
      </w:r>
    </w:p>
    <w:p w:rsidR="00170650" w:rsidRPr="00EE2FA1" w:rsidRDefault="00EE2FA1" w:rsidP="0017065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232CCE" w:rsidRPr="00EE2FA1" w:rsidRDefault="00EE2FA1" w:rsidP="00232CCE">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bCs/>
          <w:sz w:val="28"/>
          <w:szCs w:val="28"/>
        </w:rPr>
        <w:t xml:space="preserve">De igual manera, la Sala precisa que </w:t>
      </w:r>
      <w:r w:rsidRPr="00EE2FA1">
        <w:rPr>
          <w:rFonts w:ascii="Times New Roman" w:hAnsi="Times New Roman" w:cs="Times New Roman"/>
          <w:bCs/>
          <w:sz w:val="28"/>
          <w:szCs w:val="28"/>
          <w:lang w:val="es-MX"/>
        </w:rPr>
        <w:t xml:space="preserve">la </w:t>
      </w:r>
      <w:r w:rsidRPr="00EE2FA1">
        <w:rPr>
          <w:rFonts w:ascii="Times New Roman" w:hAnsi="Times New Roman" w:cs="Times New Roman"/>
          <w:bCs/>
          <w:sz w:val="28"/>
          <w:szCs w:val="28"/>
        </w:rPr>
        <w:t>publicación de la información correspondiente a los precios promedio del año gravable inmediatamente anterior, por parte de la ANH, es meramente informativa y no tiene efectos impositivos propios. La tarifa de la sobretasa del impuesto sobre la renta sí fu</w:t>
      </w:r>
      <w:r w:rsidRPr="00EE2FA1">
        <w:rPr>
          <w:rFonts w:ascii="Times New Roman" w:hAnsi="Times New Roman" w:cs="Times New Roman"/>
          <w:bCs/>
          <w:sz w:val="28"/>
          <w:szCs w:val="28"/>
        </w:rPr>
        <w:t xml:space="preserve">e fijada previamente </w:t>
      </w:r>
      <w:r w:rsidRPr="00EE2FA1">
        <w:rPr>
          <w:rFonts w:ascii="Times New Roman" w:hAnsi="Times New Roman" w:cs="Times New Roman"/>
          <w:bCs/>
          <w:sz w:val="28"/>
          <w:szCs w:val="28"/>
        </w:rPr>
        <w:t xml:space="preserve">por </w:t>
      </w:r>
      <w:r w:rsidRPr="00EE2FA1">
        <w:rPr>
          <w:rFonts w:ascii="Times New Roman" w:hAnsi="Times New Roman" w:cs="Times New Roman"/>
          <w:bCs/>
          <w:sz w:val="28"/>
          <w:szCs w:val="28"/>
        </w:rPr>
        <w:t xml:space="preserve">la norma y </w:t>
      </w:r>
      <w:r w:rsidRPr="00EE2FA1">
        <w:rPr>
          <w:rFonts w:ascii="Times New Roman" w:hAnsi="Times New Roman" w:cs="Times New Roman"/>
          <w:bCs/>
          <w:sz w:val="28"/>
          <w:szCs w:val="28"/>
        </w:rPr>
        <w:t xml:space="preserve">de esta se desprenden los </w:t>
      </w:r>
      <w:r w:rsidRPr="00EE2FA1">
        <w:rPr>
          <w:rFonts w:ascii="Times New Roman" w:hAnsi="Times New Roman" w:cs="Times New Roman"/>
          <w:bCs/>
          <w:sz w:val="28"/>
          <w:szCs w:val="28"/>
        </w:rPr>
        <w:t>efectos</w:t>
      </w:r>
      <w:r w:rsidRPr="00EE2FA1">
        <w:rPr>
          <w:rFonts w:ascii="Times New Roman" w:hAnsi="Times New Roman" w:cs="Times New Roman"/>
          <w:bCs/>
          <w:sz w:val="28"/>
          <w:szCs w:val="28"/>
        </w:rPr>
        <w:t xml:space="preserve"> impositivos</w:t>
      </w:r>
      <w:r w:rsidRPr="00EE2FA1">
        <w:rPr>
          <w:rFonts w:ascii="Times New Roman" w:hAnsi="Times New Roman" w:cs="Times New Roman"/>
          <w:bCs/>
          <w:sz w:val="28"/>
          <w:szCs w:val="28"/>
        </w:rPr>
        <w:t xml:space="preserve">, concretándose en la liquidación que se hará </w:t>
      </w:r>
      <w:r w:rsidRPr="00EE2FA1">
        <w:rPr>
          <w:rFonts w:ascii="Times New Roman" w:hAnsi="Times New Roman" w:cs="Times New Roman"/>
          <w:bCs/>
          <w:sz w:val="28"/>
          <w:szCs w:val="28"/>
        </w:rPr>
        <w:t>con base en la información que</w:t>
      </w:r>
      <w:r w:rsidRPr="00EE2FA1">
        <w:rPr>
          <w:rFonts w:ascii="Times New Roman" w:hAnsi="Times New Roman" w:cs="Times New Roman"/>
          <w:bCs/>
          <w:sz w:val="28"/>
          <w:szCs w:val="28"/>
        </w:rPr>
        <w:t xml:space="preserve"> la ANH</w:t>
      </w:r>
      <w:r w:rsidRPr="00EE2FA1">
        <w:rPr>
          <w:rFonts w:ascii="Times New Roman" w:hAnsi="Times New Roman" w:cs="Times New Roman"/>
          <w:bCs/>
          <w:sz w:val="28"/>
          <w:szCs w:val="28"/>
        </w:rPr>
        <w:t xml:space="preserve"> publique</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 xml:space="preserve">en ejecución de </w:t>
      </w:r>
      <w:r w:rsidRPr="00EE2FA1">
        <w:rPr>
          <w:rFonts w:ascii="Times New Roman" w:hAnsi="Times New Roman" w:cs="Times New Roman"/>
          <w:bCs/>
          <w:sz w:val="28"/>
          <w:szCs w:val="28"/>
        </w:rPr>
        <w:t>la metodología del caso</w:t>
      </w:r>
      <w:r w:rsidRPr="00EE2FA1">
        <w:rPr>
          <w:rFonts w:ascii="Times New Roman" w:hAnsi="Times New Roman" w:cs="Times New Roman"/>
          <w:bCs/>
          <w:sz w:val="28"/>
          <w:szCs w:val="28"/>
        </w:rPr>
        <w:t xml:space="preserve">. </w:t>
      </w:r>
      <w:r w:rsidRPr="00EE2FA1">
        <w:rPr>
          <w:rFonts w:ascii="Times New Roman" w:hAnsi="Times New Roman" w:cs="Times New Roman"/>
          <w:bCs/>
          <w:sz w:val="28"/>
          <w:szCs w:val="28"/>
        </w:rPr>
        <w:t>Es claro que</w:t>
      </w:r>
      <w:r w:rsidRPr="00EE2FA1">
        <w:rPr>
          <w:rFonts w:ascii="Times New Roman" w:hAnsi="Times New Roman" w:cs="Times New Roman"/>
          <w:bCs/>
          <w:sz w:val="28"/>
          <w:szCs w:val="28"/>
        </w:rPr>
        <w:t xml:space="preserve"> la norma estatuye las «[c]on</w:t>
      </w:r>
      <w:r w:rsidRPr="00EE2FA1">
        <w:rPr>
          <w:rFonts w:ascii="Times New Roman" w:hAnsi="Times New Roman" w:cs="Times New Roman"/>
          <w:bCs/>
          <w:sz w:val="28"/>
          <w:szCs w:val="28"/>
        </w:rPr>
        <w:t>dicion[es] de adición de los puntos adicionales» en la tarifa del impuesto sobre la renta y, por tanto, las reglas de juego a las que se encuentran sujetas las empresas del sector</w:t>
      </w:r>
      <w:r w:rsidRPr="00EE2FA1">
        <w:rPr>
          <w:rFonts w:ascii="Times New Roman" w:hAnsi="Times New Roman" w:cs="Times New Roman"/>
          <w:bCs/>
          <w:sz w:val="28"/>
          <w:szCs w:val="28"/>
        </w:rPr>
        <w:t xml:space="preserve">, las que son conocidas previamente por los sujetos pasivos de la obligación </w:t>
      </w:r>
      <w:r w:rsidRPr="00EE2FA1">
        <w:rPr>
          <w:rFonts w:ascii="Times New Roman" w:hAnsi="Times New Roman" w:cs="Times New Roman"/>
          <w:bCs/>
          <w:sz w:val="28"/>
          <w:szCs w:val="28"/>
        </w:rPr>
        <w:t>tributaria</w:t>
      </w:r>
      <w:r w:rsidRPr="00EE2FA1">
        <w:rPr>
          <w:rFonts w:ascii="Times New Roman" w:hAnsi="Times New Roman" w:cs="Times New Roman"/>
          <w:bCs/>
          <w:sz w:val="28"/>
          <w:szCs w:val="28"/>
        </w:rPr>
        <w:t xml:space="preserve">. </w:t>
      </w:r>
    </w:p>
    <w:p w:rsidR="00232CCE" w:rsidRPr="00EE2FA1" w:rsidRDefault="00EE2FA1" w:rsidP="005574E0">
      <w:pPr>
        <w:pStyle w:val="Prrafodelista"/>
        <w:rPr>
          <w:rFonts w:ascii="Times New Roman" w:hAnsi="Times New Roman" w:cs="Times New Roman"/>
          <w:bCs/>
          <w:sz w:val="28"/>
          <w:szCs w:val="28"/>
        </w:rPr>
      </w:pPr>
    </w:p>
    <w:p w:rsidR="00A3440F" w:rsidRPr="00EE2FA1" w:rsidRDefault="00EE2FA1" w:rsidP="00232CCE">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bCs/>
          <w:sz w:val="28"/>
          <w:szCs w:val="28"/>
        </w:rPr>
        <w:t>De otro lado, dichas condiciones se sustentan en los precios promedio mensuales de los últimos 120 meses (diez años) anteriores al respectivo año gravable</w:t>
      </w:r>
      <w:r w:rsidRPr="00EE2FA1">
        <w:rPr>
          <w:rFonts w:ascii="Times New Roman" w:hAnsi="Times New Roman" w:cs="Times New Roman"/>
          <w:bCs/>
          <w:sz w:val="28"/>
          <w:szCs w:val="28"/>
        </w:rPr>
        <w:t xml:space="preserve">, variables o parámetros anteriores a la vigencia de la norma que se aplican para </w:t>
      </w:r>
      <w:r w:rsidRPr="00EE2FA1">
        <w:rPr>
          <w:rFonts w:ascii="Times New Roman" w:hAnsi="Times New Roman" w:cs="Times New Roman"/>
          <w:bCs/>
          <w:sz w:val="28"/>
          <w:szCs w:val="28"/>
        </w:rPr>
        <w:t xml:space="preserve">hacer </w:t>
      </w:r>
      <w:r w:rsidRPr="00EE2FA1">
        <w:rPr>
          <w:rFonts w:ascii="Times New Roman" w:hAnsi="Times New Roman" w:cs="Times New Roman"/>
          <w:bCs/>
          <w:sz w:val="28"/>
          <w:szCs w:val="28"/>
        </w:rPr>
        <w:t xml:space="preserve">operativo </w:t>
      </w:r>
      <w:r w:rsidRPr="00EE2FA1">
        <w:rPr>
          <w:rFonts w:ascii="Times New Roman" w:hAnsi="Times New Roman" w:cs="Times New Roman"/>
          <w:bCs/>
          <w:sz w:val="28"/>
          <w:szCs w:val="28"/>
        </w:rPr>
        <w:t>el método de cálculo de la obligación tributaria</w:t>
      </w:r>
      <w:r w:rsidRPr="00EE2FA1">
        <w:rPr>
          <w:rFonts w:ascii="Times New Roman" w:hAnsi="Times New Roman" w:cs="Times New Roman"/>
          <w:bCs/>
          <w:sz w:val="28"/>
          <w:szCs w:val="28"/>
        </w:rPr>
        <w:t>. Estas características de la sobretasa dan cuenta de que la norma no desconoce el principio de irretroactividad de la ley tributaria.</w:t>
      </w:r>
      <w:r w:rsidRPr="00EE2FA1">
        <w:rPr>
          <w:rFonts w:ascii="Times New Roman" w:hAnsi="Times New Roman" w:cs="Times New Roman"/>
          <w:bCs/>
          <w:sz w:val="28"/>
          <w:szCs w:val="28"/>
        </w:rPr>
        <w:t xml:space="preserve"> De igual forma, la Sala precisa </w:t>
      </w:r>
      <w:r w:rsidRPr="00EE2FA1">
        <w:rPr>
          <w:rFonts w:ascii="Times New Roman" w:hAnsi="Times New Roman" w:cs="Times New Roman"/>
          <w:color w:val="000000" w:themeColor="text1"/>
          <w:sz w:val="28"/>
          <w:szCs w:val="28"/>
        </w:rPr>
        <w:t>que el hecho gravado es la rent</w:t>
      </w:r>
      <w:r w:rsidRPr="00EE2FA1">
        <w:rPr>
          <w:rFonts w:ascii="Times New Roman" w:hAnsi="Times New Roman" w:cs="Times New Roman"/>
          <w:color w:val="000000" w:themeColor="text1"/>
          <w:sz w:val="28"/>
          <w:szCs w:val="28"/>
        </w:rPr>
        <w:t>a líquida de un año gravable</w:t>
      </w:r>
      <w:r w:rsidRPr="00EE2FA1">
        <w:rPr>
          <w:rFonts w:ascii="Times New Roman" w:hAnsi="Times New Roman" w:cs="Times New Roman"/>
          <w:color w:val="000000" w:themeColor="text1"/>
          <w:sz w:val="28"/>
          <w:szCs w:val="28"/>
        </w:rPr>
        <w:t xml:space="preserve"> determinado</w:t>
      </w:r>
      <w:r w:rsidRPr="00EE2FA1">
        <w:rPr>
          <w:rFonts w:ascii="Times New Roman" w:hAnsi="Times New Roman" w:cs="Times New Roman"/>
          <w:color w:val="000000" w:themeColor="text1"/>
          <w:sz w:val="28"/>
          <w:szCs w:val="28"/>
        </w:rPr>
        <w:t xml:space="preserve"> </w:t>
      </w:r>
      <w:r w:rsidRPr="00EE2FA1">
        <w:rPr>
          <w:rFonts w:ascii="Times New Roman" w:hAnsi="Times New Roman" w:cs="Times New Roman"/>
          <w:color w:val="000000" w:themeColor="text1"/>
          <w:sz w:val="28"/>
          <w:szCs w:val="28"/>
        </w:rPr>
        <w:t>y que la sobretarifa se concreta conforme</w:t>
      </w:r>
      <w:r w:rsidRPr="00EE2FA1">
        <w:rPr>
          <w:rFonts w:ascii="Times New Roman" w:hAnsi="Times New Roman" w:cs="Times New Roman"/>
          <w:color w:val="000000" w:themeColor="text1"/>
          <w:sz w:val="28"/>
          <w:szCs w:val="28"/>
        </w:rPr>
        <w:t xml:space="preserve"> el aumento de los precios del crudo</w:t>
      </w:r>
      <w:r w:rsidRPr="00EE2FA1">
        <w:rPr>
          <w:rFonts w:ascii="Times New Roman" w:eastAsia="Calibri" w:hAnsi="Times New Roman" w:cs="Times New Roman"/>
          <w:sz w:val="28"/>
          <w:szCs w:val="28"/>
          <w:lang w:eastAsia="es-ES"/>
        </w:rPr>
        <w:t xml:space="preserve">, en aplicación del </w:t>
      </w:r>
      <w:r w:rsidRPr="00EE2FA1">
        <w:rPr>
          <w:rFonts w:ascii="Times New Roman" w:hAnsi="Times New Roman" w:cs="Times New Roman"/>
          <w:color w:val="000000" w:themeColor="text1"/>
          <w:sz w:val="28"/>
          <w:szCs w:val="28"/>
        </w:rPr>
        <w:t xml:space="preserve">método </w:t>
      </w:r>
      <w:r w:rsidRPr="00EE2FA1">
        <w:rPr>
          <w:rFonts w:ascii="Times New Roman" w:hAnsi="Times New Roman" w:cs="Times New Roman"/>
          <w:color w:val="000000" w:themeColor="text1"/>
          <w:sz w:val="28"/>
          <w:szCs w:val="28"/>
        </w:rPr>
        <w:t>para definir</w:t>
      </w:r>
      <w:r w:rsidRPr="00EE2FA1">
        <w:rPr>
          <w:rFonts w:ascii="Times New Roman" w:hAnsi="Times New Roman" w:cs="Times New Roman"/>
          <w:color w:val="000000" w:themeColor="text1"/>
          <w:sz w:val="28"/>
          <w:szCs w:val="28"/>
        </w:rPr>
        <w:t xml:space="preserve"> </w:t>
      </w:r>
      <w:r w:rsidRPr="00EE2FA1">
        <w:rPr>
          <w:rFonts w:ascii="Times New Roman" w:hAnsi="Times New Roman" w:cs="Times New Roman"/>
          <w:color w:val="000000" w:themeColor="text1"/>
          <w:sz w:val="28"/>
          <w:szCs w:val="28"/>
        </w:rPr>
        <w:t>aquella,</w:t>
      </w:r>
      <w:r w:rsidRPr="00EE2FA1">
        <w:rPr>
          <w:rFonts w:ascii="Times New Roman" w:hAnsi="Times New Roman" w:cs="Times New Roman"/>
          <w:color w:val="000000" w:themeColor="text1"/>
          <w:sz w:val="28"/>
          <w:szCs w:val="28"/>
        </w:rPr>
        <w:t xml:space="preserve"> </w:t>
      </w:r>
      <w:r w:rsidRPr="00EE2FA1">
        <w:rPr>
          <w:rFonts w:ascii="Times New Roman" w:hAnsi="Times New Roman" w:cs="Times New Roman"/>
          <w:color w:val="000000" w:themeColor="text1"/>
          <w:sz w:val="28"/>
          <w:szCs w:val="28"/>
        </w:rPr>
        <w:t>sin que tal mecanismo grave</w:t>
      </w:r>
      <w:r w:rsidRPr="00EE2FA1">
        <w:rPr>
          <w:rFonts w:ascii="Times New Roman" w:hAnsi="Times New Roman" w:cs="Times New Roman"/>
          <w:color w:val="000000" w:themeColor="text1"/>
          <w:sz w:val="28"/>
          <w:szCs w:val="28"/>
        </w:rPr>
        <w:t xml:space="preserve"> situaciones jurídicas consolidadas anteriores al año correspondiente</w:t>
      </w:r>
      <w:r w:rsidRPr="00EE2FA1">
        <w:rPr>
          <w:rFonts w:ascii="Times New Roman" w:hAnsi="Times New Roman" w:cs="Times New Roman"/>
          <w:color w:val="000000" w:themeColor="text1"/>
          <w:sz w:val="28"/>
          <w:szCs w:val="28"/>
        </w:rPr>
        <w:t>,</w:t>
      </w:r>
      <w:r w:rsidRPr="00EE2FA1">
        <w:rPr>
          <w:rFonts w:ascii="Times New Roman" w:hAnsi="Times New Roman" w:cs="Times New Roman"/>
          <w:color w:val="000000" w:themeColor="text1"/>
          <w:sz w:val="28"/>
          <w:szCs w:val="28"/>
        </w:rPr>
        <w:t xml:space="preserve"> </w:t>
      </w:r>
      <w:r w:rsidRPr="00EE2FA1">
        <w:rPr>
          <w:rFonts w:ascii="Times New Roman" w:hAnsi="Times New Roman" w:cs="Times New Roman"/>
          <w:color w:val="000000" w:themeColor="text1"/>
          <w:sz w:val="28"/>
          <w:szCs w:val="28"/>
        </w:rPr>
        <w:t xml:space="preserve">pues </w:t>
      </w:r>
      <w:r w:rsidRPr="00EE2FA1">
        <w:rPr>
          <w:rFonts w:ascii="Times New Roman" w:hAnsi="Times New Roman" w:cs="Times New Roman"/>
          <w:color w:val="000000" w:themeColor="text1"/>
          <w:sz w:val="28"/>
          <w:szCs w:val="28"/>
        </w:rPr>
        <w:t xml:space="preserve">únicamente </w:t>
      </w:r>
      <w:r w:rsidRPr="00EE2FA1">
        <w:rPr>
          <w:rFonts w:ascii="Times New Roman" w:hAnsi="Times New Roman" w:cs="Times New Roman"/>
          <w:color w:val="000000" w:themeColor="text1"/>
          <w:sz w:val="28"/>
          <w:szCs w:val="28"/>
        </w:rPr>
        <w:t xml:space="preserve">aplica información sobre </w:t>
      </w:r>
      <w:r w:rsidRPr="00EE2FA1">
        <w:rPr>
          <w:rFonts w:ascii="Times New Roman" w:hAnsi="Times New Roman" w:cs="Times New Roman"/>
          <w:color w:val="000000" w:themeColor="text1"/>
          <w:sz w:val="28"/>
          <w:szCs w:val="28"/>
        </w:rPr>
        <w:t>parámetro</w:t>
      </w:r>
      <w:r w:rsidRPr="00EE2FA1">
        <w:rPr>
          <w:rFonts w:ascii="Times New Roman" w:hAnsi="Times New Roman" w:cs="Times New Roman"/>
          <w:color w:val="000000" w:themeColor="text1"/>
          <w:sz w:val="28"/>
          <w:szCs w:val="28"/>
        </w:rPr>
        <w:t>s previos en relación con</w:t>
      </w:r>
      <w:r w:rsidRPr="00EE2FA1">
        <w:rPr>
          <w:rFonts w:ascii="Times New Roman" w:hAnsi="Times New Roman" w:cs="Times New Roman"/>
          <w:color w:val="000000" w:themeColor="text1"/>
          <w:sz w:val="28"/>
          <w:szCs w:val="28"/>
        </w:rPr>
        <w:t xml:space="preserve"> el precio promedio del barril de petróleo.</w:t>
      </w:r>
      <w:r w:rsidRPr="00EE2FA1">
        <w:rPr>
          <w:rFonts w:ascii="Times New Roman" w:hAnsi="Times New Roman" w:cs="Times New Roman"/>
          <w:color w:val="000000" w:themeColor="text1"/>
          <w:sz w:val="28"/>
          <w:szCs w:val="28"/>
        </w:rPr>
        <w:t xml:space="preserve"> No le asiste razón a la demandante en este cargo, pues es preciso </w:t>
      </w:r>
      <w:r w:rsidRPr="00EE2FA1">
        <w:rPr>
          <w:rFonts w:ascii="Times New Roman" w:hAnsi="Times New Roman" w:cs="Times New Roman"/>
          <w:color w:val="000000" w:themeColor="text1"/>
          <w:sz w:val="28"/>
          <w:szCs w:val="28"/>
        </w:rPr>
        <w:t xml:space="preserve">diferenciar entre el hecho gravado y el método para definir la tarifa, así como considerar que, como en todo impuesto, la liquidación corresponderá a una operación que aplique los estándares legales propios, que en este caso comprende la información anual </w:t>
      </w:r>
      <w:r w:rsidRPr="00EE2FA1">
        <w:rPr>
          <w:rFonts w:ascii="Times New Roman" w:hAnsi="Times New Roman" w:cs="Times New Roman"/>
          <w:color w:val="000000" w:themeColor="text1"/>
          <w:sz w:val="28"/>
          <w:szCs w:val="28"/>
        </w:rPr>
        <w:t>publicada por la ANH</w:t>
      </w:r>
      <w:r w:rsidRPr="00EE2FA1">
        <w:rPr>
          <w:rFonts w:ascii="Times New Roman" w:hAnsi="Times New Roman" w:cs="Times New Roman"/>
          <w:color w:val="000000" w:themeColor="text1"/>
          <w:sz w:val="28"/>
          <w:szCs w:val="28"/>
        </w:rPr>
        <w:t xml:space="preserve"> sobre hechos ocurridos previamente y en el período gravable</w:t>
      </w:r>
      <w:r w:rsidRPr="00EE2FA1">
        <w:rPr>
          <w:rFonts w:ascii="Times New Roman" w:hAnsi="Times New Roman" w:cs="Times New Roman"/>
          <w:color w:val="000000" w:themeColor="text1"/>
          <w:sz w:val="28"/>
          <w:szCs w:val="28"/>
        </w:rPr>
        <w:t>.</w:t>
      </w:r>
    </w:p>
    <w:p w:rsidR="0016568A" w:rsidRPr="00EE2FA1" w:rsidRDefault="00EE2FA1" w:rsidP="0016568A">
      <w:pPr>
        <w:pStyle w:val="Prrafodelista"/>
        <w:rPr>
          <w:rFonts w:ascii="Times New Roman" w:hAnsi="Times New Roman" w:cs="Times New Roman"/>
          <w:sz w:val="28"/>
          <w:szCs w:val="28"/>
        </w:rPr>
      </w:pPr>
    </w:p>
    <w:p w:rsidR="009A4B55" w:rsidRPr="00EE2FA1" w:rsidRDefault="00EE2FA1" w:rsidP="00A3440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De otro lado, aunque </w:t>
      </w:r>
      <w:r w:rsidRPr="00EE2FA1">
        <w:rPr>
          <w:rFonts w:ascii="Times New Roman" w:hAnsi="Times New Roman" w:cs="Times New Roman"/>
          <w:sz w:val="28"/>
          <w:szCs w:val="28"/>
        </w:rPr>
        <w:t>la disposición acusada alude a variables e índices internacionales cuya publicación ocurre después del cierre del año fiscal, ello no supone una violaci</w:t>
      </w:r>
      <w:r w:rsidRPr="00EE2FA1">
        <w:rPr>
          <w:rFonts w:ascii="Times New Roman" w:hAnsi="Times New Roman" w:cs="Times New Roman"/>
          <w:sz w:val="28"/>
          <w:szCs w:val="28"/>
        </w:rPr>
        <w:t>ón de la prohibición de retroactividad. Esto por cuanto los hechos económicos que se expresan mediante esos índices se generan y consolidan durante el período fiscal relevante</w:t>
      </w:r>
      <w:r w:rsidRPr="00EE2FA1">
        <w:rPr>
          <w:rFonts w:ascii="Times New Roman" w:hAnsi="Times New Roman" w:cs="Times New Roman"/>
          <w:sz w:val="28"/>
          <w:szCs w:val="28"/>
        </w:rPr>
        <w:t xml:space="preserve"> y antes</w:t>
      </w:r>
      <w:r w:rsidRPr="00EE2FA1">
        <w:rPr>
          <w:rFonts w:ascii="Times New Roman" w:hAnsi="Times New Roman" w:cs="Times New Roman"/>
          <w:sz w:val="28"/>
          <w:szCs w:val="28"/>
        </w:rPr>
        <w:t>. Esto significa que la base imponible y las obligaciones tributarias der</w:t>
      </w:r>
      <w:r w:rsidRPr="00EE2FA1">
        <w:rPr>
          <w:rFonts w:ascii="Times New Roman" w:hAnsi="Times New Roman" w:cs="Times New Roman"/>
          <w:sz w:val="28"/>
          <w:szCs w:val="28"/>
        </w:rPr>
        <w:t>ivadas de la aplicación de esta norma se fundamentan en hechos y circunstancias que ya existían y eran conocidos por los contribuyentes dentro del período fiscal en cuestión.</w:t>
      </w:r>
      <w:r w:rsidRPr="00EE2FA1">
        <w:rPr>
          <w:rFonts w:ascii="Times New Roman" w:eastAsia="Calibri" w:hAnsi="Times New Roman" w:cs="Times New Roman"/>
          <w:sz w:val="28"/>
          <w:szCs w:val="28"/>
          <w:lang w:eastAsia="es-ES"/>
        </w:rPr>
        <w:t xml:space="preserve"> </w:t>
      </w:r>
      <w:r w:rsidRPr="00EE2FA1">
        <w:rPr>
          <w:rFonts w:ascii="Times New Roman" w:hAnsi="Times New Roman" w:cs="Times New Roman"/>
          <w:sz w:val="28"/>
          <w:szCs w:val="28"/>
        </w:rPr>
        <w:t xml:space="preserve">Dicho de otro modo, la norma no </w:t>
      </w:r>
      <w:r w:rsidRPr="00EE2FA1">
        <w:rPr>
          <w:rFonts w:ascii="Times New Roman" w:hAnsi="Times New Roman" w:cs="Times New Roman"/>
          <w:sz w:val="28"/>
          <w:szCs w:val="28"/>
        </w:rPr>
        <w:t>modifica situaciones jurídica consolidadas previa</w:t>
      </w:r>
      <w:r w:rsidRPr="00EE2FA1">
        <w:rPr>
          <w:rFonts w:ascii="Times New Roman" w:hAnsi="Times New Roman" w:cs="Times New Roman"/>
          <w:sz w:val="28"/>
          <w:szCs w:val="28"/>
        </w:rPr>
        <w:t>mente a su vigencia,</w:t>
      </w:r>
      <w:r w:rsidRPr="00EE2FA1">
        <w:rPr>
          <w:rFonts w:ascii="Times New Roman" w:hAnsi="Times New Roman" w:cs="Times New Roman"/>
          <w:sz w:val="28"/>
          <w:szCs w:val="28"/>
        </w:rPr>
        <w:t xml:space="preserve"> ni altera las expectativas legítimas de los contribuyentes sobre las reglas aplicables a su situación fiscal dentro del período gravable. Por el contrario, los datos que se publican de forma posterior solo son </w:t>
      </w:r>
      <w:r w:rsidRPr="00EE2FA1">
        <w:rPr>
          <w:rFonts w:ascii="Times New Roman" w:hAnsi="Times New Roman" w:cs="Times New Roman"/>
          <w:sz w:val="28"/>
          <w:szCs w:val="28"/>
        </w:rPr>
        <w:t xml:space="preserve">cifras estadísticas </w:t>
      </w:r>
      <w:r w:rsidRPr="00EE2FA1">
        <w:rPr>
          <w:rFonts w:ascii="Times New Roman" w:hAnsi="Times New Roman" w:cs="Times New Roman"/>
          <w:sz w:val="28"/>
          <w:szCs w:val="28"/>
        </w:rPr>
        <w:t>prove</w:t>
      </w:r>
      <w:r w:rsidRPr="00EE2FA1">
        <w:rPr>
          <w:rFonts w:ascii="Times New Roman" w:hAnsi="Times New Roman" w:cs="Times New Roman"/>
          <w:sz w:val="28"/>
          <w:szCs w:val="28"/>
        </w:rPr>
        <w:t>nientes de hechos ya ocurridos durante el periodo del hecho generador</w:t>
      </w:r>
      <w:r w:rsidRPr="00EE2FA1">
        <w:rPr>
          <w:rFonts w:ascii="Times New Roman" w:hAnsi="Times New Roman" w:cs="Times New Roman"/>
          <w:sz w:val="28"/>
          <w:szCs w:val="28"/>
        </w:rPr>
        <w:t xml:space="preserve"> y </w:t>
      </w:r>
      <w:r w:rsidRPr="00EE2FA1">
        <w:rPr>
          <w:rFonts w:ascii="Times New Roman" w:hAnsi="Times New Roman" w:cs="Times New Roman"/>
          <w:sz w:val="28"/>
          <w:szCs w:val="28"/>
        </w:rPr>
        <w:t xml:space="preserve">previo </w:t>
      </w:r>
      <w:r w:rsidRPr="00EE2FA1">
        <w:rPr>
          <w:rFonts w:ascii="Times New Roman" w:hAnsi="Times New Roman" w:cs="Times New Roman"/>
          <w:sz w:val="28"/>
          <w:szCs w:val="28"/>
        </w:rPr>
        <w:t>a él</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En otras palabras</w:t>
      </w:r>
      <w:r w:rsidRPr="00EE2FA1">
        <w:rPr>
          <w:rFonts w:ascii="Times New Roman" w:hAnsi="Times New Roman" w:cs="Times New Roman"/>
          <w:sz w:val="28"/>
          <w:szCs w:val="28"/>
        </w:rPr>
        <w:t>,</w:t>
      </w:r>
      <w:r w:rsidRPr="00EE2FA1">
        <w:rPr>
          <w:rFonts w:ascii="Times New Roman" w:eastAsia="Calibri" w:hAnsi="Times New Roman" w:cs="Times New Roman"/>
          <w:color w:val="000000" w:themeColor="text1"/>
          <w:sz w:val="28"/>
          <w:szCs w:val="28"/>
          <w:lang w:eastAsia="es-ES"/>
        </w:rPr>
        <w:t xml:space="preserve"> si bien </w:t>
      </w:r>
      <w:r w:rsidRPr="00EE2FA1">
        <w:rPr>
          <w:rFonts w:ascii="Times New Roman" w:eastAsia="Calibri" w:hAnsi="Times New Roman" w:cs="Times New Roman"/>
          <w:color w:val="000000" w:themeColor="text1"/>
          <w:sz w:val="28"/>
          <w:szCs w:val="28"/>
          <w:lang w:eastAsia="es-ES"/>
        </w:rPr>
        <w:t>la publicación de información</w:t>
      </w:r>
      <w:r w:rsidRPr="00EE2FA1">
        <w:rPr>
          <w:rFonts w:ascii="Times New Roman" w:eastAsia="Calibri" w:hAnsi="Times New Roman" w:cs="Times New Roman"/>
          <w:color w:val="000000" w:themeColor="text1"/>
          <w:sz w:val="28"/>
          <w:szCs w:val="28"/>
          <w:lang w:eastAsia="es-ES"/>
        </w:rPr>
        <w:t xml:space="preserve"> </w:t>
      </w:r>
      <w:r w:rsidRPr="00EE2FA1">
        <w:rPr>
          <w:rFonts w:ascii="Times New Roman" w:eastAsia="Calibri" w:hAnsi="Times New Roman" w:cs="Times New Roman"/>
          <w:color w:val="000000" w:themeColor="text1"/>
          <w:sz w:val="28"/>
          <w:szCs w:val="28"/>
          <w:lang w:eastAsia="es-ES"/>
        </w:rPr>
        <w:t>sobre los datos del método tarifario</w:t>
      </w:r>
      <w:r w:rsidRPr="00EE2FA1">
        <w:rPr>
          <w:rFonts w:ascii="Times New Roman" w:eastAsia="Calibri" w:hAnsi="Times New Roman" w:cs="Times New Roman"/>
          <w:color w:val="000000" w:themeColor="text1"/>
          <w:sz w:val="28"/>
          <w:szCs w:val="28"/>
          <w:lang w:eastAsia="es-ES"/>
        </w:rPr>
        <w:t xml:space="preserve"> </w:t>
      </w:r>
      <w:r w:rsidRPr="00EE2FA1">
        <w:rPr>
          <w:rFonts w:ascii="Times New Roman" w:eastAsia="Calibri" w:hAnsi="Times New Roman" w:cs="Times New Roman"/>
          <w:color w:val="000000" w:themeColor="text1"/>
          <w:sz w:val="28"/>
          <w:szCs w:val="28"/>
          <w:lang w:eastAsia="es-ES"/>
        </w:rPr>
        <w:t xml:space="preserve">en el primer mes del año siguiente al año gravable </w:t>
      </w:r>
      <w:r w:rsidRPr="00EE2FA1">
        <w:rPr>
          <w:rFonts w:ascii="Times New Roman" w:eastAsia="Calibri" w:hAnsi="Times New Roman" w:cs="Times New Roman"/>
          <w:color w:val="000000" w:themeColor="text1"/>
          <w:sz w:val="28"/>
          <w:szCs w:val="28"/>
          <w:lang w:eastAsia="es-ES"/>
        </w:rPr>
        <w:t xml:space="preserve">permite </w:t>
      </w:r>
      <w:r w:rsidRPr="00EE2FA1">
        <w:rPr>
          <w:rFonts w:ascii="Times New Roman" w:eastAsia="Calibri" w:hAnsi="Times New Roman" w:cs="Times New Roman"/>
          <w:color w:val="000000" w:themeColor="text1"/>
          <w:sz w:val="28"/>
          <w:szCs w:val="28"/>
          <w:lang w:eastAsia="es-ES"/>
        </w:rPr>
        <w:t xml:space="preserve">liquidar el monto </w:t>
      </w:r>
      <w:r w:rsidRPr="00EE2FA1">
        <w:rPr>
          <w:rFonts w:ascii="Times New Roman" w:eastAsia="Calibri" w:hAnsi="Times New Roman" w:cs="Times New Roman"/>
          <w:color w:val="000000" w:themeColor="text1"/>
          <w:sz w:val="28"/>
          <w:szCs w:val="28"/>
          <w:lang w:eastAsia="es-ES"/>
        </w:rPr>
        <w:t>de la sobretarifa</w:t>
      </w:r>
      <w:r w:rsidRPr="00EE2FA1">
        <w:rPr>
          <w:rFonts w:ascii="Times New Roman" w:eastAsia="Calibri" w:hAnsi="Times New Roman" w:cs="Times New Roman"/>
          <w:color w:val="000000" w:themeColor="text1"/>
          <w:sz w:val="28"/>
          <w:szCs w:val="28"/>
          <w:lang w:eastAsia="es-ES"/>
        </w:rPr>
        <w:t>,</w:t>
      </w:r>
      <w:r w:rsidRPr="00EE2FA1">
        <w:rPr>
          <w:rFonts w:ascii="Times New Roman" w:eastAsia="Calibri" w:hAnsi="Times New Roman" w:cs="Times New Roman"/>
          <w:color w:val="000000" w:themeColor="text1"/>
          <w:sz w:val="28"/>
          <w:szCs w:val="28"/>
          <w:lang w:eastAsia="es-ES"/>
        </w:rPr>
        <w:t xml:space="preserve"> lo cierto es que los elementos que prevé la norma </w:t>
      </w:r>
      <w:r w:rsidRPr="00EE2FA1">
        <w:rPr>
          <w:rFonts w:ascii="Times New Roman" w:eastAsia="Calibri" w:hAnsi="Times New Roman" w:cs="Times New Roman"/>
          <w:color w:val="000000" w:themeColor="text1"/>
          <w:sz w:val="28"/>
          <w:szCs w:val="28"/>
          <w:lang w:eastAsia="es-ES"/>
        </w:rPr>
        <w:t xml:space="preserve">al definir </w:t>
      </w:r>
      <w:r w:rsidRPr="00EE2FA1">
        <w:rPr>
          <w:rFonts w:ascii="Times New Roman" w:eastAsia="Calibri" w:hAnsi="Times New Roman" w:cs="Times New Roman"/>
          <w:color w:val="000000" w:themeColor="text1"/>
          <w:sz w:val="28"/>
          <w:szCs w:val="28"/>
          <w:lang w:eastAsia="es-ES"/>
        </w:rPr>
        <w:t xml:space="preserve">dicho </w:t>
      </w:r>
      <w:r w:rsidRPr="00EE2FA1">
        <w:rPr>
          <w:rFonts w:ascii="Times New Roman" w:eastAsia="Calibri" w:hAnsi="Times New Roman" w:cs="Times New Roman"/>
          <w:color w:val="000000" w:themeColor="text1"/>
          <w:sz w:val="28"/>
          <w:szCs w:val="28"/>
          <w:lang w:eastAsia="es-ES"/>
        </w:rPr>
        <w:t xml:space="preserve">método, </w:t>
      </w:r>
      <w:r w:rsidRPr="00EE2FA1">
        <w:rPr>
          <w:rFonts w:ascii="Times New Roman" w:eastAsia="Calibri" w:hAnsi="Times New Roman" w:cs="Times New Roman"/>
          <w:color w:val="000000" w:themeColor="text1"/>
          <w:sz w:val="28"/>
          <w:szCs w:val="28"/>
          <w:lang w:eastAsia="es-ES"/>
        </w:rPr>
        <w:t>s</w:t>
      </w:r>
      <w:r w:rsidRPr="00EE2FA1">
        <w:rPr>
          <w:rFonts w:ascii="Times New Roman" w:eastAsia="Calibri" w:hAnsi="Times New Roman" w:cs="Times New Roman"/>
          <w:color w:val="000000" w:themeColor="text1"/>
          <w:sz w:val="28"/>
          <w:szCs w:val="28"/>
          <w:lang w:eastAsia="es-ES"/>
        </w:rPr>
        <w:t>í</w:t>
      </w:r>
      <w:r w:rsidRPr="00EE2FA1">
        <w:rPr>
          <w:rFonts w:ascii="Times New Roman" w:eastAsia="Calibri" w:hAnsi="Times New Roman" w:cs="Times New Roman"/>
          <w:color w:val="000000" w:themeColor="text1"/>
          <w:sz w:val="28"/>
          <w:szCs w:val="28"/>
          <w:lang w:eastAsia="es-ES"/>
        </w:rPr>
        <w:t xml:space="preserve"> permite</w:t>
      </w:r>
      <w:r w:rsidRPr="00EE2FA1">
        <w:rPr>
          <w:rFonts w:ascii="Times New Roman" w:eastAsia="Calibri" w:hAnsi="Times New Roman" w:cs="Times New Roman"/>
          <w:color w:val="000000" w:themeColor="text1"/>
          <w:sz w:val="28"/>
          <w:szCs w:val="28"/>
          <w:lang w:eastAsia="es-ES"/>
        </w:rPr>
        <w:t>n</w:t>
      </w:r>
      <w:r w:rsidRPr="00EE2FA1">
        <w:rPr>
          <w:rFonts w:ascii="Times New Roman" w:eastAsia="Calibri" w:hAnsi="Times New Roman" w:cs="Times New Roman"/>
          <w:color w:val="000000" w:themeColor="text1"/>
          <w:sz w:val="28"/>
          <w:szCs w:val="28"/>
          <w:lang w:eastAsia="es-ES"/>
        </w:rPr>
        <w:t xml:space="preserve"> que los contribuyentes, altamente especializados en la materia, puedan anticipar razonablemente la causación de la sobretarifa en el año gravable corr</w:t>
      </w:r>
      <w:r w:rsidRPr="00EE2FA1">
        <w:rPr>
          <w:rFonts w:ascii="Times New Roman" w:eastAsia="Calibri" w:hAnsi="Times New Roman" w:cs="Times New Roman"/>
          <w:color w:val="000000" w:themeColor="text1"/>
          <w:sz w:val="28"/>
          <w:szCs w:val="28"/>
          <w:lang w:eastAsia="es-ES"/>
        </w:rPr>
        <w:t>espondiente</w:t>
      </w:r>
      <w:r w:rsidRPr="00EE2FA1">
        <w:rPr>
          <w:rFonts w:ascii="Times New Roman" w:eastAsia="Calibri" w:hAnsi="Times New Roman" w:cs="Times New Roman"/>
          <w:color w:val="000000" w:themeColor="text1"/>
          <w:sz w:val="28"/>
          <w:szCs w:val="28"/>
          <w:lang w:eastAsia="es-ES"/>
        </w:rPr>
        <w:t xml:space="preserve">, teniendo en cuenta las fluctuaciones de precios que ocurren en el año del período gravable y el estándar de 120 meses </w:t>
      </w:r>
      <w:r w:rsidRPr="00EE2FA1">
        <w:rPr>
          <w:rFonts w:ascii="Times New Roman" w:eastAsia="Calibri" w:hAnsi="Times New Roman" w:cs="Times New Roman"/>
          <w:color w:val="000000" w:themeColor="text1"/>
          <w:sz w:val="28"/>
          <w:szCs w:val="28"/>
          <w:lang w:eastAsia="es-ES"/>
        </w:rPr>
        <w:t xml:space="preserve">anteriores a </w:t>
      </w:r>
      <w:r w:rsidRPr="00EE2FA1">
        <w:rPr>
          <w:rFonts w:ascii="Times New Roman" w:eastAsia="Calibri" w:hAnsi="Times New Roman" w:cs="Times New Roman"/>
          <w:color w:val="000000" w:themeColor="text1"/>
          <w:sz w:val="28"/>
          <w:szCs w:val="28"/>
          <w:lang w:eastAsia="es-ES"/>
        </w:rPr>
        <w:t>este</w:t>
      </w:r>
      <w:r w:rsidRPr="00EE2FA1">
        <w:rPr>
          <w:rFonts w:ascii="Times New Roman" w:eastAsia="Calibri" w:hAnsi="Times New Roman" w:cs="Times New Roman"/>
          <w:color w:val="000000" w:themeColor="text1"/>
          <w:sz w:val="28"/>
          <w:szCs w:val="28"/>
          <w:lang w:eastAsia="es-ES"/>
        </w:rPr>
        <w:t>.</w:t>
      </w:r>
    </w:p>
    <w:p w:rsidR="009A4B55" w:rsidRPr="00EE2FA1" w:rsidRDefault="00EE2FA1" w:rsidP="009A4B55">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1C4AAF" w:rsidRPr="00EE2FA1" w:rsidRDefault="00EE2FA1" w:rsidP="00A3440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color w:val="000000" w:themeColor="text1"/>
          <w:sz w:val="28"/>
          <w:szCs w:val="28"/>
          <w:lang w:eastAsia="es-ES"/>
        </w:rPr>
        <w:t>En otras palabras, todos los elementos del tributo han sido fijados previamente por el legislador. En con</w:t>
      </w:r>
      <w:r w:rsidRPr="00EE2FA1">
        <w:rPr>
          <w:rFonts w:ascii="Times New Roman" w:eastAsia="Calibri" w:hAnsi="Times New Roman" w:cs="Times New Roman"/>
          <w:color w:val="000000" w:themeColor="text1"/>
          <w:sz w:val="28"/>
          <w:szCs w:val="28"/>
          <w:lang w:eastAsia="es-ES"/>
        </w:rPr>
        <w:t xml:space="preserve">creto, </w:t>
      </w:r>
      <w:r w:rsidRPr="00EE2FA1">
        <w:rPr>
          <w:rFonts w:ascii="Times New Roman" w:eastAsia="Calibri" w:hAnsi="Times New Roman" w:cs="Times New Roman"/>
          <w:color w:val="000000" w:themeColor="text1"/>
          <w:sz w:val="28"/>
          <w:szCs w:val="28"/>
          <w:lang w:eastAsia="es-ES"/>
        </w:rPr>
        <w:t xml:space="preserve">se </w:t>
      </w:r>
      <w:r w:rsidRPr="00EE2FA1">
        <w:rPr>
          <w:rFonts w:ascii="Times New Roman" w:eastAsia="Calibri" w:hAnsi="Times New Roman" w:cs="Times New Roman"/>
          <w:color w:val="000000" w:themeColor="text1"/>
          <w:sz w:val="28"/>
          <w:szCs w:val="28"/>
          <w:lang w:eastAsia="es-ES"/>
        </w:rPr>
        <w:t>estableció el método para liquidar la tarifa con base en realidades económicas configuradas en el periodo gravable</w:t>
      </w:r>
      <w:r w:rsidRPr="00EE2FA1">
        <w:rPr>
          <w:rFonts w:ascii="Times New Roman" w:eastAsia="Calibri" w:hAnsi="Times New Roman" w:cs="Times New Roman"/>
          <w:color w:val="000000" w:themeColor="text1"/>
          <w:sz w:val="28"/>
          <w:szCs w:val="28"/>
          <w:lang w:eastAsia="es-ES"/>
        </w:rPr>
        <w:t xml:space="preserve"> y en años anteriores</w:t>
      </w:r>
      <w:r w:rsidRPr="00EE2FA1">
        <w:rPr>
          <w:rFonts w:ascii="Times New Roman" w:eastAsia="Calibri" w:hAnsi="Times New Roman" w:cs="Times New Roman"/>
          <w:color w:val="000000" w:themeColor="text1"/>
          <w:sz w:val="28"/>
          <w:szCs w:val="28"/>
          <w:lang w:eastAsia="es-ES"/>
        </w:rPr>
        <w:t xml:space="preserve">. La labor realizada por la ANH no implica la afectación de situaciones jurídicas </w:t>
      </w:r>
      <w:r w:rsidRPr="00EE2FA1">
        <w:rPr>
          <w:rFonts w:ascii="Times New Roman" w:eastAsia="Calibri" w:hAnsi="Times New Roman" w:cs="Times New Roman"/>
          <w:color w:val="000000" w:themeColor="text1"/>
          <w:sz w:val="28"/>
          <w:szCs w:val="28"/>
          <w:lang w:eastAsia="es-ES"/>
        </w:rPr>
        <w:t xml:space="preserve">consolidadas </w:t>
      </w:r>
      <w:r w:rsidRPr="00EE2FA1">
        <w:rPr>
          <w:rFonts w:ascii="Times New Roman" w:eastAsia="Calibri" w:hAnsi="Times New Roman" w:cs="Times New Roman"/>
          <w:color w:val="000000" w:themeColor="text1"/>
          <w:sz w:val="28"/>
          <w:szCs w:val="28"/>
          <w:lang w:eastAsia="es-ES"/>
        </w:rPr>
        <w:t>a través de la m</w:t>
      </w:r>
      <w:r w:rsidRPr="00EE2FA1">
        <w:rPr>
          <w:rFonts w:ascii="Times New Roman" w:eastAsia="Calibri" w:hAnsi="Times New Roman" w:cs="Times New Roman"/>
          <w:color w:val="000000" w:themeColor="text1"/>
          <w:sz w:val="28"/>
          <w:szCs w:val="28"/>
          <w:lang w:eastAsia="es-ES"/>
        </w:rPr>
        <w:t>odificación y</w:t>
      </w:r>
      <w:r w:rsidRPr="00EE2FA1">
        <w:rPr>
          <w:rFonts w:ascii="Times New Roman" w:eastAsia="Calibri" w:hAnsi="Times New Roman" w:cs="Times New Roman"/>
          <w:color w:val="000000" w:themeColor="text1"/>
          <w:sz w:val="28"/>
          <w:szCs w:val="28"/>
          <w:lang w:eastAsia="es-ES"/>
        </w:rPr>
        <w:t>/o</w:t>
      </w:r>
      <w:r w:rsidRPr="00EE2FA1">
        <w:rPr>
          <w:rFonts w:ascii="Times New Roman" w:eastAsia="Calibri" w:hAnsi="Times New Roman" w:cs="Times New Roman"/>
          <w:color w:val="000000" w:themeColor="text1"/>
          <w:sz w:val="28"/>
          <w:szCs w:val="28"/>
          <w:lang w:eastAsia="es-ES"/>
        </w:rPr>
        <w:t xml:space="preserve"> aplicación retroactiva de los elementos esenciales del tributo. Por el contrario, se trata de una mera labor de</w:t>
      </w:r>
      <w:r w:rsidRPr="00EE2FA1">
        <w:rPr>
          <w:rFonts w:ascii="Times New Roman" w:eastAsia="Calibri" w:hAnsi="Times New Roman" w:cs="Times New Roman"/>
          <w:color w:val="000000" w:themeColor="text1"/>
          <w:sz w:val="28"/>
          <w:szCs w:val="28"/>
          <w:lang w:eastAsia="es-ES"/>
        </w:rPr>
        <w:t xml:space="preserve"> publicar información para</w:t>
      </w:r>
      <w:r w:rsidRPr="00EE2FA1">
        <w:rPr>
          <w:rFonts w:ascii="Times New Roman" w:eastAsia="Calibri" w:hAnsi="Times New Roman" w:cs="Times New Roman"/>
          <w:color w:val="000000" w:themeColor="text1"/>
          <w:sz w:val="28"/>
          <w:szCs w:val="28"/>
          <w:lang w:eastAsia="es-ES"/>
        </w:rPr>
        <w:t xml:space="preserve"> </w:t>
      </w:r>
      <w:r w:rsidRPr="00EE2FA1">
        <w:rPr>
          <w:rFonts w:ascii="Times New Roman" w:eastAsia="Calibri" w:hAnsi="Times New Roman" w:cs="Times New Roman"/>
          <w:color w:val="000000" w:themeColor="text1"/>
          <w:sz w:val="28"/>
          <w:szCs w:val="28"/>
          <w:lang w:eastAsia="es-ES"/>
        </w:rPr>
        <w:t xml:space="preserve">liquidar la sobretarifa, </w:t>
      </w:r>
      <w:r w:rsidRPr="00EE2FA1">
        <w:rPr>
          <w:rFonts w:ascii="Times New Roman" w:eastAsia="Calibri" w:hAnsi="Times New Roman" w:cs="Times New Roman"/>
          <w:color w:val="000000" w:themeColor="text1"/>
          <w:sz w:val="28"/>
          <w:szCs w:val="28"/>
          <w:lang w:eastAsia="es-ES"/>
        </w:rPr>
        <w:t>con fundamento en el método fijado por el legislador y conocido previamente p</w:t>
      </w:r>
      <w:r w:rsidRPr="00EE2FA1">
        <w:rPr>
          <w:rFonts w:ascii="Times New Roman" w:eastAsia="Calibri" w:hAnsi="Times New Roman" w:cs="Times New Roman"/>
          <w:color w:val="000000" w:themeColor="text1"/>
          <w:sz w:val="28"/>
          <w:szCs w:val="28"/>
          <w:lang w:eastAsia="es-ES"/>
        </w:rPr>
        <w:t>or todos los agentes económicos que participan en el mercado de</w:t>
      </w:r>
      <w:r w:rsidRPr="00EE2FA1">
        <w:rPr>
          <w:rFonts w:ascii="Times New Roman" w:eastAsia="Calibri" w:hAnsi="Times New Roman" w:cs="Times New Roman"/>
          <w:color w:val="000000" w:themeColor="text1"/>
          <w:sz w:val="28"/>
          <w:szCs w:val="28"/>
          <w:lang w:eastAsia="es-ES"/>
        </w:rPr>
        <w:t>l</w:t>
      </w:r>
      <w:r w:rsidRPr="00EE2FA1">
        <w:rPr>
          <w:rFonts w:ascii="Times New Roman" w:eastAsia="Calibri" w:hAnsi="Times New Roman" w:cs="Times New Roman"/>
          <w:color w:val="000000" w:themeColor="text1"/>
          <w:sz w:val="28"/>
          <w:szCs w:val="28"/>
          <w:lang w:eastAsia="es-ES"/>
        </w:rPr>
        <w:t xml:space="preserve"> petróleo. </w:t>
      </w:r>
    </w:p>
    <w:p w:rsidR="001C4AAF" w:rsidRPr="00EE2FA1" w:rsidRDefault="00EE2FA1" w:rsidP="001C4AAF">
      <w:pPr>
        <w:pStyle w:val="Prrafodelista"/>
        <w:rPr>
          <w:rFonts w:ascii="Times New Roman" w:eastAsia="Calibri" w:hAnsi="Times New Roman" w:cs="Times New Roman"/>
          <w:color w:val="000000" w:themeColor="text1"/>
          <w:sz w:val="28"/>
          <w:szCs w:val="28"/>
          <w:lang w:eastAsia="es-ES"/>
        </w:rPr>
      </w:pPr>
    </w:p>
    <w:p w:rsidR="00A3440F" w:rsidRPr="00EE2FA1" w:rsidRDefault="00EE2FA1" w:rsidP="009A4B55">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color w:val="000000" w:themeColor="text1"/>
          <w:sz w:val="28"/>
          <w:szCs w:val="28"/>
          <w:lang w:eastAsia="es-ES"/>
        </w:rPr>
        <w:t>Si bien</w:t>
      </w:r>
      <w:r w:rsidRPr="00EE2FA1">
        <w:rPr>
          <w:rFonts w:ascii="Times New Roman" w:eastAsia="Calibri" w:hAnsi="Times New Roman" w:cs="Times New Roman"/>
          <w:color w:val="000000" w:themeColor="text1"/>
          <w:sz w:val="28"/>
          <w:szCs w:val="28"/>
          <w:lang w:eastAsia="es-ES"/>
        </w:rPr>
        <w:t xml:space="preserve"> la Sala considera que </w:t>
      </w:r>
      <w:r w:rsidRPr="00EE2FA1">
        <w:rPr>
          <w:rFonts w:ascii="Times New Roman" w:eastAsia="Calibri" w:hAnsi="Times New Roman" w:cs="Times New Roman"/>
          <w:color w:val="000000" w:themeColor="text1"/>
          <w:sz w:val="28"/>
          <w:szCs w:val="28"/>
          <w:lang w:eastAsia="es-ES"/>
        </w:rPr>
        <w:t xml:space="preserve">la irretroactividad en materia tributaria comprende la prohibición de que una norma que establece un </w:t>
      </w:r>
      <w:r w:rsidRPr="00EE2FA1">
        <w:rPr>
          <w:rFonts w:ascii="Times New Roman" w:eastAsia="Calibri" w:hAnsi="Times New Roman" w:cs="Times New Roman"/>
          <w:color w:val="000000" w:themeColor="text1"/>
          <w:sz w:val="28"/>
          <w:szCs w:val="28"/>
          <w:lang w:eastAsia="es-ES"/>
        </w:rPr>
        <w:t xml:space="preserve">tributo </w:t>
      </w:r>
      <w:r w:rsidRPr="00EE2FA1">
        <w:rPr>
          <w:rFonts w:ascii="Times New Roman" w:eastAsia="Calibri" w:hAnsi="Times New Roman" w:cs="Times New Roman"/>
          <w:color w:val="000000" w:themeColor="text1"/>
          <w:sz w:val="28"/>
          <w:szCs w:val="28"/>
          <w:lang w:eastAsia="es-ES"/>
        </w:rPr>
        <w:t xml:space="preserve">considere elementos posteriores al momento de </w:t>
      </w:r>
      <w:r w:rsidRPr="00EE2FA1">
        <w:rPr>
          <w:rFonts w:ascii="Times New Roman" w:eastAsia="Calibri" w:hAnsi="Times New Roman" w:cs="Times New Roman"/>
          <w:color w:val="000000" w:themeColor="text1"/>
          <w:sz w:val="28"/>
          <w:szCs w:val="28"/>
          <w:lang w:eastAsia="es-ES"/>
        </w:rPr>
        <w:t xml:space="preserve">su </w:t>
      </w:r>
      <w:r w:rsidRPr="00EE2FA1">
        <w:rPr>
          <w:rFonts w:ascii="Times New Roman" w:eastAsia="Calibri" w:hAnsi="Times New Roman" w:cs="Times New Roman"/>
          <w:color w:val="000000" w:themeColor="text1"/>
          <w:sz w:val="28"/>
          <w:szCs w:val="28"/>
          <w:lang w:eastAsia="es-ES"/>
        </w:rPr>
        <w:t>causación para determinar el impuesto a cargo</w:t>
      </w:r>
      <w:r w:rsidRPr="00EE2FA1">
        <w:rPr>
          <w:rFonts w:ascii="Times New Roman" w:eastAsia="Calibri" w:hAnsi="Times New Roman" w:cs="Times New Roman"/>
          <w:color w:val="000000" w:themeColor="text1"/>
          <w:sz w:val="28"/>
          <w:szCs w:val="28"/>
          <w:lang w:eastAsia="es-ES"/>
        </w:rPr>
        <w:t>, tal</w:t>
      </w:r>
      <w:r w:rsidRPr="00EE2FA1">
        <w:rPr>
          <w:rFonts w:ascii="Times New Roman" w:eastAsia="Calibri" w:hAnsi="Times New Roman" w:cs="Times New Roman"/>
          <w:color w:val="000000" w:themeColor="text1"/>
          <w:sz w:val="28"/>
          <w:szCs w:val="28"/>
          <w:lang w:eastAsia="es-ES"/>
        </w:rPr>
        <w:t xml:space="preserve"> aspecto no se incumple en este caso, porque, se reitera, la actuación de la ANH no implica </w:t>
      </w:r>
      <w:r w:rsidRPr="00EE2FA1">
        <w:rPr>
          <w:rFonts w:ascii="Times New Roman" w:eastAsia="Calibri" w:hAnsi="Times New Roman" w:cs="Times New Roman"/>
          <w:color w:val="000000" w:themeColor="text1"/>
          <w:sz w:val="28"/>
          <w:szCs w:val="28"/>
          <w:lang w:eastAsia="es-ES"/>
        </w:rPr>
        <w:t>la aplicación retroactiva de elementos esenciales del tributo est</w:t>
      </w:r>
      <w:r w:rsidRPr="00EE2FA1">
        <w:rPr>
          <w:rFonts w:ascii="Times New Roman" w:eastAsia="Calibri" w:hAnsi="Times New Roman" w:cs="Times New Roman"/>
          <w:color w:val="000000" w:themeColor="text1"/>
          <w:sz w:val="28"/>
          <w:szCs w:val="28"/>
          <w:lang w:eastAsia="es-ES"/>
        </w:rPr>
        <w:t xml:space="preserve">ablecidos con posterioridad al periodo </w:t>
      </w:r>
      <w:r w:rsidRPr="00EE2FA1">
        <w:rPr>
          <w:rFonts w:ascii="Times New Roman" w:eastAsia="Calibri" w:hAnsi="Times New Roman" w:cs="Times New Roman"/>
          <w:color w:val="000000" w:themeColor="text1"/>
          <w:sz w:val="28"/>
          <w:szCs w:val="28"/>
          <w:lang w:eastAsia="es-ES"/>
        </w:rPr>
        <w:t>de este</w:t>
      </w:r>
      <w:r w:rsidRPr="00EE2FA1">
        <w:rPr>
          <w:rFonts w:ascii="Times New Roman" w:eastAsia="Calibri" w:hAnsi="Times New Roman" w:cs="Times New Roman"/>
          <w:color w:val="000000" w:themeColor="text1"/>
          <w:sz w:val="28"/>
          <w:szCs w:val="28"/>
          <w:lang w:eastAsia="es-ES"/>
        </w:rPr>
        <w:t xml:space="preserve">. Por el contrario, </w:t>
      </w:r>
      <w:r w:rsidRPr="00EE2FA1">
        <w:rPr>
          <w:rFonts w:ascii="Times New Roman" w:eastAsia="Calibri" w:hAnsi="Times New Roman" w:cs="Times New Roman"/>
          <w:color w:val="000000" w:themeColor="text1"/>
          <w:sz w:val="28"/>
          <w:szCs w:val="28"/>
          <w:lang w:eastAsia="es-ES"/>
        </w:rPr>
        <w:t xml:space="preserve">su intervención se relaciona con </w:t>
      </w:r>
      <w:r w:rsidRPr="00EE2FA1">
        <w:rPr>
          <w:rFonts w:ascii="Times New Roman" w:eastAsia="Calibri" w:hAnsi="Times New Roman" w:cs="Times New Roman"/>
          <w:color w:val="000000" w:themeColor="text1"/>
          <w:sz w:val="28"/>
          <w:szCs w:val="28"/>
          <w:lang w:eastAsia="es-ES"/>
        </w:rPr>
        <w:t>la mera</w:t>
      </w:r>
      <w:r w:rsidRPr="00EE2FA1">
        <w:rPr>
          <w:rFonts w:ascii="Times New Roman" w:eastAsia="Calibri" w:hAnsi="Times New Roman" w:cs="Times New Roman"/>
          <w:color w:val="000000" w:themeColor="text1"/>
          <w:sz w:val="28"/>
          <w:szCs w:val="28"/>
          <w:lang w:eastAsia="es-ES"/>
        </w:rPr>
        <w:t xml:space="preserve"> publicación de datos</w:t>
      </w:r>
      <w:r w:rsidRPr="00EE2FA1">
        <w:rPr>
          <w:rFonts w:ascii="Times New Roman" w:eastAsia="Calibri" w:hAnsi="Times New Roman" w:cs="Times New Roman"/>
          <w:color w:val="000000" w:themeColor="text1"/>
          <w:sz w:val="28"/>
          <w:szCs w:val="28"/>
          <w:lang w:eastAsia="es-ES"/>
        </w:rPr>
        <w:t xml:space="preserve"> </w:t>
      </w:r>
      <w:r w:rsidRPr="00EE2FA1">
        <w:rPr>
          <w:rFonts w:ascii="Times New Roman" w:eastAsia="Calibri" w:hAnsi="Times New Roman" w:cs="Times New Roman"/>
          <w:color w:val="000000" w:themeColor="text1"/>
          <w:sz w:val="28"/>
          <w:szCs w:val="28"/>
          <w:lang w:eastAsia="es-ES"/>
        </w:rPr>
        <w:t>para liquidar</w:t>
      </w:r>
      <w:r w:rsidRPr="00EE2FA1">
        <w:rPr>
          <w:rFonts w:ascii="Times New Roman" w:eastAsia="Calibri" w:hAnsi="Times New Roman" w:cs="Times New Roman"/>
          <w:color w:val="000000" w:themeColor="text1"/>
          <w:sz w:val="28"/>
          <w:szCs w:val="28"/>
          <w:lang w:eastAsia="es-ES"/>
        </w:rPr>
        <w:t xml:space="preserve"> la </w:t>
      </w:r>
      <w:r w:rsidRPr="00EE2FA1">
        <w:rPr>
          <w:rFonts w:ascii="Times New Roman" w:eastAsia="Calibri" w:hAnsi="Times New Roman" w:cs="Times New Roman"/>
          <w:color w:val="000000" w:themeColor="text1"/>
          <w:sz w:val="28"/>
          <w:szCs w:val="28"/>
          <w:lang w:eastAsia="es-ES"/>
        </w:rPr>
        <w:t>sobre</w:t>
      </w:r>
      <w:r w:rsidRPr="00EE2FA1">
        <w:rPr>
          <w:rFonts w:ascii="Times New Roman" w:eastAsia="Calibri" w:hAnsi="Times New Roman" w:cs="Times New Roman"/>
          <w:color w:val="000000" w:themeColor="text1"/>
          <w:sz w:val="28"/>
          <w:szCs w:val="28"/>
          <w:lang w:eastAsia="es-ES"/>
        </w:rPr>
        <w:t xml:space="preserve">tarifa </w:t>
      </w:r>
      <w:r w:rsidRPr="00EE2FA1">
        <w:rPr>
          <w:rFonts w:ascii="Times New Roman" w:eastAsia="Calibri" w:hAnsi="Times New Roman" w:cs="Times New Roman"/>
          <w:color w:val="000000" w:themeColor="text1"/>
          <w:sz w:val="28"/>
          <w:szCs w:val="28"/>
          <w:lang w:eastAsia="es-ES"/>
        </w:rPr>
        <w:t>a partir del</w:t>
      </w:r>
      <w:r w:rsidRPr="00EE2FA1">
        <w:rPr>
          <w:rFonts w:ascii="Times New Roman" w:eastAsia="Calibri" w:hAnsi="Times New Roman" w:cs="Times New Roman"/>
          <w:color w:val="000000" w:themeColor="text1"/>
          <w:sz w:val="28"/>
          <w:szCs w:val="28"/>
          <w:lang w:eastAsia="es-ES"/>
        </w:rPr>
        <w:t xml:space="preserve"> método fijado previamente por el legislador. </w:t>
      </w:r>
      <w:r w:rsidRPr="00EE2FA1">
        <w:rPr>
          <w:rFonts w:ascii="Times New Roman" w:eastAsia="Calibri" w:hAnsi="Times New Roman" w:cs="Times New Roman"/>
          <w:color w:val="000000" w:themeColor="text1"/>
          <w:sz w:val="28"/>
          <w:szCs w:val="28"/>
          <w:lang w:eastAsia="es-ES"/>
        </w:rPr>
        <w:t xml:space="preserve"> </w:t>
      </w:r>
      <w:r w:rsidRPr="00EE2FA1">
        <w:rPr>
          <w:rFonts w:ascii="Times New Roman" w:eastAsia="Calibri" w:hAnsi="Times New Roman" w:cs="Times New Roman"/>
          <w:color w:val="000000" w:themeColor="text1"/>
          <w:sz w:val="28"/>
          <w:szCs w:val="28"/>
          <w:lang w:eastAsia="es-ES"/>
        </w:rPr>
        <w:t xml:space="preserve"> </w:t>
      </w:r>
    </w:p>
    <w:p w:rsidR="00A3440F" w:rsidRPr="00EE2FA1" w:rsidRDefault="00EE2FA1" w:rsidP="0016568A">
      <w:pPr>
        <w:pStyle w:val="Prrafodelista"/>
        <w:rPr>
          <w:rFonts w:ascii="Times New Roman" w:hAnsi="Times New Roman" w:cs="Times New Roman"/>
          <w:sz w:val="28"/>
          <w:szCs w:val="28"/>
        </w:rPr>
      </w:pPr>
    </w:p>
    <w:p w:rsidR="0016568A" w:rsidRPr="00EE2FA1" w:rsidRDefault="00EE2FA1" w:rsidP="0016568A">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Corresponde a la Corte reiterar como regla de decisión que la prohibición de retroactividad en materia tributaria no impide la </w:t>
      </w:r>
      <w:r w:rsidRPr="00EE2FA1">
        <w:rPr>
          <w:rFonts w:ascii="Times New Roman" w:hAnsi="Times New Roman" w:cs="Times New Roman"/>
          <w:sz w:val="28"/>
          <w:szCs w:val="28"/>
        </w:rPr>
        <w:t>consideración</w:t>
      </w:r>
      <w:r w:rsidRPr="00EE2FA1">
        <w:rPr>
          <w:rFonts w:ascii="Times New Roman" w:hAnsi="Times New Roman" w:cs="Times New Roman"/>
          <w:sz w:val="28"/>
          <w:szCs w:val="28"/>
        </w:rPr>
        <w:t xml:space="preserve"> por el legislador</w:t>
      </w:r>
      <w:r w:rsidRPr="00EE2FA1">
        <w:rPr>
          <w:rFonts w:ascii="Times New Roman" w:hAnsi="Times New Roman" w:cs="Times New Roman"/>
          <w:sz w:val="28"/>
          <w:szCs w:val="28"/>
        </w:rPr>
        <w:t xml:space="preserve"> de elementos dinámicos </w:t>
      </w:r>
      <w:r w:rsidRPr="00EE2FA1">
        <w:rPr>
          <w:rFonts w:ascii="Times New Roman" w:hAnsi="Times New Roman" w:cs="Times New Roman"/>
          <w:sz w:val="28"/>
          <w:szCs w:val="28"/>
        </w:rPr>
        <w:t xml:space="preserve">previos a la causación del tributo para </w:t>
      </w:r>
      <w:r w:rsidRPr="00EE2FA1">
        <w:rPr>
          <w:rFonts w:ascii="Times New Roman" w:hAnsi="Times New Roman" w:cs="Times New Roman"/>
          <w:sz w:val="28"/>
          <w:szCs w:val="28"/>
        </w:rPr>
        <w:t>la determinación de las obligacion</w:t>
      </w:r>
      <w:r w:rsidRPr="00EE2FA1">
        <w:rPr>
          <w:rFonts w:ascii="Times New Roman" w:hAnsi="Times New Roman" w:cs="Times New Roman"/>
          <w:sz w:val="28"/>
          <w:szCs w:val="28"/>
        </w:rPr>
        <w:t>es fiscales, siempre que estos elementos reflejen realidades económicas del período gravable</w:t>
      </w:r>
      <w:r w:rsidRPr="00EE2FA1">
        <w:rPr>
          <w:rFonts w:ascii="Times New Roman" w:hAnsi="Times New Roman" w:cs="Times New Roman"/>
          <w:sz w:val="28"/>
          <w:szCs w:val="28"/>
        </w:rPr>
        <w:t xml:space="preserve"> o anteriores</w:t>
      </w:r>
      <w:r w:rsidRPr="00EE2FA1">
        <w:rPr>
          <w:rFonts w:ascii="Times New Roman" w:hAnsi="Times New Roman" w:cs="Times New Roman"/>
          <w:sz w:val="28"/>
          <w:szCs w:val="28"/>
        </w:rPr>
        <w:t xml:space="preserve">. Se trata que los contribuyentes conozcan </w:t>
      </w:r>
      <w:r w:rsidRPr="00EE2FA1">
        <w:rPr>
          <w:rFonts w:ascii="Times New Roman" w:hAnsi="Times New Roman" w:cs="Times New Roman"/>
          <w:sz w:val="28"/>
          <w:szCs w:val="28"/>
        </w:rPr>
        <w:t>los elementos del tributo previamente al periodo del impuesto y que tengan conocimiento de los métodos de li</w:t>
      </w:r>
      <w:r w:rsidRPr="00EE2FA1">
        <w:rPr>
          <w:rFonts w:ascii="Times New Roman" w:hAnsi="Times New Roman" w:cs="Times New Roman"/>
          <w:sz w:val="28"/>
          <w:szCs w:val="28"/>
        </w:rPr>
        <w:t xml:space="preserve">quidación de la tarifa en una materia altamente especializada y cuya realidad económica se consolida a la par del tributo. </w:t>
      </w:r>
    </w:p>
    <w:p w:rsidR="0016568A" w:rsidRPr="00EE2FA1" w:rsidRDefault="00EE2FA1" w:rsidP="00606B1D">
      <w:pPr>
        <w:rPr>
          <w:rFonts w:ascii="Times New Roman" w:eastAsia="Calibri" w:hAnsi="Times New Roman" w:cs="Times New Roman"/>
          <w:sz w:val="28"/>
          <w:szCs w:val="28"/>
          <w:lang w:eastAsia="es-ES"/>
        </w:rPr>
      </w:pPr>
    </w:p>
    <w:p w:rsidR="002A378C" w:rsidRPr="00EE2FA1" w:rsidRDefault="00EE2FA1" w:rsidP="00C47871">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Por lo expuesto, la Sala concluye que el parágrafo 3° del artículo 240 del Estatuto Tributario, modificado por el artículo 10.° de la Ley 2277 </w:t>
      </w:r>
      <w:r w:rsidRPr="00EE2FA1">
        <w:rPr>
          <w:rFonts w:ascii="Times New Roman" w:eastAsia="Calibri" w:hAnsi="Times New Roman" w:cs="Times New Roman"/>
          <w:sz w:val="28"/>
          <w:szCs w:val="28"/>
          <w:lang w:eastAsia="es-ES"/>
        </w:rPr>
        <w:t xml:space="preserve">de 2022 </w:t>
      </w:r>
      <w:r w:rsidRPr="00EE2FA1">
        <w:rPr>
          <w:rFonts w:ascii="Times New Roman" w:eastAsia="Calibri" w:hAnsi="Times New Roman" w:cs="Times New Roman"/>
          <w:sz w:val="28"/>
          <w:szCs w:val="28"/>
          <w:lang w:eastAsia="es-ES"/>
        </w:rPr>
        <w:t xml:space="preserve">no desconoce la prohibición de irretroactividad de la ley tributaria prevista en los artículos 338 y 363 </w:t>
      </w:r>
      <w:r w:rsidRPr="00EE2FA1">
        <w:rPr>
          <w:rFonts w:ascii="Times New Roman" w:eastAsia="Calibri" w:hAnsi="Times New Roman" w:cs="Times New Roman"/>
          <w:sz w:val="28"/>
          <w:szCs w:val="28"/>
          <w:lang w:eastAsia="es-ES"/>
        </w:rPr>
        <w:t>de la Constitución.</w:t>
      </w:r>
    </w:p>
    <w:p w:rsidR="006C47BD" w:rsidRPr="00EE2FA1" w:rsidRDefault="00EE2FA1" w:rsidP="00A2495A">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6C47BD" w:rsidRPr="00EE2FA1" w:rsidRDefault="00EE2FA1" w:rsidP="006C47BD">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Quinto Cargo</w:t>
      </w:r>
      <w:r w:rsidRPr="00EE2FA1">
        <w:rPr>
          <w:rFonts w:ascii="Times New Roman" w:eastAsia="Calibri" w:hAnsi="Times New Roman" w:cs="Times New Roman"/>
          <w:b/>
          <w:bCs/>
          <w:sz w:val="28"/>
          <w:szCs w:val="28"/>
          <w:lang w:eastAsia="es-ES"/>
        </w:rPr>
        <w:t xml:space="preserve">. </w:t>
      </w:r>
      <w:r w:rsidRPr="00EE2FA1">
        <w:rPr>
          <w:rFonts w:ascii="Times New Roman" w:hAnsi="Times New Roman" w:cs="Times New Roman"/>
          <w:b/>
          <w:bCs/>
          <w:sz w:val="28"/>
          <w:szCs w:val="28"/>
        </w:rPr>
        <w:t>Violación de los principios de justicia, equidad e igualdad tributaria</w:t>
      </w:r>
    </w:p>
    <w:p w:rsidR="00FC5DAD" w:rsidRPr="00EE2FA1" w:rsidRDefault="00EE2FA1" w:rsidP="00FC5DAD">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9F2F9B" w:rsidRPr="00EE2FA1" w:rsidRDefault="00EE2FA1" w:rsidP="0093350A">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Sala procede a estudiar la censura propuesta por la demandante. Para tal efecto, identifica los siguientes </w:t>
      </w:r>
      <w:r w:rsidRPr="00EE2FA1">
        <w:rPr>
          <w:rFonts w:ascii="Times New Roman" w:eastAsia="Calibri" w:hAnsi="Times New Roman" w:cs="Times New Roman"/>
          <w:sz w:val="28"/>
          <w:szCs w:val="28"/>
          <w:lang w:eastAsia="es-ES"/>
        </w:rPr>
        <w:t xml:space="preserve">dos </w:t>
      </w:r>
      <w:r w:rsidRPr="00EE2FA1">
        <w:rPr>
          <w:rFonts w:ascii="Times New Roman" w:eastAsia="Calibri" w:hAnsi="Times New Roman" w:cs="Times New Roman"/>
          <w:sz w:val="28"/>
          <w:szCs w:val="28"/>
          <w:lang w:eastAsia="es-ES"/>
        </w:rPr>
        <w:t>ejes argumentativos</w:t>
      </w:r>
      <w:r w:rsidRPr="00EE2FA1">
        <w:rPr>
          <w:rFonts w:ascii="Times New Roman" w:eastAsia="Calibri" w:hAnsi="Times New Roman" w:cs="Times New Roman"/>
          <w:sz w:val="28"/>
          <w:szCs w:val="28"/>
          <w:lang w:eastAsia="es-ES"/>
        </w:rPr>
        <w:t xml:space="preserve"> de la demanda</w:t>
      </w:r>
      <w:r w:rsidRPr="00EE2FA1">
        <w:rPr>
          <w:rFonts w:ascii="Times New Roman" w:eastAsia="Calibri" w:hAnsi="Times New Roman" w:cs="Times New Roman"/>
          <w:sz w:val="28"/>
          <w:szCs w:val="28"/>
          <w:lang w:eastAsia="es-ES"/>
        </w:rPr>
        <w:t xml:space="preserve"> que configuran censuras autónomas en contra de la norma acusada</w:t>
      </w:r>
      <w:r w:rsidRPr="00EE2FA1">
        <w:rPr>
          <w:rStyle w:val="Refdenotaalpie"/>
          <w:rFonts w:ascii="Times New Roman" w:eastAsia="Calibri" w:hAnsi="Times New Roman" w:cs="Times New Roman"/>
          <w:sz w:val="28"/>
          <w:szCs w:val="28"/>
          <w:lang w:eastAsia="es-ES"/>
        </w:rPr>
        <w:footnoteReference w:id="207"/>
      </w:r>
      <w:r w:rsidRPr="00EE2FA1">
        <w:rPr>
          <w:rFonts w:ascii="Times New Roman" w:eastAsia="Calibri" w:hAnsi="Times New Roman" w:cs="Times New Roman"/>
          <w:sz w:val="28"/>
          <w:szCs w:val="28"/>
          <w:lang w:eastAsia="es-ES"/>
        </w:rPr>
        <w:t>:</w:t>
      </w:r>
    </w:p>
    <w:p w:rsidR="009F2F9B" w:rsidRPr="00EE2FA1" w:rsidRDefault="00EE2FA1" w:rsidP="009F2F9B">
      <w:pPr>
        <w:pStyle w:val="Prrafodelista"/>
        <w:rPr>
          <w:rFonts w:ascii="Times New Roman" w:eastAsia="Calibri" w:hAnsi="Times New Roman" w:cs="Times New Roman"/>
          <w:i/>
          <w:iCs/>
          <w:sz w:val="28"/>
          <w:szCs w:val="28"/>
          <w:lang w:eastAsia="es-ES"/>
        </w:rPr>
      </w:pPr>
    </w:p>
    <w:p w:rsidR="0093350A" w:rsidRPr="00EE2FA1" w:rsidRDefault="00EE2FA1" w:rsidP="0093350A">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J</w:t>
      </w:r>
      <w:r w:rsidRPr="00EE2FA1">
        <w:rPr>
          <w:rFonts w:ascii="Times New Roman" w:eastAsia="Calibri" w:hAnsi="Times New Roman" w:cs="Times New Roman"/>
          <w:i/>
          <w:iCs/>
          <w:sz w:val="28"/>
          <w:szCs w:val="28"/>
          <w:lang w:eastAsia="es-ES"/>
        </w:rPr>
        <w:t>usticia y equidad tributaria</w:t>
      </w:r>
      <w:r w:rsidRPr="00EE2FA1">
        <w:rPr>
          <w:rFonts w:ascii="Times New Roman" w:eastAsia="Calibri" w:hAnsi="Times New Roman" w:cs="Times New Roman"/>
          <w:sz w:val="28"/>
          <w:szCs w:val="28"/>
          <w:lang w:eastAsia="es-ES"/>
        </w:rPr>
        <w:t xml:space="preserve"> por </w:t>
      </w:r>
      <w:r w:rsidRPr="00EE2FA1">
        <w:rPr>
          <w:rFonts w:ascii="Times New Roman" w:eastAsia="Calibri" w:hAnsi="Times New Roman" w:cs="Times New Roman"/>
          <w:sz w:val="28"/>
          <w:szCs w:val="28"/>
          <w:lang w:eastAsia="es-ES"/>
        </w:rPr>
        <w:t xml:space="preserve">la ausencia de </w:t>
      </w:r>
      <w:r w:rsidRPr="00EE2FA1">
        <w:rPr>
          <w:rFonts w:ascii="Times New Roman" w:eastAsia="Calibri" w:hAnsi="Times New Roman" w:cs="Times New Roman"/>
          <w:sz w:val="28"/>
          <w:szCs w:val="28"/>
          <w:lang w:eastAsia="es-ES"/>
        </w:rPr>
        <w:t>consideración</w:t>
      </w:r>
      <w:r w:rsidRPr="00EE2FA1">
        <w:rPr>
          <w:rFonts w:ascii="Times New Roman" w:eastAsia="Calibri" w:hAnsi="Times New Roman" w:cs="Times New Roman"/>
          <w:sz w:val="28"/>
          <w:szCs w:val="28"/>
          <w:lang w:eastAsia="es-ES"/>
        </w:rPr>
        <w:t xml:space="preserve"> sobre </w:t>
      </w:r>
      <w:r w:rsidRPr="00EE2FA1">
        <w:rPr>
          <w:rFonts w:ascii="Times New Roman" w:eastAsia="Calibri" w:hAnsi="Times New Roman" w:cs="Times New Roman"/>
          <w:sz w:val="28"/>
          <w:szCs w:val="28"/>
          <w:lang w:eastAsia="es-ES"/>
        </w:rPr>
        <w:t>la capacidad contributiva de los obligados a la sobretarifa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Lo anterior por los siguientes aspectos:</w:t>
      </w:r>
    </w:p>
    <w:p w:rsidR="0093350A" w:rsidRPr="00EE2FA1" w:rsidRDefault="00EE2FA1" w:rsidP="0093350A">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 </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norma no </w:t>
      </w:r>
      <w:r w:rsidRPr="00EE2FA1">
        <w:rPr>
          <w:rFonts w:ascii="Times New Roman" w:eastAsia="Calibri" w:hAnsi="Times New Roman" w:cs="Times New Roman"/>
          <w:sz w:val="28"/>
          <w:szCs w:val="28"/>
          <w:lang w:eastAsia="es-ES"/>
        </w:rPr>
        <w:t>considera la renta líquida.</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La necesidad de determinar la tarifa a prorrata del precio alto sobre el precio normal.</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No tiene un periodo de vigencia de 3 o 5 años. </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No está destinada a sufragar un gasto público con recursos especiales.</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capacidad contributiva está fundada en factores externos que se concretan en el comportamiento de los precios internacionales del petróleo en el último año, respecto de los diez años precedentes. </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Carga tributaria exagerada. El índice de tributación pue</w:t>
      </w:r>
      <w:r w:rsidRPr="00EE2FA1">
        <w:rPr>
          <w:rFonts w:ascii="Times New Roman" w:eastAsia="Calibri" w:hAnsi="Times New Roman" w:cs="Times New Roman"/>
          <w:sz w:val="28"/>
          <w:szCs w:val="28"/>
          <w:lang w:eastAsia="es-ES"/>
        </w:rPr>
        <w:t>de llegar al 50%.</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tarifa es más alta y por ende desproporcionadamente gravosa. </w:t>
      </w:r>
    </w:p>
    <w:p w:rsidR="0093350A" w:rsidRPr="00EE2FA1" w:rsidRDefault="00EE2FA1" w:rsidP="0093350A">
      <w:pPr>
        <w:pStyle w:val="Prrafodelista"/>
        <w:numPr>
          <w:ilvl w:val="0"/>
          <w:numId w:val="5"/>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El umbral de 50000 UVT es irrisorio. </w:t>
      </w:r>
    </w:p>
    <w:p w:rsidR="00073C20" w:rsidRPr="00EE2FA1" w:rsidRDefault="00EE2FA1" w:rsidP="00073C2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5E2F5B" w:rsidRPr="00EE2FA1" w:rsidRDefault="00EE2FA1" w:rsidP="005E2F5B">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De otro lado, para la accionante la norma acusada viola el </w:t>
      </w:r>
      <w:r w:rsidRPr="00EE2FA1">
        <w:rPr>
          <w:rFonts w:ascii="Times New Roman" w:hAnsi="Times New Roman" w:cs="Times New Roman"/>
          <w:i/>
          <w:iCs/>
          <w:sz w:val="28"/>
          <w:szCs w:val="28"/>
        </w:rPr>
        <w:t>principio de igualdad</w:t>
      </w:r>
      <w:r w:rsidRPr="00EE2FA1">
        <w:rPr>
          <w:rFonts w:ascii="Times New Roman" w:hAnsi="Times New Roman" w:cs="Times New Roman"/>
          <w:i/>
          <w:iCs/>
          <w:sz w:val="28"/>
          <w:szCs w:val="28"/>
        </w:rPr>
        <w:t xml:space="preserve"> y equidad tributaria</w:t>
      </w:r>
      <w:r w:rsidRPr="00EE2FA1">
        <w:rPr>
          <w:rFonts w:ascii="Times New Roman" w:hAnsi="Times New Roman" w:cs="Times New Roman"/>
          <w:sz w:val="28"/>
          <w:szCs w:val="28"/>
        </w:rPr>
        <w:t>, con base en los siguientes argu</w:t>
      </w:r>
      <w:r w:rsidRPr="00EE2FA1">
        <w:rPr>
          <w:rFonts w:ascii="Times New Roman" w:hAnsi="Times New Roman" w:cs="Times New Roman"/>
          <w:sz w:val="28"/>
          <w:szCs w:val="28"/>
        </w:rPr>
        <w:t>mentos:</w:t>
      </w:r>
    </w:p>
    <w:p w:rsidR="005E2F5B" w:rsidRPr="00EE2FA1" w:rsidRDefault="00EE2FA1" w:rsidP="005E2F5B">
      <w:pPr>
        <w:pStyle w:val="Prrafodelista"/>
        <w:spacing w:line="0" w:lineRule="atLeast"/>
        <w:ind w:left="0"/>
        <w:jc w:val="both"/>
        <w:rPr>
          <w:rFonts w:ascii="Times New Roman" w:eastAsia="Calibri" w:hAnsi="Times New Roman" w:cs="Times New Roman"/>
          <w:sz w:val="28"/>
          <w:szCs w:val="28"/>
          <w:lang w:eastAsia="es-ES"/>
        </w:rPr>
      </w:pPr>
    </w:p>
    <w:p w:rsidR="005E2F5B" w:rsidRPr="00EE2FA1" w:rsidRDefault="00EE2FA1" w:rsidP="005E2F5B">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La comparabilidad de las empresas sometidas a la sobretasa y el resto de personas jurídicas que no están sometidas a aquella</w:t>
      </w:r>
      <w:r w:rsidRPr="00EE2FA1">
        <w:rPr>
          <w:rFonts w:ascii="Times New Roman" w:hAnsi="Times New Roman" w:cs="Times New Roman"/>
          <w:sz w:val="28"/>
          <w:szCs w:val="28"/>
        </w:rPr>
        <w:t>, respecto de su capacidad contributiva</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Lo anterior por las siguientes razones: </w:t>
      </w:r>
      <w:r w:rsidRPr="00EE2FA1">
        <w:rPr>
          <w:rFonts w:ascii="Times New Roman" w:eastAsia="Calibri" w:hAnsi="Times New Roman" w:cs="Times New Roman"/>
          <w:sz w:val="28"/>
          <w:szCs w:val="28"/>
          <w:lang w:eastAsia="es-ES"/>
        </w:rPr>
        <w:t xml:space="preserve">i) </w:t>
      </w:r>
      <w:r w:rsidRPr="00EE2FA1">
        <w:rPr>
          <w:rFonts w:ascii="Times New Roman" w:hAnsi="Times New Roman" w:cs="Times New Roman"/>
          <w:sz w:val="28"/>
          <w:szCs w:val="28"/>
        </w:rPr>
        <w:t>s</w:t>
      </w:r>
      <w:r w:rsidRPr="00EE2FA1">
        <w:rPr>
          <w:rFonts w:ascii="Times New Roman" w:hAnsi="Times New Roman" w:cs="Times New Roman"/>
          <w:sz w:val="28"/>
          <w:szCs w:val="28"/>
        </w:rPr>
        <w:t>e trata de personas jurídicas</w:t>
      </w:r>
      <w:r w:rsidRPr="00EE2FA1">
        <w:rPr>
          <w:rFonts w:ascii="Times New Roman" w:hAnsi="Times New Roman" w:cs="Times New Roman"/>
          <w:sz w:val="28"/>
          <w:szCs w:val="28"/>
        </w:rPr>
        <w:t>; ii) e</w:t>
      </w:r>
      <w:r w:rsidRPr="00EE2FA1">
        <w:rPr>
          <w:rFonts w:ascii="Times New Roman" w:hAnsi="Times New Roman" w:cs="Times New Roman"/>
          <w:sz w:val="28"/>
          <w:szCs w:val="28"/>
        </w:rPr>
        <w:t xml:space="preserve">l </w:t>
      </w:r>
      <w:r w:rsidRPr="00EE2FA1">
        <w:rPr>
          <w:rFonts w:ascii="Times New Roman" w:hAnsi="Times New Roman" w:cs="Times New Roman"/>
          <w:sz w:val="28"/>
          <w:szCs w:val="28"/>
        </w:rPr>
        <w:t xml:space="preserve">índice de capacidad contributiva de las empresas productoras de petróleo sometidas a la sobretasa es el mismo, pues se trata de que “cualquier persona jurídica que tenga una líquida igual o superior a 50000 UVT ($2.120.600 para 2023) es comparable con las </w:t>
      </w:r>
      <w:r w:rsidRPr="00EE2FA1">
        <w:rPr>
          <w:rFonts w:ascii="Times New Roman" w:hAnsi="Times New Roman" w:cs="Times New Roman"/>
          <w:sz w:val="28"/>
          <w:szCs w:val="28"/>
        </w:rPr>
        <w:t>empresas sometidas a la sobretasa que aquí se cuestiona”</w:t>
      </w:r>
      <w:r w:rsidRPr="00EE2FA1">
        <w:rPr>
          <w:rFonts w:ascii="Times New Roman" w:hAnsi="Times New Roman" w:cs="Times New Roman"/>
          <w:sz w:val="28"/>
          <w:szCs w:val="28"/>
        </w:rPr>
        <w:t>; iii) e</w:t>
      </w:r>
      <w:r w:rsidRPr="00EE2FA1">
        <w:rPr>
          <w:rFonts w:ascii="Times New Roman" w:hAnsi="Times New Roman" w:cs="Times New Roman"/>
          <w:sz w:val="28"/>
          <w:szCs w:val="28"/>
        </w:rPr>
        <w:t>l impuesto sobre la renta grava la utilidad fiscal sin importar la actividad económica, es decir, no se genera por la realización de un tipo específico de actividad sino por el enriquecimiento</w:t>
      </w:r>
      <w:r w:rsidRPr="00EE2FA1">
        <w:rPr>
          <w:rFonts w:ascii="Times New Roman" w:hAnsi="Times New Roman" w:cs="Times New Roman"/>
          <w:sz w:val="28"/>
          <w:szCs w:val="28"/>
        </w:rPr>
        <w:t xml:space="preserve"> que obtenga el contribuyente, medido en ingresos susceptibles de incrementar su patrimonio</w:t>
      </w:r>
      <w:r w:rsidRPr="00EE2FA1">
        <w:rPr>
          <w:rFonts w:ascii="Times New Roman" w:hAnsi="Times New Roman" w:cs="Times New Roman"/>
          <w:sz w:val="28"/>
          <w:szCs w:val="28"/>
        </w:rPr>
        <w:t>; iv) l</w:t>
      </w:r>
      <w:r w:rsidRPr="00EE2FA1">
        <w:rPr>
          <w:rFonts w:ascii="Times New Roman" w:hAnsi="Times New Roman" w:cs="Times New Roman"/>
          <w:sz w:val="28"/>
          <w:szCs w:val="28"/>
        </w:rPr>
        <w:t>os obligados a la sobretasa son los contribuyentes que entre sus actividades realicen extracción de petróleo crudo y tengan una renta líquida gravable superio</w:t>
      </w:r>
      <w:r w:rsidRPr="00EE2FA1">
        <w:rPr>
          <w:rFonts w:ascii="Times New Roman" w:hAnsi="Times New Roman" w:cs="Times New Roman"/>
          <w:sz w:val="28"/>
          <w:szCs w:val="28"/>
        </w:rPr>
        <w:t>r a 50000 UVT. El factor de comparación es la renta líquida gravable. Toda persona jurídica que tenga renta líquida gravable de 50000 UVT es comparable con los contribuyentes sometidos a la sobretasa censurada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y v) e</w:t>
      </w:r>
      <w:r w:rsidRPr="00EE2FA1">
        <w:rPr>
          <w:rFonts w:ascii="Times New Roman" w:hAnsi="Times New Roman" w:cs="Times New Roman"/>
          <w:sz w:val="28"/>
          <w:szCs w:val="28"/>
        </w:rPr>
        <w:t>l ostensible trato desigual de las comp</w:t>
      </w:r>
      <w:r w:rsidRPr="00EE2FA1">
        <w:rPr>
          <w:rFonts w:ascii="Times New Roman" w:hAnsi="Times New Roman" w:cs="Times New Roman"/>
          <w:sz w:val="28"/>
          <w:szCs w:val="28"/>
        </w:rPr>
        <w:t>añías extractoras de petróleo en relación con la generalidad de los contribuyentes personas jurídicas.</w:t>
      </w:r>
    </w:p>
    <w:p w:rsidR="005E2F5B" w:rsidRPr="00EE2FA1" w:rsidRDefault="00EE2FA1" w:rsidP="005E2F5B">
      <w:pPr>
        <w:pStyle w:val="Prrafodelista"/>
        <w:spacing w:line="0" w:lineRule="atLeast"/>
        <w:ind w:left="0"/>
        <w:jc w:val="both"/>
        <w:rPr>
          <w:rFonts w:ascii="Times New Roman" w:eastAsia="Calibri" w:hAnsi="Times New Roman" w:cs="Times New Roman"/>
          <w:sz w:val="28"/>
          <w:szCs w:val="28"/>
          <w:lang w:eastAsia="es-ES"/>
        </w:rPr>
      </w:pPr>
    </w:p>
    <w:p w:rsidR="00265E73" w:rsidRPr="00EE2FA1" w:rsidRDefault="00EE2FA1" w:rsidP="00CF0CA0">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También</w:t>
      </w:r>
      <w:r w:rsidRPr="00EE2FA1">
        <w:rPr>
          <w:rFonts w:ascii="Times New Roman" w:hAnsi="Times New Roman" w:cs="Times New Roman"/>
          <w:sz w:val="28"/>
          <w:szCs w:val="28"/>
        </w:rPr>
        <w:t>, refirió el t</w:t>
      </w:r>
      <w:r w:rsidRPr="00EE2FA1">
        <w:rPr>
          <w:rFonts w:ascii="Times New Roman" w:hAnsi="Times New Roman" w:cs="Times New Roman"/>
          <w:sz w:val="28"/>
          <w:szCs w:val="28"/>
        </w:rPr>
        <w:t xml:space="preserve">rato desigual de las compañías extractoras de petróleo en relación con otros contribuyentes sometidos a sobretasas previstas en la </w:t>
      </w:r>
      <w:r w:rsidRPr="00EE2FA1">
        <w:rPr>
          <w:rFonts w:ascii="Times New Roman" w:hAnsi="Times New Roman" w:cs="Times New Roman"/>
          <w:sz w:val="28"/>
          <w:szCs w:val="28"/>
        </w:rPr>
        <w:t>Ley 2277 de 2022</w:t>
      </w:r>
      <w:r w:rsidRPr="00EE2FA1">
        <w:rPr>
          <w:rFonts w:ascii="Times New Roman" w:hAnsi="Times New Roman" w:cs="Times New Roman"/>
          <w:sz w:val="28"/>
          <w:szCs w:val="28"/>
        </w:rPr>
        <w:t xml:space="preserve">, de la siguiente manera: </w:t>
      </w:r>
    </w:p>
    <w:p w:rsidR="00265E73" w:rsidRPr="00EE2FA1" w:rsidRDefault="00EE2FA1" w:rsidP="00265E73">
      <w:pPr>
        <w:pStyle w:val="Prrafodelista"/>
        <w:rPr>
          <w:rFonts w:ascii="Times New Roman" w:hAnsi="Times New Roman" w:cs="Times New Roman"/>
          <w:sz w:val="28"/>
          <w:szCs w:val="28"/>
        </w:rPr>
      </w:pPr>
    </w:p>
    <w:p w:rsidR="00265E73" w:rsidRPr="00EE2FA1" w:rsidRDefault="00EE2FA1" w:rsidP="00334466">
      <w:pPr>
        <w:pStyle w:val="Prrafodelista"/>
        <w:numPr>
          <w:ilvl w:val="0"/>
          <w:numId w:val="6"/>
        </w:numPr>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E</w:t>
      </w:r>
      <w:r w:rsidRPr="00EE2FA1">
        <w:rPr>
          <w:rFonts w:ascii="Times New Roman" w:hAnsi="Times New Roman" w:cs="Times New Roman"/>
          <w:sz w:val="28"/>
          <w:szCs w:val="28"/>
        </w:rPr>
        <w:t xml:space="preserve">l sector de generación de energía eléctrica porque </w:t>
      </w:r>
      <w:r w:rsidRPr="00EE2FA1">
        <w:rPr>
          <w:rFonts w:ascii="Times New Roman" w:hAnsi="Times New Roman" w:cs="Times New Roman"/>
          <w:sz w:val="28"/>
          <w:szCs w:val="28"/>
        </w:rPr>
        <w:t xml:space="preserve">el sobre gravamen en ese caso solo aplica cuando la actividad económica principal de los obligados sea aquella. La sobretasa para la extracción de petróleo es </w:t>
      </w:r>
      <w:r w:rsidRPr="00EE2FA1">
        <w:rPr>
          <w:rFonts w:ascii="Times New Roman" w:hAnsi="Times New Roman" w:cs="Times New Roman"/>
          <w:sz w:val="28"/>
          <w:szCs w:val="28"/>
        </w:rPr>
        <w:t>aplicable a todos los contribuyentes que realizan dicha actividad, sea o no la principal. La sobretasa del sector energético es de apenas 3 puntos. La del sector petrolero es de 5, 10 y 15%. Es temporal en aquel sector, solo por los años 2023, 2024, 2025 y</w:t>
      </w:r>
      <w:r w:rsidRPr="00EE2FA1">
        <w:rPr>
          <w:rFonts w:ascii="Times New Roman" w:hAnsi="Times New Roman" w:cs="Times New Roman"/>
          <w:sz w:val="28"/>
          <w:szCs w:val="28"/>
        </w:rPr>
        <w:t xml:space="preserve"> 2026; la de extracción de petróleo es permanente</w:t>
      </w:r>
      <w:r w:rsidRPr="00EE2FA1">
        <w:rPr>
          <w:rFonts w:ascii="Times New Roman" w:hAnsi="Times New Roman" w:cs="Times New Roman"/>
          <w:sz w:val="28"/>
          <w:szCs w:val="28"/>
        </w:rPr>
        <w:t>.</w:t>
      </w:r>
    </w:p>
    <w:p w:rsidR="006B167D" w:rsidRPr="00EE2FA1" w:rsidRDefault="00EE2FA1" w:rsidP="006B167D">
      <w:pPr>
        <w:pStyle w:val="Prrafodelista"/>
        <w:spacing w:line="0" w:lineRule="atLeast"/>
        <w:ind w:left="0"/>
        <w:jc w:val="both"/>
        <w:rPr>
          <w:rFonts w:ascii="Times New Roman" w:hAnsi="Times New Roman" w:cs="Times New Roman"/>
          <w:sz w:val="28"/>
          <w:szCs w:val="28"/>
        </w:rPr>
      </w:pPr>
    </w:p>
    <w:p w:rsidR="00622A4A" w:rsidRPr="00EE2FA1" w:rsidRDefault="00EE2FA1" w:rsidP="00265E73">
      <w:pPr>
        <w:pStyle w:val="Prrafodelista"/>
        <w:numPr>
          <w:ilvl w:val="0"/>
          <w:numId w:val="6"/>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E</w:t>
      </w:r>
      <w:r w:rsidRPr="00EE2FA1">
        <w:rPr>
          <w:rFonts w:ascii="Times New Roman" w:hAnsi="Times New Roman" w:cs="Times New Roman"/>
          <w:sz w:val="28"/>
          <w:szCs w:val="28"/>
        </w:rPr>
        <w:t>l s</w:t>
      </w:r>
      <w:r w:rsidRPr="00EE2FA1">
        <w:rPr>
          <w:rFonts w:ascii="Times New Roman" w:hAnsi="Times New Roman" w:cs="Times New Roman"/>
          <w:sz w:val="28"/>
          <w:szCs w:val="28"/>
        </w:rPr>
        <w:t xml:space="preserve">ector financiero: la sobretasa para dicho sector es de 5 puntos. La del sector petrolero es de 5, 10 y 15%.  La sobretasa del sector financiero es temporal y el umbral para que se genere es de 120000 </w:t>
      </w:r>
      <w:r w:rsidRPr="00EE2FA1">
        <w:rPr>
          <w:rFonts w:ascii="Times New Roman" w:hAnsi="Times New Roman" w:cs="Times New Roman"/>
          <w:sz w:val="28"/>
          <w:szCs w:val="28"/>
        </w:rPr>
        <w:t>UVT</w:t>
      </w:r>
      <w:r w:rsidRPr="00EE2FA1">
        <w:rPr>
          <w:rFonts w:ascii="Times New Roman" w:hAnsi="Times New Roman" w:cs="Times New Roman"/>
          <w:sz w:val="28"/>
          <w:szCs w:val="28"/>
        </w:rPr>
        <w:t>.</w:t>
      </w:r>
    </w:p>
    <w:p w:rsidR="00265E73" w:rsidRPr="00EE2FA1" w:rsidRDefault="00EE2FA1" w:rsidP="00334466">
      <w:pPr>
        <w:pStyle w:val="Prrafodelista"/>
        <w:spacing w:line="0" w:lineRule="atLeast"/>
        <w:ind w:left="0"/>
        <w:jc w:val="both"/>
        <w:rPr>
          <w:rFonts w:ascii="Times New Roman" w:eastAsia="Calibri" w:hAnsi="Times New Roman" w:cs="Times New Roman"/>
          <w:sz w:val="28"/>
          <w:szCs w:val="28"/>
          <w:lang w:eastAsia="es-ES"/>
        </w:rPr>
      </w:pPr>
    </w:p>
    <w:p w:rsidR="00CF0CA0" w:rsidRPr="00EE2FA1" w:rsidRDefault="00EE2FA1" w:rsidP="00265E73">
      <w:pPr>
        <w:pStyle w:val="Prrafodelista"/>
        <w:numPr>
          <w:ilvl w:val="0"/>
          <w:numId w:val="6"/>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O</w:t>
      </w:r>
      <w:r w:rsidRPr="00EE2FA1">
        <w:rPr>
          <w:rFonts w:ascii="Times New Roman" w:hAnsi="Times New Roman" w:cs="Times New Roman"/>
          <w:sz w:val="28"/>
          <w:szCs w:val="28"/>
        </w:rPr>
        <w:t xml:space="preserve">tros contribuyentes que emiten gases efectos invernadero: “Es claro que si uno de los supuestos objetivos de la ley es el ambiental, resulta ostensiblemente inequitativo e injusto que, siendo las emisiones atribuibles a la industria del petróleo de </w:t>
      </w:r>
      <w:r w:rsidRPr="00EE2FA1">
        <w:rPr>
          <w:rFonts w:ascii="Times New Roman" w:hAnsi="Times New Roman" w:cs="Times New Roman"/>
          <w:sz w:val="28"/>
          <w:szCs w:val="28"/>
        </w:rPr>
        <w:t>solo el 6% del total de las emisiones del país, sea solo a las empresas de esa misma industria a las que se les someta al incremente permiten de la tarifa en proporciones que pueden llegar a un 42.85% adicional, respecto de la general del 35%, en tanto que</w:t>
      </w:r>
      <w:r w:rsidRPr="00EE2FA1">
        <w:rPr>
          <w:rFonts w:ascii="Times New Roman" w:hAnsi="Times New Roman" w:cs="Times New Roman"/>
          <w:sz w:val="28"/>
          <w:szCs w:val="28"/>
        </w:rPr>
        <w:t xml:space="preserve"> otros sectores, que generan emisiones en proporciones notoriamente mayores, no quedaron afectados con la misma incidencia tributaria.”</w:t>
      </w:r>
    </w:p>
    <w:p w:rsidR="00CF0CA0" w:rsidRPr="00EE2FA1" w:rsidRDefault="00EE2FA1" w:rsidP="00CF0CA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C742C7" w:rsidRPr="00EE2FA1" w:rsidRDefault="00EE2FA1" w:rsidP="00C742C7">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i/>
          <w:iCs/>
          <w:sz w:val="28"/>
          <w:szCs w:val="28"/>
          <w:lang w:eastAsia="es-ES"/>
        </w:rPr>
      </w:pPr>
      <w:r w:rsidRPr="00EE2FA1">
        <w:rPr>
          <w:rFonts w:ascii="Times New Roman" w:eastAsia="Calibri" w:hAnsi="Times New Roman" w:cs="Times New Roman"/>
          <w:i/>
          <w:iCs/>
          <w:sz w:val="28"/>
          <w:szCs w:val="28"/>
          <w:lang w:eastAsia="es-ES"/>
        </w:rPr>
        <w:t>Cuestión previa.</w:t>
      </w:r>
      <w:r w:rsidRPr="00EE2FA1">
        <w:rPr>
          <w:rFonts w:ascii="Times New Roman" w:eastAsia="Calibri" w:hAnsi="Times New Roman" w:cs="Times New Roman"/>
          <w:i/>
          <w:iCs/>
          <w:sz w:val="28"/>
          <w:szCs w:val="28"/>
          <w:lang w:eastAsia="es-ES"/>
        </w:rPr>
        <w:t xml:space="preserve"> Ineptitud </w:t>
      </w:r>
      <w:r w:rsidRPr="00EE2FA1">
        <w:rPr>
          <w:rFonts w:ascii="Times New Roman" w:eastAsia="Calibri" w:hAnsi="Times New Roman" w:cs="Times New Roman"/>
          <w:i/>
          <w:iCs/>
          <w:sz w:val="28"/>
          <w:szCs w:val="28"/>
          <w:lang w:eastAsia="es-ES"/>
        </w:rPr>
        <w:t>de la censura</w:t>
      </w:r>
      <w:r w:rsidRPr="00EE2FA1">
        <w:rPr>
          <w:rFonts w:ascii="Times New Roman" w:eastAsia="Calibri" w:hAnsi="Times New Roman" w:cs="Times New Roman"/>
          <w:i/>
          <w:iCs/>
          <w:sz w:val="28"/>
          <w:szCs w:val="28"/>
          <w:lang w:eastAsia="es-ES"/>
        </w:rPr>
        <w:t xml:space="preserve"> </w:t>
      </w:r>
      <w:r w:rsidRPr="00EE2FA1">
        <w:rPr>
          <w:rFonts w:ascii="Times New Roman" w:eastAsia="Calibri" w:hAnsi="Times New Roman" w:cs="Times New Roman"/>
          <w:i/>
          <w:iCs/>
          <w:sz w:val="28"/>
          <w:szCs w:val="28"/>
          <w:lang w:eastAsia="es-ES"/>
        </w:rPr>
        <w:t xml:space="preserve">referida </w:t>
      </w:r>
      <w:r w:rsidRPr="00EE2FA1">
        <w:rPr>
          <w:rFonts w:ascii="Times New Roman" w:eastAsia="Calibri" w:hAnsi="Times New Roman" w:cs="Times New Roman"/>
          <w:i/>
          <w:iCs/>
          <w:sz w:val="28"/>
          <w:szCs w:val="28"/>
          <w:lang w:eastAsia="es-ES"/>
        </w:rPr>
        <w:t>a la igualdad</w:t>
      </w:r>
      <w:r w:rsidRPr="00EE2FA1">
        <w:rPr>
          <w:rFonts w:ascii="Times New Roman" w:eastAsia="Calibri" w:hAnsi="Times New Roman" w:cs="Times New Roman"/>
          <w:i/>
          <w:iCs/>
          <w:sz w:val="28"/>
          <w:szCs w:val="28"/>
          <w:lang w:eastAsia="es-ES"/>
        </w:rPr>
        <w:t xml:space="preserve"> y a la equidad tributaria</w:t>
      </w:r>
      <w:r w:rsidRPr="00EE2FA1">
        <w:rPr>
          <w:rFonts w:ascii="Times New Roman" w:eastAsia="Calibri" w:hAnsi="Times New Roman" w:cs="Times New Roman"/>
          <w:i/>
          <w:iCs/>
          <w:sz w:val="28"/>
          <w:szCs w:val="28"/>
          <w:lang w:eastAsia="es-ES"/>
        </w:rPr>
        <w:t xml:space="preserve">. </w:t>
      </w:r>
      <w:r w:rsidRPr="00EE2FA1">
        <w:rPr>
          <w:rFonts w:ascii="Times New Roman" w:eastAsia="Calibri" w:hAnsi="Times New Roman" w:cs="Times New Roman"/>
          <w:sz w:val="28"/>
          <w:szCs w:val="28"/>
          <w:lang w:eastAsia="es-ES"/>
        </w:rPr>
        <w:t>La Sala Plena</w:t>
      </w:r>
      <w:r w:rsidRPr="00EE2FA1">
        <w:rPr>
          <w:rFonts w:ascii="Times New Roman" w:eastAsia="Calibri" w:hAnsi="Times New Roman" w:cs="Times New Roman"/>
          <w:sz w:val="28"/>
          <w:szCs w:val="28"/>
          <w:lang w:eastAsia="es-ES"/>
        </w:rPr>
        <w:t xml:space="preserve">, en ejercicio </w:t>
      </w:r>
      <w:r w:rsidRPr="00EE2FA1">
        <w:rPr>
          <w:rFonts w:ascii="Times New Roman" w:eastAsia="Calibri" w:hAnsi="Times New Roman" w:cs="Times New Roman"/>
          <w:sz w:val="28"/>
          <w:szCs w:val="28"/>
          <w:lang w:eastAsia="es-ES"/>
        </w:rPr>
        <w:t>de su facultad de valorar la aptitud de los cargos al momento de dictar sentencia</w:t>
      </w:r>
      <w:r w:rsidRPr="00EE2FA1">
        <w:rPr>
          <w:rStyle w:val="Refdenotaalpie"/>
          <w:rFonts w:ascii="Times New Roman" w:eastAsia="Calibri" w:hAnsi="Times New Roman" w:cs="Times New Roman"/>
          <w:sz w:val="28"/>
          <w:szCs w:val="28"/>
          <w:lang w:eastAsia="es-ES"/>
        </w:rPr>
        <w:footnoteReference w:id="208"/>
      </w:r>
      <w:r w:rsidRPr="00EE2FA1">
        <w:rPr>
          <w:rFonts w:ascii="Times New Roman" w:eastAsia="Calibri" w:hAnsi="Times New Roman" w:cs="Times New Roman"/>
          <w:sz w:val="28"/>
          <w:szCs w:val="28"/>
          <w:lang w:eastAsia="es-ES"/>
        </w:rPr>
        <w:t xml:space="preserve"> y tomando en cuenta inquietudes de algunos intervinientes, especialmente de la DIAN</w:t>
      </w:r>
      <w:r w:rsidRPr="00EE2FA1">
        <w:rPr>
          <w:rStyle w:val="Refdenotaalpie"/>
          <w:rFonts w:ascii="Times New Roman" w:eastAsia="Calibri" w:hAnsi="Times New Roman" w:cs="Times New Roman"/>
          <w:sz w:val="28"/>
          <w:szCs w:val="28"/>
          <w:lang w:eastAsia="es-ES"/>
        </w:rPr>
        <w:footnoteReference w:id="209"/>
      </w:r>
      <w:r w:rsidRPr="00EE2FA1">
        <w:rPr>
          <w:rFonts w:ascii="Times New Roman" w:eastAsia="Calibri" w:hAnsi="Times New Roman" w:cs="Times New Roman"/>
          <w:sz w:val="28"/>
          <w:szCs w:val="28"/>
          <w:lang w:eastAsia="es-ES"/>
        </w:rPr>
        <w:t xml:space="preserve"> y el DAPRE</w:t>
      </w:r>
      <w:r w:rsidRPr="00EE2FA1">
        <w:rPr>
          <w:rStyle w:val="Refdenotaalpie"/>
          <w:rFonts w:ascii="Times New Roman" w:eastAsia="Calibri" w:hAnsi="Times New Roman" w:cs="Times New Roman"/>
          <w:sz w:val="28"/>
          <w:szCs w:val="28"/>
          <w:lang w:eastAsia="es-ES"/>
        </w:rPr>
        <w:footnoteReference w:id="210"/>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considera que el argumento referido al desconocimiento de la </w:t>
      </w:r>
      <w:r w:rsidRPr="00EE2FA1">
        <w:rPr>
          <w:rFonts w:ascii="Times New Roman" w:eastAsia="Calibri" w:hAnsi="Times New Roman" w:cs="Times New Roman"/>
          <w:sz w:val="28"/>
          <w:szCs w:val="28"/>
          <w:lang w:eastAsia="es-ES"/>
        </w:rPr>
        <w:t>faceta de igua</w:t>
      </w:r>
      <w:r w:rsidRPr="00EE2FA1">
        <w:rPr>
          <w:rFonts w:ascii="Times New Roman" w:eastAsia="Calibri" w:hAnsi="Times New Roman" w:cs="Times New Roman"/>
          <w:sz w:val="28"/>
          <w:szCs w:val="28"/>
          <w:lang w:eastAsia="es-ES"/>
        </w:rPr>
        <w:t>ldad de la</w:t>
      </w:r>
      <w:r w:rsidRPr="00EE2FA1">
        <w:rPr>
          <w:rFonts w:ascii="Times New Roman" w:eastAsia="Calibri" w:hAnsi="Times New Roman" w:cs="Times New Roman"/>
          <w:sz w:val="28"/>
          <w:szCs w:val="28"/>
          <w:lang w:eastAsia="es-ES"/>
        </w:rPr>
        <w:t xml:space="preserve"> equidad tributaria</w:t>
      </w:r>
      <w:r w:rsidRPr="00EE2FA1">
        <w:rPr>
          <w:rFonts w:ascii="Times New Roman" w:eastAsia="Calibri" w:hAnsi="Times New Roman" w:cs="Times New Roman"/>
          <w:sz w:val="28"/>
          <w:szCs w:val="28"/>
          <w:lang w:eastAsia="es-ES"/>
        </w:rPr>
        <w:t>, entendi</w:t>
      </w:r>
      <w:r w:rsidRPr="00EE2FA1">
        <w:rPr>
          <w:rFonts w:ascii="Times New Roman" w:eastAsia="Calibri" w:hAnsi="Times New Roman" w:cs="Times New Roman"/>
          <w:sz w:val="28"/>
          <w:szCs w:val="28"/>
          <w:lang w:eastAsia="es-ES"/>
        </w:rPr>
        <w:t>do</w:t>
      </w:r>
      <w:r w:rsidRPr="00EE2FA1">
        <w:rPr>
          <w:rFonts w:ascii="Times New Roman" w:eastAsia="Calibri" w:hAnsi="Times New Roman" w:cs="Times New Roman"/>
          <w:sz w:val="28"/>
          <w:szCs w:val="28"/>
          <w:lang w:eastAsia="es-ES"/>
        </w:rPr>
        <w:t xml:space="preserve"> como una censura autónoma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no es apto porque carece de </w:t>
      </w:r>
      <w:r w:rsidRPr="00EE2FA1">
        <w:rPr>
          <w:rFonts w:ascii="Times New Roman" w:eastAsia="Calibri" w:hAnsi="Times New Roman" w:cs="Times New Roman"/>
          <w:i/>
          <w:iCs/>
          <w:sz w:val="28"/>
          <w:szCs w:val="28"/>
          <w:lang w:eastAsia="es-ES"/>
        </w:rPr>
        <w:t>especificidad y suficiencia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A continuación, la Sala </w:t>
      </w:r>
      <w:r w:rsidRPr="00EE2FA1">
        <w:rPr>
          <w:rFonts w:ascii="Times New Roman" w:eastAsia="Calibri" w:hAnsi="Times New Roman" w:cs="Times New Roman"/>
          <w:sz w:val="28"/>
          <w:szCs w:val="28"/>
          <w:lang w:eastAsia="es-ES"/>
        </w:rPr>
        <w:t xml:space="preserve">Plena presenta los argumentos que sustentan dicha </w:t>
      </w:r>
      <w:r w:rsidRPr="00EE2FA1">
        <w:rPr>
          <w:rFonts w:ascii="Times New Roman" w:eastAsia="Calibri" w:hAnsi="Times New Roman" w:cs="Times New Roman"/>
          <w:sz w:val="28"/>
          <w:szCs w:val="28"/>
          <w:lang w:eastAsia="es-ES"/>
        </w:rPr>
        <w:t>conclusión</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i/>
          <w:iCs/>
          <w:sz w:val="28"/>
          <w:szCs w:val="28"/>
          <w:lang w:eastAsia="es-ES"/>
        </w:rPr>
        <w:t xml:space="preserve"> </w:t>
      </w:r>
    </w:p>
    <w:p w:rsidR="00F65579" w:rsidRPr="00EE2FA1" w:rsidRDefault="00EE2FA1" w:rsidP="00C742C7">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9C3125" w:rsidRPr="00EE2FA1" w:rsidRDefault="00EE2FA1" w:rsidP="009C3125">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primer lugar, la Sala aclara que esta censura tiene un contenido autónomo y se refiere a la dimensión de la igualdad de la equidad tributaria tal y como lo ha identificado esta corporación. </w:t>
      </w:r>
      <w:r w:rsidRPr="00EE2FA1">
        <w:rPr>
          <w:rFonts w:ascii="Times New Roman" w:hAnsi="Times New Roman" w:cs="Times New Roman"/>
          <w:sz w:val="28"/>
          <w:szCs w:val="28"/>
        </w:rPr>
        <w:t>Al respecto, la Sentencia C-109 de 2020</w:t>
      </w:r>
      <w:r w:rsidRPr="00EE2FA1">
        <w:rPr>
          <w:rStyle w:val="Refdenotaalpie"/>
          <w:rFonts w:ascii="Times New Roman" w:hAnsi="Times New Roman" w:cs="Times New Roman"/>
          <w:sz w:val="28"/>
          <w:szCs w:val="28"/>
        </w:rPr>
        <w:footnoteReference w:id="211"/>
      </w:r>
      <w:r w:rsidRPr="00EE2FA1">
        <w:rPr>
          <w:rFonts w:ascii="Times New Roman" w:hAnsi="Times New Roman" w:cs="Times New Roman"/>
          <w:sz w:val="28"/>
          <w:szCs w:val="28"/>
        </w:rPr>
        <w:t>, precisó lo siguiente:</w:t>
      </w:r>
      <w:r w:rsidRPr="00EE2FA1">
        <w:rPr>
          <w:rFonts w:ascii="Times New Roman" w:hAnsi="Times New Roman" w:cs="Times New Roman"/>
          <w:sz w:val="28"/>
          <w:szCs w:val="28"/>
        </w:rPr>
        <w:t xml:space="preserve"> “El principio de equidad tributaria constituye una manifestación de la igualdad en el contexto tributario. Específicamente la equidad horizontal tiene una relación explícita con el principio de igualdad en tanto ‘</w:t>
      </w:r>
      <w:r w:rsidRPr="00EE2FA1">
        <w:rPr>
          <w:rFonts w:ascii="Times New Roman" w:hAnsi="Times New Roman" w:cs="Times New Roman"/>
          <w:i/>
          <w:iCs/>
          <w:sz w:val="28"/>
          <w:szCs w:val="28"/>
        </w:rPr>
        <w:t>se auxilia en el juicio de igualdad, con e</w:t>
      </w:r>
      <w:r w:rsidRPr="00EE2FA1">
        <w:rPr>
          <w:rFonts w:ascii="Times New Roman" w:hAnsi="Times New Roman" w:cs="Times New Roman"/>
          <w:i/>
          <w:iCs/>
          <w:sz w:val="28"/>
          <w:szCs w:val="28"/>
        </w:rPr>
        <w:t>l propósito de determinar si una medida impositiva o la consagración de una exención cumplen o no con la obligación de dar el mismo trato a supuestos de hecho equivalentes o a destinatarios que están en circunstancias similares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 La </w:t>
      </w:r>
      <w:r w:rsidRPr="00EE2FA1">
        <w:rPr>
          <w:rFonts w:ascii="Times New Roman" w:hAnsi="Times New Roman" w:cs="Times New Roman"/>
          <w:sz w:val="28"/>
          <w:szCs w:val="28"/>
        </w:rPr>
        <w:t>S</w:t>
      </w:r>
      <w:r w:rsidRPr="00EE2FA1">
        <w:rPr>
          <w:rFonts w:ascii="Times New Roman" w:hAnsi="Times New Roman" w:cs="Times New Roman"/>
          <w:sz w:val="28"/>
          <w:szCs w:val="28"/>
        </w:rPr>
        <w:t>entencia C-1021 de</w:t>
      </w:r>
      <w:r w:rsidRPr="00EE2FA1">
        <w:rPr>
          <w:rFonts w:ascii="Times New Roman" w:hAnsi="Times New Roman" w:cs="Times New Roman"/>
          <w:sz w:val="28"/>
          <w:szCs w:val="28"/>
        </w:rPr>
        <w:t xml:space="preserve"> 2012, apoyándose en la práctica decisional de este Tribunal, refirió las etapas centrales de dicho examen y estableció que la justificación de un trato diferente exige ‘</w:t>
      </w:r>
      <w:r w:rsidRPr="00EE2FA1">
        <w:rPr>
          <w:rFonts w:ascii="Times New Roman" w:hAnsi="Times New Roman" w:cs="Times New Roman"/>
          <w:i/>
          <w:iCs/>
          <w:sz w:val="28"/>
          <w:szCs w:val="28"/>
        </w:rPr>
        <w:t>(i) analizar el fin que busca el legislador al imponer la medida específica; (ii) valo</w:t>
      </w:r>
      <w:r w:rsidRPr="00EE2FA1">
        <w:rPr>
          <w:rFonts w:ascii="Times New Roman" w:hAnsi="Times New Roman" w:cs="Times New Roman"/>
          <w:i/>
          <w:iCs/>
          <w:sz w:val="28"/>
          <w:szCs w:val="28"/>
        </w:rPr>
        <w:t>rar el medio empleado para tal fin; y (iii) evaluar la relación existente entre el medio y el fin</w:t>
      </w:r>
      <w:r w:rsidRPr="00EE2FA1">
        <w:rPr>
          <w:rFonts w:ascii="Times New Roman" w:hAnsi="Times New Roman" w:cs="Times New Roman"/>
          <w:sz w:val="28"/>
          <w:szCs w:val="28"/>
        </w:rPr>
        <w:t>’.”</w:t>
      </w:r>
    </w:p>
    <w:p w:rsidR="009C3125" w:rsidRPr="00EE2FA1" w:rsidRDefault="00EE2FA1" w:rsidP="009C3125">
      <w:pPr>
        <w:rPr>
          <w:rFonts w:ascii="Times New Roman" w:eastAsia="Calibri" w:hAnsi="Times New Roman" w:cs="Times New Roman"/>
          <w:sz w:val="28"/>
          <w:szCs w:val="28"/>
          <w:lang w:eastAsia="es-ES"/>
        </w:rPr>
      </w:pPr>
    </w:p>
    <w:p w:rsidR="00F65579" w:rsidRPr="00EE2FA1" w:rsidRDefault="00EE2FA1" w:rsidP="00FE25CA">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La identificación de los grupos a comparar</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En este caso, según lo que se desprende de la demanda</w:t>
      </w:r>
      <w:r w:rsidRPr="00EE2FA1">
        <w:rPr>
          <w:rFonts w:ascii="Times New Roman" w:eastAsia="Calibri" w:hAnsi="Times New Roman" w:cs="Times New Roman"/>
          <w:sz w:val="28"/>
          <w:szCs w:val="28"/>
          <w:lang w:eastAsia="es-ES"/>
        </w:rPr>
        <w:t xml:space="preserve"> y su corrección</w:t>
      </w:r>
      <w:r w:rsidRPr="00EE2FA1">
        <w:rPr>
          <w:rFonts w:ascii="Times New Roman" w:eastAsia="Calibri" w:hAnsi="Times New Roman" w:cs="Times New Roman"/>
          <w:sz w:val="28"/>
          <w:szCs w:val="28"/>
          <w:lang w:eastAsia="es-ES"/>
        </w:rPr>
        <w:t xml:space="preserve">, se identifican dos grupos </w:t>
      </w:r>
      <w:r w:rsidRPr="00EE2FA1">
        <w:rPr>
          <w:rFonts w:ascii="Times New Roman" w:hAnsi="Times New Roman" w:cs="Times New Roman"/>
          <w:sz w:val="28"/>
          <w:szCs w:val="28"/>
        </w:rPr>
        <w:t xml:space="preserve">a saber: (i) el primero que corresponde a los sujetos a los que les resulta aplicable la </w:t>
      </w:r>
      <w:r w:rsidRPr="00EE2FA1">
        <w:rPr>
          <w:rFonts w:ascii="Times New Roman" w:hAnsi="Times New Roman" w:cs="Times New Roman"/>
          <w:sz w:val="28"/>
          <w:szCs w:val="28"/>
        </w:rPr>
        <w:t xml:space="preserve">sobretarifa </w:t>
      </w:r>
      <w:r w:rsidRPr="00EE2FA1">
        <w:rPr>
          <w:rFonts w:ascii="Times New Roman" w:hAnsi="Times New Roman" w:cs="Times New Roman"/>
          <w:sz w:val="28"/>
          <w:szCs w:val="28"/>
        </w:rPr>
        <w:t xml:space="preserve">regulada en la disposición acusada y, por otra parte, </w:t>
      </w:r>
      <w:r w:rsidRPr="00EE2FA1">
        <w:rPr>
          <w:rFonts w:ascii="Times New Roman" w:hAnsi="Times New Roman" w:cs="Times New Roman"/>
          <w:sz w:val="28"/>
          <w:szCs w:val="28"/>
        </w:rPr>
        <w:t xml:space="preserve">(ii) </w:t>
      </w:r>
      <w:r w:rsidRPr="00EE2FA1">
        <w:rPr>
          <w:rFonts w:ascii="Times New Roman" w:hAnsi="Times New Roman" w:cs="Times New Roman"/>
          <w:sz w:val="28"/>
          <w:szCs w:val="28"/>
        </w:rPr>
        <w:t>el que comprende las demás empresas (personas jurídicas) que obtengan una renta líquida superior</w:t>
      </w:r>
      <w:r w:rsidRPr="00EE2FA1">
        <w:rPr>
          <w:rFonts w:ascii="Times New Roman" w:hAnsi="Times New Roman" w:cs="Times New Roman"/>
          <w:sz w:val="28"/>
          <w:szCs w:val="28"/>
        </w:rPr>
        <w:t xml:space="preserve"> a 50000 UVT y declaran impuesto de renta. En el correspondiente ejercicio argumentativo la demanda</w:t>
      </w:r>
      <w:r w:rsidRPr="00EE2FA1">
        <w:rPr>
          <w:rFonts w:ascii="Times New Roman" w:hAnsi="Times New Roman" w:cs="Times New Roman"/>
          <w:sz w:val="28"/>
          <w:szCs w:val="28"/>
        </w:rPr>
        <w:t>nte</w:t>
      </w:r>
      <w:r w:rsidRPr="00EE2FA1">
        <w:rPr>
          <w:rFonts w:ascii="Times New Roman" w:hAnsi="Times New Roman" w:cs="Times New Roman"/>
          <w:sz w:val="28"/>
          <w:szCs w:val="28"/>
        </w:rPr>
        <w:t xml:space="preserve"> refirió empresas que están afectadas con sobretarifas y que hacen parte de otros sectores económicos que concurren en mayor o menor medida en la producci</w:t>
      </w:r>
      <w:r w:rsidRPr="00EE2FA1">
        <w:rPr>
          <w:rFonts w:ascii="Times New Roman" w:hAnsi="Times New Roman" w:cs="Times New Roman"/>
          <w:sz w:val="28"/>
          <w:szCs w:val="28"/>
        </w:rPr>
        <w:t>ón de efectos de gases invernadero</w:t>
      </w:r>
      <w:r w:rsidRPr="00EE2FA1">
        <w:rPr>
          <w:rFonts w:ascii="Times New Roman" w:hAnsi="Times New Roman" w:cs="Times New Roman"/>
          <w:sz w:val="28"/>
          <w:szCs w:val="28"/>
        </w:rPr>
        <w:t xml:space="preserve"> o que son impactadas por la Ley 2277 de 2022</w:t>
      </w:r>
      <w:r w:rsidRPr="00EE2FA1">
        <w:rPr>
          <w:rFonts w:ascii="Times New Roman" w:hAnsi="Times New Roman" w:cs="Times New Roman"/>
          <w:sz w:val="28"/>
          <w:szCs w:val="28"/>
        </w:rPr>
        <w:t xml:space="preserve">. </w:t>
      </w:r>
    </w:p>
    <w:p w:rsidR="00DC6E43" w:rsidRPr="00EE2FA1" w:rsidRDefault="00EE2FA1" w:rsidP="00DC6E43">
      <w:pPr>
        <w:pStyle w:val="Prrafodelista"/>
        <w:spacing w:line="0" w:lineRule="atLeast"/>
        <w:ind w:left="0"/>
        <w:jc w:val="both"/>
        <w:rPr>
          <w:rFonts w:ascii="Times New Roman" w:eastAsia="Calibri" w:hAnsi="Times New Roman" w:cs="Times New Roman"/>
          <w:sz w:val="28"/>
          <w:szCs w:val="28"/>
          <w:lang w:eastAsia="es-ES"/>
        </w:rPr>
      </w:pPr>
    </w:p>
    <w:p w:rsidR="00F65579" w:rsidRPr="00EE2FA1" w:rsidRDefault="00EE2FA1" w:rsidP="000D0AB3">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La Sala advierte que la demanda </w:t>
      </w:r>
      <w:r w:rsidRPr="00EE2FA1">
        <w:rPr>
          <w:rFonts w:ascii="Times New Roman" w:eastAsia="Calibri" w:hAnsi="Times New Roman" w:cs="Times New Roman"/>
          <w:sz w:val="28"/>
          <w:szCs w:val="28"/>
          <w:lang w:eastAsia="es-ES"/>
        </w:rPr>
        <w:t>estableció la capacidad contributiva como criterio de comparación entre los mencionados grupos</w:t>
      </w:r>
      <w:r w:rsidRPr="00EE2FA1">
        <w:rPr>
          <w:rStyle w:val="Refdenotaalpie"/>
          <w:rFonts w:ascii="Times New Roman" w:eastAsia="Calibri" w:hAnsi="Times New Roman" w:cs="Times New Roman"/>
          <w:sz w:val="28"/>
          <w:szCs w:val="28"/>
          <w:lang w:eastAsia="es-ES"/>
        </w:rPr>
        <w:footnoteReference w:id="212"/>
      </w:r>
      <w:r w:rsidRPr="00EE2FA1">
        <w:rPr>
          <w:rFonts w:ascii="Times New Roman" w:eastAsia="Calibri" w:hAnsi="Times New Roman" w:cs="Times New Roman"/>
          <w:sz w:val="28"/>
          <w:szCs w:val="28"/>
          <w:lang w:eastAsia="es-ES"/>
        </w:rPr>
        <w:t xml:space="preserve">. Sin embargo, </w:t>
      </w:r>
      <w:r w:rsidRPr="00EE2FA1">
        <w:rPr>
          <w:rFonts w:ascii="Times New Roman" w:eastAsia="Calibri" w:hAnsi="Times New Roman" w:cs="Times New Roman"/>
          <w:sz w:val="28"/>
          <w:szCs w:val="28"/>
          <w:lang w:eastAsia="es-ES"/>
        </w:rPr>
        <w:t xml:space="preserve">la Corte encuentra que la </w:t>
      </w:r>
      <w:r w:rsidRPr="00EE2FA1">
        <w:rPr>
          <w:rFonts w:ascii="Times New Roman" w:eastAsia="Calibri" w:hAnsi="Times New Roman" w:cs="Times New Roman"/>
          <w:sz w:val="28"/>
          <w:szCs w:val="28"/>
          <w:lang w:eastAsia="es-ES"/>
        </w:rPr>
        <w:t xml:space="preserve">accionante </w:t>
      </w:r>
      <w:r w:rsidRPr="00EE2FA1">
        <w:rPr>
          <w:rFonts w:ascii="Times New Roman" w:eastAsia="Calibri" w:hAnsi="Times New Roman" w:cs="Times New Roman"/>
          <w:sz w:val="28"/>
          <w:szCs w:val="28"/>
          <w:lang w:eastAsia="es-ES"/>
        </w:rPr>
        <w:t xml:space="preserve">no presentó argumentos tendientes a demostrar que los grupos son comparables a partir de dicho criterio. Lo anterior, porque refirió aspectos </w:t>
      </w:r>
      <w:r w:rsidRPr="00EE2FA1">
        <w:rPr>
          <w:rFonts w:ascii="Times New Roman" w:eastAsia="Calibri" w:hAnsi="Times New Roman" w:cs="Times New Roman"/>
          <w:sz w:val="28"/>
          <w:szCs w:val="28"/>
          <w:lang w:eastAsia="es-ES"/>
        </w:rPr>
        <w:t>nominales, construidos a partir de la mera comparación de tarifas de impuesto de renta</w:t>
      </w:r>
      <w:r w:rsidRPr="00EE2FA1">
        <w:rPr>
          <w:rFonts w:ascii="Times New Roman" w:eastAsia="Calibri" w:hAnsi="Times New Roman" w:cs="Times New Roman"/>
          <w:sz w:val="28"/>
          <w:szCs w:val="28"/>
          <w:lang w:eastAsia="es-ES"/>
        </w:rPr>
        <w:t xml:space="preserve"> y </w:t>
      </w:r>
      <w:r w:rsidRPr="00EE2FA1">
        <w:rPr>
          <w:rFonts w:ascii="Times New Roman" w:eastAsia="Calibri" w:hAnsi="Times New Roman" w:cs="Times New Roman"/>
          <w:sz w:val="28"/>
          <w:szCs w:val="28"/>
          <w:lang w:eastAsia="es-ES"/>
        </w:rPr>
        <w:t>sobretarifas</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y </w:t>
      </w:r>
      <w:r w:rsidRPr="00EE2FA1">
        <w:rPr>
          <w:rFonts w:ascii="Times New Roman" w:eastAsia="Calibri" w:hAnsi="Times New Roman" w:cs="Times New Roman"/>
          <w:sz w:val="28"/>
          <w:szCs w:val="28"/>
          <w:lang w:eastAsia="es-ES"/>
        </w:rPr>
        <w:t xml:space="preserve">de </w:t>
      </w:r>
      <w:r w:rsidRPr="00EE2FA1">
        <w:rPr>
          <w:rFonts w:ascii="Times New Roman" w:eastAsia="Calibri" w:hAnsi="Times New Roman" w:cs="Times New Roman"/>
          <w:sz w:val="28"/>
          <w:szCs w:val="28"/>
          <w:lang w:eastAsia="es-ES"/>
        </w:rPr>
        <w:t xml:space="preserve">la identificación de sectores que, en </w:t>
      </w:r>
      <w:r w:rsidRPr="00EE2FA1">
        <w:rPr>
          <w:rFonts w:ascii="Times New Roman" w:eastAsia="Calibri" w:hAnsi="Times New Roman" w:cs="Times New Roman"/>
          <w:sz w:val="28"/>
          <w:szCs w:val="28"/>
          <w:lang w:eastAsia="es-ES"/>
        </w:rPr>
        <w:t xml:space="preserve">su </w:t>
      </w:r>
      <w:r w:rsidRPr="00EE2FA1">
        <w:rPr>
          <w:rFonts w:ascii="Times New Roman" w:eastAsia="Calibri" w:hAnsi="Times New Roman" w:cs="Times New Roman"/>
          <w:sz w:val="28"/>
          <w:szCs w:val="28"/>
          <w:lang w:eastAsia="es-ES"/>
        </w:rPr>
        <w:t>sentir, tienen mayor o menor participación en la producción de efecto de gases invernadero.</w:t>
      </w:r>
    </w:p>
    <w:p w:rsidR="001F2CED" w:rsidRPr="00EE2FA1" w:rsidRDefault="00EE2FA1" w:rsidP="001F2CED">
      <w:pPr>
        <w:pStyle w:val="Prrafodelista"/>
        <w:rPr>
          <w:rFonts w:ascii="Times New Roman" w:eastAsia="Calibri" w:hAnsi="Times New Roman" w:cs="Times New Roman"/>
          <w:sz w:val="28"/>
          <w:szCs w:val="28"/>
          <w:lang w:eastAsia="es-ES"/>
        </w:rPr>
      </w:pPr>
    </w:p>
    <w:p w:rsidR="001F2CED" w:rsidRPr="00EE2FA1" w:rsidRDefault="00EE2FA1" w:rsidP="001F2CED">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Sobre este aspecto, se reitera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que</w:t>
      </w:r>
      <w:r w:rsidRPr="00EE2FA1">
        <w:rPr>
          <w:rFonts w:ascii="Times New Roman" w:eastAsia="Calibri" w:hAnsi="Times New Roman" w:cs="Times New Roman"/>
          <w:sz w:val="28"/>
          <w:szCs w:val="28"/>
          <w:lang w:eastAsia="es-ES"/>
        </w:rPr>
        <w:t xml:space="preserve"> tanto</w:t>
      </w:r>
      <w:r w:rsidRPr="00EE2FA1">
        <w:rPr>
          <w:rFonts w:ascii="Times New Roman" w:eastAsia="Calibri" w:hAnsi="Times New Roman" w:cs="Times New Roman"/>
          <w:sz w:val="28"/>
          <w:szCs w:val="28"/>
          <w:lang w:eastAsia="es-ES"/>
        </w:rPr>
        <w:t xml:space="preserve"> </w:t>
      </w:r>
      <w:r w:rsidRPr="00EE2FA1">
        <w:rPr>
          <w:rFonts w:ascii="Times New Roman" w:hAnsi="Times New Roman" w:cs="Times New Roman"/>
          <w:bCs/>
          <w:iCs/>
          <w:sz w:val="28"/>
          <w:szCs w:val="28"/>
          <w:lang w:val="es-ES_tradnl"/>
        </w:rPr>
        <w:t>el derecho a la igualdad</w:t>
      </w:r>
      <w:r w:rsidRPr="00EE2FA1">
        <w:rPr>
          <w:rFonts w:ascii="Times New Roman" w:hAnsi="Times New Roman" w:cs="Times New Roman"/>
          <w:bCs/>
          <w:iCs/>
          <w:sz w:val="28"/>
          <w:szCs w:val="28"/>
          <w:lang w:val="es-ES_tradnl"/>
        </w:rPr>
        <w:t xml:space="preserve"> como la equidad tributaria</w:t>
      </w:r>
      <w:r w:rsidRPr="00EE2FA1">
        <w:rPr>
          <w:rFonts w:ascii="Times New Roman" w:hAnsi="Times New Roman" w:cs="Times New Roman"/>
          <w:bCs/>
          <w:iCs/>
          <w:sz w:val="28"/>
          <w:szCs w:val="28"/>
          <w:lang w:val="es-ES_tradnl"/>
        </w:rPr>
        <w:t xml:space="preserve"> </w:t>
      </w:r>
      <w:r w:rsidRPr="00EE2FA1">
        <w:rPr>
          <w:rFonts w:ascii="Times New Roman" w:hAnsi="Times New Roman" w:cs="Times New Roman"/>
          <w:bCs/>
          <w:iCs/>
          <w:sz w:val="28"/>
          <w:szCs w:val="28"/>
          <w:lang w:val="es-ES_tradnl"/>
        </w:rPr>
        <w:t xml:space="preserve">se sustentan en </w:t>
      </w:r>
      <w:r w:rsidRPr="00EE2FA1">
        <w:rPr>
          <w:rFonts w:ascii="Times New Roman" w:hAnsi="Times New Roman" w:cs="Times New Roman"/>
          <w:bCs/>
          <w:iCs/>
          <w:sz w:val="28"/>
          <w:szCs w:val="28"/>
          <w:lang w:val="es-ES_tradnl"/>
        </w:rPr>
        <w:t>análisis</w:t>
      </w:r>
      <w:r w:rsidRPr="00EE2FA1">
        <w:rPr>
          <w:rFonts w:ascii="Times New Roman" w:hAnsi="Times New Roman" w:cs="Times New Roman"/>
          <w:bCs/>
          <w:iCs/>
          <w:sz w:val="28"/>
          <w:szCs w:val="28"/>
          <w:lang w:val="es-ES_tradnl"/>
        </w:rPr>
        <w:t xml:space="preserve"> de carácter </w:t>
      </w:r>
      <w:r w:rsidRPr="00EE2FA1">
        <w:rPr>
          <w:rFonts w:ascii="Times New Roman" w:hAnsi="Times New Roman" w:cs="Times New Roman"/>
          <w:bCs/>
          <w:i/>
          <w:sz w:val="28"/>
          <w:szCs w:val="28"/>
          <w:lang w:val="es-ES_tradnl"/>
        </w:rPr>
        <w:t>relacional</w:t>
      </w:r>
      <w:r w:rsidRPr="00EE2FA1">
        <w:rPr>
          <w:rFonts w:ascii="Times New Roman" w:hAnsi="Times New Roman" w:cs="Times New Roman"/>
          <w:bCs/>
          <w:i/>
          <w:sz w:val="28"/>
          <w:szCs w:val="28"/>
          <w:lang w:val="es-ES_tradnl"/>
        </w:rPr>
        <w:t>es</w:t>
      </w:r>
      <w:r w:rsidRPr="00EE2FA1">
        <w:rPr>
          <w:rFonts w:ascii="Times New Roman" w:hAnsi="Times New Roman" w:cs="Times New Roman"/>
          <w:bCs/>
          <w:i/>
          <w:sz w:val="28"/>
          <w:szCs w:val="28"/>
          <w:lang w:val="es-ES_tradnl"/>
        </w:rPr>
        <w:t xml:space="preserve">, </w:t>
      </w:r>
      <w:r w:rsidRPr="00EE2FA1">
        <w:rPr>
          <w:rFonts w:ascii="Times New Roman" w:hAnsi="Times New Roman" w:cs="Times New Roman"/>
          <w:bCs/>
          <w:iCs/>
          <w:sz w:val="28"/>
          <w:szCs w:val="28"/>
          <w:lang w:val="es-ES_tradnl"/>
        </w:rPr>
        <w:t xml:space="preserve">pues se </w:t>
      </w:r>
      <w:r w:rsidRPr="00EE2FA1">
        <w:rPr>
          <w:rFonts w:ascii="Times New Roman" w:hAnsi="Times New Roman" w:cs="Times New Roman"/>
          <w:bCs/>
          <w:iCs/>
          <w:sz w:val="28"/>
          <w:szCs w:val="28"/>
          <w:lang w:val="es-ES_tradnl"/>
        </w:rPr>
        <w:t xml:space="preserve">consideran </w:t>
      </w:r>
      <w:r w:rsidRPr="00EE2FA1">
        <w:rPr>
          <w:rFonts w:ascii="Times New Roman" w:hAnsi="Times New Roman" w:cs="Times New Roman"/>
          <w:bCs/>
          <w:iCs/>
          <w:sz w:val="28"/>
          <w:szCs w:val="28"/>
          <w:lang w:val="es-ES_tradnl"/>
        </w:rPr>
        <w:t xml:space="preserve">frente a situaciones o personas que pueden ser comparadas a partir de un criterio determinado y jurídicamente relevante. Por otro lado, </w:t>
      </w:r>
      <w:r w:rsidRPr="00EE2FA1">
        <w:rPr>
          <w:rFonts w:ascii="Times New Roman" w:hAnsi="Times New Roman" w:cs="Times New Roman"/>
          <w:bCs/>
          <w:iCs/>
          <w:sz w:val="28"/>
          <w:szCs w:val="28"/>
          <w:lang w:val="es-ES_tradnl"/>
        </w:rPr>
        <w:t xml:space="preserve">esta confrontación </w:t>
      </w:r>
      <w:r w:rsidRPr="00EE2FA1">
        <w:rPr>
          <w:rFonts w:ascii="Times New Roman" w:hAnsi="Times New Roman" w:cs="Times New Roman"/>
          <w:bCs/>
          <w:iCs/>
          <w:sz w:val="28"/>
          <w:szCs w:val="28"/>
          <w:lang w:val="es-ES_tradnl"/>
        </w:rPr>
        <w:t xml:space="preserve">no constituye un mecanismo </w:t>
      </w:r>
      <w:r w:rsidRPr="00EE2FA1">
        <w:rPr>
          <w:rFonts w:ascii="Times New Roman" w:hAnsi="Times New Roman" w:cs="Times New Roman"/>
          <w:bCs/>
          <w:i/>
          <w:sz w:val="28"/>
          <w:szCs w:val="28"/>
          <w:lang w:val="es-ES_tradnl"/>
        </w:rPr>
        <w:t xml:space="preserve">“aritmético” </w:t>
      </w:r>
      <w:r w:rsidRPr="00EE2FA1">
        <w:rPr>
          <w:rFonts w:ascii="Times New Roman" w:hAnsi="Times New Roman" w:cs="Times New Roman"/>
          <w:bCs/>
          <w:iCs/>
          <w:sz w:val="28"/>
          <w:szCs w:val="28"/>
          <w:lang w:val="es-ES_tradnl"/>
        </w:rPr>
        <w:t>de carg</w:t>
      </w:r>
      <w:r w:rsidRPr="00EE2FA1">
        <w:rPr>
          <w:rFonts w:ascii="Times New Roman" w:hAnsi="Times New Roman" w:cs="Times New Roman"/>
          <w:bCs/>
          <w:iCs/>
          <w:sz w:val="28"/>
          <w:szCs w:val="28"/>
          <w:lang w:val="es-ES_tradnl"/>
        </w:rPr>
        <w:t xml:space="preserve">as y beneficios, en la medida en que no todos los sectores de la sociedad cuentan con </w:t>
      </w:r>
      <w:r w:rsidRPr="00EE2FA1">
        <w:rPr>
          <w:rFonts w:ascii="Times New Roman" w:hAnsi="Times New Roman" w:cs="Times New Roman"/>
          <w:bCs/>
          <w:iCs/>
          <w:sz w:val="28"/>
          <w:szCs w:val="28"/>
          <w:lang w:val="es-ES_tradnl"/>
        </w:rPr>
        <w:t xml:space="preserve">las mismas condiciones, </w:t>
      </w:r>
      <w:r w:rsidRPr="00EE2FA1">
        <w:rPr>
          <w:rFonts w:ascii="Times New Roman" w:hAnsi="Times New Roman" w:cs="Times New Roman"/>
          <w:bCs/>
          <w:iCs/>
          <w:sz w:val="28"/>
          <w:szCs w:val="28"/>
          <w:lang w:val="es-ES_tradnl"/>
        </w:rPr>
        <w:t>privilegios o privaciones.</w:t>
      </w:r>
    </w:p>
    <w:p w:rsidR="001F2CED" w:rsidRPr="00EE2FA1" w:rsidRDefault="00EE2FA1" w:rsidP="001F2CED">
      <w:pPr>
        <w:pStyle w:val="Prrafodelista"/>
        <w:rPr>
          <w:rFonts w:ascii="Times New Roman" w:eastAsia="Calibri" w:hAnsi="Times New Roman" w:cs="Times New Roman"/>
          <w:sz w:val="28"/>
          <w:szCs w:val="28"/>
          <w:lang w:eastAsia="es-ES"/>
        </w:rPr>
      </w:pPr>
    </w:p>
    <w:p w:rsidR="001F2CED" w:rsidRPr="00EE2FA1" w:rsidRDefault="00EE2FA1" w:rsidP="00183785">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En tal sentido, la aptitud de un cargo por igualdad implica que</w:t>
      </w:r>
      <w:r w:rsidRPr="00EE2FA1">
        <w:rPr>
          <w:rFonts w:ascii="Times New Roman" w:eastAsia="Calibri" w:hAnsi="Times New Roman" w:cs="Times New Roman"/>
          <w:sz w:val="28"/>
          <w:szCs w:val="28"/>
          <w:lang w:eastAsia="es-ES"/>
        </w:rPr>
        <w:t xml:space="preserve"> la demanda </w:t>
      </w:r>
      <w:r w:rsidRPr="00EE2FA1">
        <w:rPr>
          <w:rFonts w:ascii="Times New Roman" w:eastAsia="Calibri" w:hAnsi="Times New Roman" w:cs="Times New Roman"/>
          <w:sz w:val="28"/>
          <w:szCs w:val="28"/>
          <w:lang w:eastAsia="es-ES"/>
        </w:rPr>
        <w:t xml:space="preserve">satisfaga </w:t>
      </w:r>
      <w:r w:rsidRPr="00EE2FA1">
        <w:rPr>
          <w:rFonts w:ascii="Times New Roman" w:eastAsia="Calibri" w:hAnsi="Times New Roman" w:cs="Times New Roman"/>
          <w:sz w:val="28"/>
          <w:szCs w:val="28"/>
          <w:lang w:eastAsia="es-ES"/>
        </w:rPr>
        <w:t>una carga argumentativa determina</w:t>
      </w:r>
      <w:r w:rsidRPr="00EE2FA1">
        <w:rPr>
          <w:rFonts w:ascii="Times New Roman" w:eastAsia="Calibri" w:hAnsi="Times New Roman" w:cs="Times New Roman"/>
          <w:sz w:val="28"/>
          <w:szCs w:val="28"/>
          <w:lang w:eastAsia="es-ES"/>
        </w:rPr>
        <w:t xml:space="preserve">da. </w:t>
      </w:r>
      <w:r w:rsidRPr="00EE2FA1">
        <w:rPr>
          <w:rFonts w:ascii="Times New Roman" w:eastAsia="Calibri" w:hAnsi="Times New Roman" w:cs="Times New Roman"/>
          <w:sz w:val="28"/>
          <w:szCs w:val="28"/>
          <w:lang w:eastAsia="es-ES"/>
        </w:rPr>
        <w:t xml:space="preserve">Esta </w:t>
      </w:r>
      <w:r w:rsidRPr="00EE2FA1">
        <w:rPr>
          <w:rFonts w:ascii="Times New Roman" w:eastAsia="Calibri" w:hAnsi="Times New Roman" w:cs="Times New Roman"/>
          <w:sz w:val="28"/>
          <w:szCs w:val="28"/>
          <w:lang w:eastAsia="es-ES"/>
        </w:rPr>
        <w:t xml:space="preserve">exige no solo la </w:t>
      </w:r>
      <w:r w:rsidRPr="00EE2FA1">
        <w:rPr>
          <w:rFonts w:ascii="Times New Roman" w:eastAsia="Calibri" w:hAnsi="Times New Roman" w:cs="Times New Roman"/>
          <w:sz w:val="28"/>
          <w:szCs w:val="28"/>
          <w:lang w:eastAsia="es-ES"/>
        </w:rPr>
        <w:t>identificación</w:t>
      </w:r>
      <w:r w:rsidRPr="00EE2FA1">
        <w:rPr>
          <w:rFonts w:ascii="Times New Roman" w:eastAsia="Calibri" w:hAnsi="Times New Roman" w:cs="Times New Roman"/>
          <w:sz w:val="28"/>
          <w:szCs w:val="28"/>
          <w:lang w:eastAsia="es-ES"/>
        </w:rPr>
        <w:t xml:space="preserve"> de un criterio de comparación o </w:t>
      </w:r>
      <w:r w:rsidRPr="00EE2FA1">
        <w:rPr>
          <w:rFonts w:ascii="Times New Roman" w:eastAsia="Calibri" w:hAnsi="Times New Roman" w:cs="Times New Roman"/>
          <w:i/>
          <w:iCs/>
          <w:sz w:val="28"/>
          <w:szCs w:val="28"/>
          <w:lang w:eastAsia="es-ES"/>
        </w:rPr>
        <w:t>tertium comparationis</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sino que a partir del mismo, se establezca que </w:t>
      </w:r>
      <w:r w:rsidRPr="00EE2FA1">
        <w:rPr>
          <w:rFonts w:ascii="Times New Roman" w:hAnsi="Times New Roman" w:cs="Times New Roman"/>
          <w:sz w:val="28"/>
          <w:szCs w:val="28"/>
          <w:shd w:val="clear" w:color="auto" w:fill="FFFFFF"/>
        </w:rPr>
        <w:t xml:space="preserve">las situaciones de los sujetos, hechos, elementos o situaciones bajo revisión </w:t>
      </w:r>
      <w:r w:rsidRPr="00EE2FA1">
        <w:rPr>
          <w:rFonts w:ascii="Times New Roman" w:hAnsi="Times New Roman" w:cs="Times New Roman"/>
          <w:sz w:val="28"/>
          <w:szCs w:val="28"/>
          <w:shd w:val="clear" w:color="auto" w:fill="FFFFFF"/>
        </w:rPr>
        <w:t xml:space="preserve">sean </w:t>
      </w:r>
      <w:r w:rsidRPr="00EE2FA1">
        <w:rPr>
          <w:rFonts w:ascii="Times New Roman" w:hAnsi="Times New Roman" w:cs="Times New Roman"/>
          <w:sz w:val="28"/>
          <w:szCs w:val="28"/>
          <w:shd w:val="clear" w:color="auto" w:fill="FFFFFF"/>
        </w:rPr>
        <w:t>similares</w:t>
      </w:r>
      <w:r w:rsidRPr="00EE2FA1">
        <w:rPr>
          <w:rStyle w:val="Refdenotaalpie"/>
          <w:rFonts w:ascii="Times New Roman" w:hAnsi="Times New Roman" w:cs="Times New Roman"/>
          <w:sz w:val="28"/>
          <w:szCs w:val="28"/>
          <w:shd w:val="clear" w:color="auto" w:fill="FFFFFF"/>
        </w:rPr>
        <w:footnoteReference w:id="213"/>
      </w:r>
      <w:r w:rsidRPr="00EE2FA1">
        <w:rPr>
          <w:rFonts w:ascii="Times New Roman" w:hAnsi="Times New Roman" w:cs="Times New Roman"/>
          <w:sz w:val="28"/>
          <w:szCs w:val="28"/>
          <w:shd w:val="clear" w:color="auto" w:fill="FFFFFF"/>
        </w:rPr>
        <w:t xml:space="preserve">. </w:t>
      </w:r>
    </w:p>
    <w:p w:rsidR="0048467F" w:rsidRPr="00EE2FA1" w:rsidRDefault="00EE2FA1" w:rsidP="0048467F">
      <w:pPr>
        <w:pStyle w:val="Prrafodelista"/>
        <w:rPr>
          <w:rFonts w:ascii="Times New Roman" w:eastAsia="Calibri" w:hAnsi="Times New Roman" w:cs="Times New Roman"/>
          <w:sz w:val="28"/>
          <w:szCs w:val="28"/>
          <w:lang w:eastAsia="es-ES"/>
        </w:rPr>
      </w:pPr>
    </w:p>
    <w:p w:rsidR="0048467F" w:rsidRPr="00EE2FA1" w:rsidRDefault="00EE2FA1" w:rsidP="00183785">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Con base en lo </w:t>
      </w:r>
      <w:r w:rsidRPr="00EE2FA1">
        <w:rPr>
          <w:rFonts w:ascii="Times New Roman" w:eastAsia="Calibri" w:hAnsi="Times New Roman" w:cs="Times New Roman"/>
          <w:sz w:val="28"/>
          <w:szCs w:val="28"/>
          <w:lang w:eastAsia="es-ES"/>
        </w:rPr>
        <w:t>anterior,</w:t>
      </w:r>
      <w:r w:rsidRPr="00EE2FA1">
        <w:rPr>
          <w:rFonts w:ascii="Times New Roman" w:eastAsia="Calibri" w:hAnsi="Times New Roman" w:cs="Times New Roman"/>
          <w:sz w:val="28"/>
          <w:szCs w:val="28"/>
          <w:lang w:eastAsia="es-ES"/>
        </w:rPr>
        <w:t xml:space="preserve"> la censura </w:t>
      </w:r>
      <w:r w:rsidRPr="00EE2FA1">
        <w:rPr>
          <w:rFonts w:ascii="Times New Roman" w:eastAsia="Calibri" w:hAnsi="Times New Roman" w:cs="Times New Roman"/>
          <w:sz w:val="28"/>
          <w:szCs w:val="28"/>
          <w:lang w:eastAsia="es-ES"/>
        </w:rPr>
        <w:t xml:space="preserve">que se estudia </w:t>
      </w:r>
      <w:r w:rsidRPr="00EE2FA1">
        <w:rPr>
          <w:rFonts w:ascii="Times New Roman" w:eastAsia="Calibri" w:hAnsi="Times New Roman" w:cs="Times New Roman"/>
          <w:sz w:val="28"/>
          <w:szCs w:val="28"/>
          <w:lang w:eastAsia="es-ES"/>
        </w:rPr>
        <w:t xml:space="preserve">basada en el desconocimiento de </w:t>
      </w:r>
      <w:r w:rsidRPr="00EE2FA1">
        <w:rPr>
          <w:rFonts w:ascii="Times New Roman" w:eastAsia="Calibri" w:hAnsi="Times New Roman" w:cs="Times New Roman"/>
          <w:sz w:val="28"/>
          <w:szCs w:val="28"/>
          <w:lang w:eastAsia="es-ES"/>
        </w:rPr>
        <w:t xml:space="preserve">la </w:t>
      </w:r>
      <w:r w:rsidRPr="00EE2FA1">
        <w:rPr>
          <w:rFonts w:ascii="Times New Roman" w:eastAsia="Calibri" w:hAnsi="Times New Roman" w:cs="Times New Roman"/>
          <w:sz w:val="28"/>
          <w:szCs w:val="28"/>
          <w:lang w:eastAsia="es-ES"/>
        </w:rPr>
        <w:t xml:space="preserve">igualdad </w:t>
      </w:r>
      <w:r w:rsidRPr="00EE2FA1">
        <w:rPr>
          <w:rFonts w:ascii="Times New Roman" w:eastAsia="Calibri" w:hAnsi="Times New Roman" w:cs="Times New Roman"/>
          <w:sz w:val="28"/>
          <w:szCs w:val="28"/>
          <w:lang w:eastAsia="es-ES"/>
        </w:rPr>
        <w:t xml:space="preserve">y de la equidad tributaria </w:t>
      </w:r>
      <w:r w:rsidRPr="00EE2FA1">
        <w:rPr>
          <w:rFonts w:ascii="Times New Roman" w:eastAsia="Calibri" w:hAnsi="Times New Roman" w:cs="Times New Roman"/>
          <w:sz w:val="28"/>
          <w:szCs w:val="28"/>
          <w:lang w:eastAsia="es-ES"/>
        </w:rPr>
        <w:t xml:space="preserve">no acreditó el cumplimiento del presupuesto de </w:t>
      </w:r>
      <w:r w:rsidRPr="00EE2FA1">
        <w:rPr>
          <w:rFonts w:ascii="Times New Roman" w:eastAsia="Calibri" w:hAnsi="Times New Roman" w:cs="Times New Roman"/>
          <w:i/>
          <w:iCs/>
          <w:sz w:val="28"/>
          <w:szCs w:val="28"/>
          <w:lang w:eastAsia="es-ES"/>
        </w:rPr>
        <w:t>especificidad</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En efecto,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aquella </w:t>
      </w:r>
      <w:r w:rsidRPr="00EE2FA1">
        <w:rPr>
          <w:rFonts w:ascii="Times New Roman" w:eastAsia="Calibri" w:hAnsi="Times New Roman" w:cs="Times New Roman"/>
          <w:sz w:val="28"/>
          <w:szCs w:val="28"/>
          <w:lang w:eastAsia="es-ES"/>
        </w:rPr>
        <w:t xml:space="preserve">no </w:t>
      </w:r>
      <w:r w:rsidRPr="00EE2FA1">
        <w:rPr>
          <w:rFonts w:ascii="Times New Roman" w:eastAsia="Calibri" w:hAnsi="Times New Roman" w:cs="Times New Roman"/>
          <w:sz w:val="28"/>
          <w:szCs w:val="28"/>
          <w:lang w:eastAsia="es-ES"/>
        </w:rPr>
        <w:t xml:space="preserve">argumentó </w:t>
      </w:r>
      <w:r w:rsidRPr="00EE2FA1">
        <w:rPr>
          <w:rFonts w:ascii="Times New Roman" w:eastAsia="Calibri" w:hAnsi="Times New Roman" w:cs="Times New Roman"/>
          <w:sz w:val="28"/>
          <w:szCs w:val="28"/>
          <w:lang w:eastAsia="es-ES"/>
        </w:rPr>
        <w:t>de qué manera los grupos propuestos son comparables a p</w:t>
      </w:r>
      <w:r w:rsidRPr="00EE2FA1">
        <w:rPr>
          <w:rFonts w:ascii="Times New Roman" w:eastAsia="Calibri" w:hAnsi="Times New Roman" w:cs="Times New Roman"/>
          <w:sz w:val="28"/>
          <w:szCs w:val="28"/>
          <w:lang w:eastAsia="es-ES"/>
        </w:rPr>
        <w:t>artir de la capacidad contributiva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ni de los demás elementos nominales expuestos en la demanda. Adicionalmente, está ausente el </w:t>
      </w:r>
      <w:r w:rsidRPr="00EE2FA1">
        <w:rPr>
          <w:rFonts w:ascii="Times New Roman" w:eastAsia="Calibri" w:hAnsi="Times New Roman" w:cs="Times New Roman"/>
          <w:sz w:val="28"/>
          <w:szCs w:val="28"/>
          <w:lang w:eastAsia="es-ES"/>
        </w:rPr>
        <w:t xml:space="preserve">supuesto </w:t>
      </w:r>
      <w:r w:rsidRPr="00EE2FA1">
        <w:rPr>
          <w:rFonts w:ascii="Times New Roman" w:eastAsia="Calibri" w:hAnsi="Times New Roman" w:cs="Times New Roman"/>
          <w:sz w:val="28"/>
          <w:szCs w:val="28"/>
          <w:lang w:eastAsia="es-ES"/>
        </w:rPr>
        <w:t xml:space="preserve">de </w:t>
      </w:r>
      <w:r w:rsidRPr="00EE2FA1">
        <w:rPr>
          <w:rFonts w:ascii="Times New Roman" w:eastAsia="Calibri" w:hAnsi="Times New Roman" w:cs="Times New Roman"/>
          <w:i/>
          <w:iCs/>
          <w:sz w:val="28"/>
          <w:szCs w:val="28"/>
          <w:lang w:eastAsia="es-ES"/>
        </w:rPr>
        <w:t>suficiencia</w:t>
      </w:r>
      <w:r w:rsidRPr="00EE2FA1">
        <w:rPr>
          <w:rFonts w:ascii="Times New Roman" w:eastAsia="Calibri" w:hAnsi="Times New Roman" w:cs="Times New Roman"/>
          <w:sz w:val="28"/>
          <w:szCs w:val="28"/>
          <w:lang w:eastAsia="es-ES"/>
        </w:rPr>
        <w:t xml:space="preserve"> porque </w:t>
      </w:r>
      <w:r w:rsidRPr="00EE2FA1">
        <w:rPr>
          <w:rFonts w:ascii="Times New Roman" w:eastAsia="Calibri" w:hAnsi="Times New Roman" w:cs="Times New Roman"/>
          <w:sz w:val="28"/>
          <w:szCs w:val="28"/>
          <w:lang w:eastAsia="es-ES"/>
        </w:rPr>
        <w:t xml:space="preserve">no </w:t>
      </w:r>
      <w:r w:rsidRPr="00EE2FA1">
        <w:rPr>
          <w:rFonts w:ascii="Times New Roman" w:eastAsia="Calibri" w:hAnsi="Times New Roman" w:cs="Times New Roman"/>
          <w:sz w:val="28"/>
          <w:szCs w:val="28"/>
          <w:lang w:eastAsia="es-ES"/>
        </w:rPr>
        <w:t xml:space="preserve">se presentaron las razones </w:t>
      </w:r>
      <w:r w:rsidRPr="00EE2FA1">
        <w:rPr>
          <w:rFonts w:ascii="Times New Roman" w:eastAsia="Calibri" w:hAnsi="Times New Roman" w:cs="Times New Roman"/>
          <w:sz w:val="28"/>
          <w:szCs w:val="28"/>
          <w:lang w:eastAsia="es-ES"/>
        </w:rPr>
        <w:t xml:space="preserve">necesarias </w:t>
      </w:r>
      <w:r w:rsidRPr="00EE2FA1">
        <w:rPr>
          <w:rFonts w:ascii="Times New Roman" w:eastAsia="Calibri" w:hAnsi="Times New Roman" w:cs="Times New Roman"/>
          <w:sz w:val="28"/>
          <w:szCs w:val="28"/>
          <w:lang w:eastAsia="es-ES"/>
        </w:rPr>
        <w:t>que exige la especial carga argumentativa de las censur</w:t>
      </w:r>
      <w:r w:rsidRPr="00EE2FA1">
        <w:rPr>
          <w:rFonts w:ascii="Times New Roman" w:eastAsia="Calibri" w:hAnsi="Times New Roman" w:cs="Times New Roman"/>
          <w:sz w:val="28"/>
          <w:szCs w:val="28"/>
          <w:lang w:eastAsia="es-ES"/>
        </w:rPr>
        <w:t xml:space="preserve">as </w:t>
      </w:r>
      <w:r w:rsidRPr="00EE2FA1">
        <w:rPr>
          <w:rFonts w:ascii="Times New Roman" w:eastAsia="Calibri" w:hAnsi="Times New Roman" w:cs="Times New Roman"/>
          <w:sz w:val="28"/>
          <w:szCs w:val="28"/>
          <w:lang w:eastAsia="es-ES"/>
        </w:rPr>
        <w:t xml:space="preserve">por estas causas </w:t>
      </w:r>
      <w:r w:rsidRPr="00EE2FA1">
        <w:rPr>
          <w:rFonts w:ascii="Times New Roman" w:eastAsia="Calibri" w:hAnsi="Times New Roman" w:cs="Times New Roman"/>
          <w:sz w:val="28"/>
          <w:szCs w:val="28"/>
          <w:lang w:eastAsia="es-ES"/>
        </w:rPr>
        <w:t xml:space="preserve">y no </w:t>
      </w:r>
      <w:r w:rsidRPr="00EE2FA1">
        <w:rPr>
          <w:rFonts w:ascii="Times New Roman" w:eastAsia="Calibri" w:hAnsi="Times New Roman" w:cs="Times New Roman"/>
          <w:sz w:val="28"/>
          <w:szCs w:val="28"/>
          <w:lang w:eastAsia="es-ES"/>
        </w:rPr>
        <w:t xml:space="preserve">se </w:t>
      </w:r>
      <w:r w:rsidRPr="00EE2FA1">
        <w:rPr>
          <w:rFonts w:ascii="Times New Roman" w:eastAsia="Calibri" w:hAnsi="Times New Roman" w:cs="Times New Roman"/>
          <w:sz w:val="28"/>
          <w:szCs w:val="28"/>
          <w:lang w:eastAsia="es-ES"/>
        </w:rPr>
        <w:t xml:space="preserve">genera una duda mínima sobre la constitucionalidad de la medida. </w:t>
      </w:r>
    </w:p>
    <w:p w:rsidR="00144F45" w:rsidRPr="00EE2FA1" w:rsidRDefault="00EE2FA1" w:rsidP="00144F45">
      <w:pPr>
        <w:pStyle w:val="Prrafodelista"/>
        <w:rPr>
          <w:rFonts w:ascii="Times New Roman" w:eastAsia="Calibri" w:hAnsi="Times New Roman" w:cs="Times New Roman"/>
          <w:sz w:val="28"/>
          <w:szCs w:val="28"/>
          <w:lang w:eastAsia="es-ES"/>
        </w:rPr>
      </w:pPr>
    </w:p>
    <w:p w:rsidR="00CA27BF" w:rsidRPr="00EE2FA1" w:rsidRDefault="00EE2FA1" w:rsidP="00CA27B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Al respecto, la Sala considera que en este caso la demandante no aportó razones suficientes </w:t>
      </w:r>
      <w:r w:rsidRPr="00EE2FA1">
        <w:rPr>
          <w:rFonts w:ascii="Times New Roman" w:eastAsia="Calibri" w:hAnsi="Times New Roman" w:cs="Times New Roman"/>
          <w:sz w:val="28"/>
          <w:szCs w:val="28"/>
          <w:lang w:val="es-MX" w:eastAsia="es-ES"/>
        </w:rPr>
        <w:t xml:space="preserve">encaminadas a acreditar que los sujetos son comparables. </w:t>
      </w:r>
      <w:r w:rsidRPr="00EE2FA1">
        <w:rPr>
          <w:rFonts w:ascii="Times New Roman" w:eastAsia="Calibri" w:hAnsi="Times New Roman" w:cs="Times New Roman"/>
          <w:sz w:val="28"/>
          <w:szCs w:val="28"/>
          <w:lang w:val="es-MX" w:eastAsia="es-ES"/>
        </w:rPr>
        <w:t xml:space="preserve">Ante </w:t>
      </w:r>
      <w:r w:rsidRPr="00EE2FA1">
        <w:rPr>
          <w:rFonts w:ascii="Times New Roman" w:eastAsia="Calibri" w:hAnsi="Times New Roman" w:cs="Times New Roman"/>
          <w:sz w:val="28"/>
          <w:szCs w:val="28"/>
          <w:lang w:val="es-MX" w:eastAsia="es-ES"/>
        </w:rPr>
        <w:t xml:space="preserve">esta situación, la Corte debe inhibirse debido a que no se satisfizo la carga mínima para emprender un examen por afectación del mandato de igualdad. Eso fue lo que, por ejemplo, indicó la </w:t>
      </w:r>
      <w:r w:rsidRPr="00EE2FA1">
        <w:rPr>
          <w:rFonts w:ascii="Times New Roman" w:eastAsia="Calibri" w:hAnsi="Times New Roman" w:cs="Times New Roman"/>
          <w:sz w:val="28"/>
          <w:szCs w:val="28"/>
          <w:lang w:val="es-MX" w:eastAsia="es-ES"/>
        </w:rPr>
        <w:t xml:space="preserve">Sentencia </w:t>
      </w:r>
      <w:r w:rsidRPr="00EE2FA1">
        <w:rPr>
          <w:rFonts w:ascii="Times New Roman" w:eastAsia="Calibri" w:hAnsi="Times New Roman" w:cs="Times New Roman"/>
          <w:sz w:val="28"/>
          <w:szCs w:val="28"/>
          <w:lang w:val="es-MX" w:eastAsia="es-ES"/>
        </w:rPr>
        <w:t xml:space="preserve">C-489 </w:t>
      </w:r>
      <w:r w:rsidRPr="00EE2FA1">
        <w:rPr>
          <w:rFonts w:ascii="Times New Roman" w:eastAsia="Calibri" w:hAnsi="Times New Roman" w:cs="Times New Roman"/>
          <w:sz w:val="28"/>
          <w:szCs w:val="28"/>
          <w:lang w:val="es-MX" w:eastAsia="es-ES"/>
        </w:rPr>
        <w:t xml:space="preserve">de 2023 </w:t>
      </w:r>
      <w:r w:rsidRPr="00EE2FA1">
        <w:rPr>
          <w:rFonts w:ascii="Times New Roman" w:eastAsia="Calibri" w:hAnsi="Times New Roman" w:cs="Times New Roman"/>
          <w:sz w:val="28"/>
          <w:szCs w:val="28"/>
          <w:lang w:val="es-MX" w:eastAsia="es-ES"/>
        </w:rPr>
        <w:t>al señalar que “[l]a ausencia de enunciació</w:t>
      </w:r>
      <w:r w:rsidRPr="00EE2FA1">
        <w:rPr>
          <w:rFonts w:ascii="Times New Roman" w:eastAsia="Calibri" w:hAnsi="Times New Roman" w:cs="Times New Roman"/>
          <w:sz w:val="28"/>
          <w:szCs w:val="28"/>
          <w:lang w:val="es-MX" w:eastAsia="es-ES"/>
        </w:rPr>
        <w:t>n de dos grupos comparables, y la falta de indicación de un patrón para realizar la relación entre los dos, lleva a la Corte a concluir que la demanda carece de claridad, en atención a que no es posible establecer un hilo conductor relacionado con la discr</w:t>
      </w:r>
      <w:r w:rsidRPr="00EE2FA1">
        <w:rPr>
          <w:rFonts w:ascii="Times New Roman" w:eastAsia="Calibri" w:hAnsi="Times New Roman" w:cs="Times New Roman"/>
          <w:sz w:val="28"/>
          <w:szCs w:val="28"/>
          <w:lang w:val="es-MX" w:eastAsia="es-ES"/>
        </w:rPr>
        <w:t>iminación que alegan”.</w:t>
      </w:r>
    </w:p>
    <w:p w:rsidR="00CA27BF" w:rsidRPr="00EE2FA1" w:rsidRDefault="00EE2FA1" w:rsidP="00CA27BF">
      <w:pPr>
        <w:pStyle w:val="Prrafodelista"/>
        <w:rPr>
          <w:rFonts w:ascii="Times New Roman" w:eastAsia="Calibri" w:hAnsi="Times New Roman" w:cs="Times New Roman"/>
          <w:sz w:val="28"/>
          <w:szCs w:val="28"/>
          <w:lang w:eastAsia="es-ES"/>
        </w:rPr>
      </w:pPr>
    </w:p>
    <w:p w:rsidR="00AA6300" w:rsidRPr="00EE2FA1" w:rsidRDefault="00EE2FA1" w:rsidP="00CA27B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Conforme  lo expuesto, la Sala se declarará inhibida para conocer </w:t>
      </w:r>
      <w:r w:rsidRPr="00EE2FA1">
        <w:rPr>
          <w:rFonts w:ascii="Times New Roman" w:eastAsia="Calibri" w:hAnsi="Times New Roman" w:cs="Times New Roman"/>
          <w:sz w:val="28"/>
          <w:szCs w:val="28"/>
          <w:lang w:eastAsia="es-ES"/>
        </w:rPr>
        <w:t>la censura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fundada en el</w:t>
      </w:r>
      <w:r w:rsidRPr="00EE2FA1">
        <w:rPr>
          <w:rFonts w:ascii="Times New Roman" w:eastAsia="Calibri" w:hAnsi="Times New Roman" w:cs="Times New Roman"/>
          <w:sz w:val="28"/>
          <w:szCs w:val="28"/>
          <w:lang w:eastAsia="es-ES"/>
        </w:rPr>
        <w:t xml:space="preserve"> desconocimiento </w:t>
      </w:r>
      <w:r w:rsidRPr="00EE2FA1">
        <w:rPr>
          <w:rFonts w:ascii="Times New Roman" w:eastAsia="Calibri" w:hAnsi="Times New Roman" w:cs="Times New Roman"/>
          <w:sz w:val="28"/>
          <w:szCs w:val="28"/>
          <w:lang w:eastAsia="es-ES"/>
        </w:rPr>
        <w:t>de la faceta de igualdad de la</w:t>
      </w:r>
      <w:r w:rsidRPr="00EE2FA1">
        <w:rPr>
          <w:rFonts w:ascii="Times New Roman" w:eastAsia="Calibri" w:hAnsi="Times New Roman" w:cs="Times New Roman"/>
          <w:sz w:val="28"/>
          <w:szCs w:val="28"/>
          <w:lang w:eastAsia="es-ES"/>
        </w:rPr>
        <w:t xml:space="preserve"> equidad tributaria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por ineptitud de la demanda</w:t>
      </w:r>
      <w:r w:rsidRPr="00EE2FA1">
        <w:rPr>
          <w:rFonts w:ascii="Times New Roman" w:eastAsia="Calibri" w:hAnsi="Times New Roman" w:cs="Times New Roman"/>
          <w:sz w:val="28"/>
          <w:szCs w:val="28"/>
          <w:lang w:eastAsia="es-ES"/>
        </w:rPr>
        <w:t xml:space="preserve"> y procederá al estudio del cargo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por desconocimiento de la justicia y la equidad </w:t>
      </w:r>
      <w:r w:rsidRPr="00EE2FA1">
        <w:rPr>
          <w:rFonts w:ascii="Times New Roman" w:eastAsia="Calibri" w:hAnsi="Times New Roman" w:cs="Times New Roman"/>
          <w:sz w:val="28"/>
          <w:szCs w:val="28"/>
          <w:lang w:eastAsia="es-ES"/>
        </w:rPr>
        <w:t>tributaria</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w:t>
      </w:r>
    </w:p>
    <w:p w:rsidR="00144F45" w:rsidRPr="00EE2FA1" w:rsidRDefault="00EE2FA1" w:rsidP="005A1143">
      <w:pPr>
        <w:pStyle w:val="Prrafodelista"/>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 </w:t>
      </w:r>
    </w:p>
    <w:p w:rsidR="00BB6B5C" w:rsidRPr="00EE2FA1" w:rsidRDefault="00EE2FA1" w:rsidP="00BB6B5C">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Problema jurídico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La Corte Constitucional debe establecer</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si </w:t>
      </w:r>
      <w:r w:rsidRPr="00EE2FA1">
        <w:rPr>
          <w:rFonts w:ascii="Times New Roman" w:eastAsia="Calibri" w:hAnsi="Times New Roman" w:cs="Times New Roman"/>
          <w:sz w:val="28"/>
          <w:szCs w:val="28"/>
          <w:lang w:eastAsia="es-ES"/>
        </w:rPr>
        <w:t>el parágrafo 3º (parcial) del artículo 10 de la Ley 2277 de 2022 vulnera los principios de justicia</w:t>
      </w:r>
      <w:r w:rsidRPr="00EE2FA1">
        <w:rPr>
          <w:rFonts w:ascii="Times New Roman" w:eastAsia="Calibri" w:hAnsi="Times New Roman" w:cs="Times New Roman"/>
          <w:sz w:val="28"/>
          <w:szCs w:val="28"/>
          <w:lang w:eastAsia="es-ES"/>
        </w:rPr>
        <w:t xml:space="preserve"> y</w:t>
      </w:r>
      <w:r w:rsidRPr="00EE2FA1">
        <w:rPr>
          <w:rFonts w:ascii="Times New Roman" w:eastAsia="Calibri" w:hAnsi="Times New Roman" w:cs="Times New Roman"/>
          <w:sz w:val="28"/>
          <w:szCs w:val="28"/>
          <w:lang w:eastAsia="es-ES"/>
        </w:rPr>
        <w:t xml:space="preserve"> equidad</w:t>
      </w:r>
      <w:r w:rsidRPr="00EE2FA1">
        <w:rPr>
          <w:rFonts w:ascii="Times New Roman" w:eastAsia="Calibri" w:hAnsi="Times New Roman" w:cs="Times New Roman"/>
          <w:sz w:val="28"/>
          <w:szCs w:val="28"/>
          <w:lang w:eastAsia="es-ES"/>
        </w:rPr>
        <w:t xml:space="preserve"> tributaria </w:t>
      </w:r>
      <w:r w:rsidRPr="00EE2FA1">
        <w:rPr>
          <w:rFonts w:ascii="Times New Roman" w:eastAsia="Calibri" w:hAnsi="Times New Roman" w:cs="Times New Roman"/>
          <w:sz w:val="28"/>
          <w:szCs w:val="28"/>
          <w:lang w:eastAsia="es-ES"/>
        </w:rPr>
        <w:t>(preámbul</w:t>
      </w:r>
      <w:r w:rsidRPr="00EE2FA1">
        <w:rPr>
          <w:rFonts w:ascii="Times New Roman" w:eastAsia="Calibri" w:hAnsi="Times New Roman" w:cs="Times New Roman"/>
          <w:sz w:val="28"/>
          <w:szCs w:val="28"/>
          <w:lang w:eastAsia="es-ES"/>
        </w:rPr>
        <w:t>o y los artículos 2, 95.9 y 363 superiores)</w:t>
      </w:r>
      <w:r w:rsidRPr="00EE2FA1">
        <w:rPr>
          <w:rFonts w:ascii="Times New Roman" w:eastAsia="Calibri" w:hAnsi="Times New Roman" w:cs="Times New Roman"/>
          <w:sz w:val="28"/>
          <w:szCs w:val="28"/>
          <w:lang w:eastAsia="es-ES"/>
        </w:rPr>
        <w:t xml:space="preserve"> al establecer una sobreta</w:t>
      </w:r>
      <w:r w:rsidRPr="00EE2FA1">
        <w:rPr>
          <w:rFonts w:ascii="Times New Roman" w:eastAsia="Calibri" w:hAnsi="Times New Roman" w:cs="Times New Roman"/>
          <w:sz w:val="28"/>
          <w:szCs w:val="28"/>
          <w:lang w:eastAsia="es-ES"/>
        </w:rPr>
        <w:t>rifa</w:t>
      </w:r>
      <w:r w:rsidRPr="00EE2FA1">
        <w:rPr>
          <w:rFonts w:ascii="Times New Roman" w:eastAsia="Calibri" w:hAnsi="Times New Roman" w:cs="Times New Roman"/>
          <w:sz w:val="28"/>
          <w:szCs w:val="28"/>
          <w:lang w:eastAsia="es-ES"/>
        </w:rPr>
        <w:t xml:space="preserve"> en el impuesto de renta aplicable a las empresas extractoras de petróleo basada en los precios </w:t>
      </w:r>
      <w:r w:rsidRPr="00EE2FA1">
        <w:rPr>
          <w:rFonts w:ascii="Times New Roman" w:eastAsia="Calibri" w:hAnsi="Times New Roman" w:cs="Times New Roman"/>
          <w:sz w:val="28"/>
          <w:szCs w:val="28"/>
          <w:lang w:eastAsia="es-ES"/>
        </w:rPr>
        <w:t xml:space="preserve">internacionales </w:t>
      </w:r>
      <w:r w:rsidRPr="00EE2FA1">
        <w:rPr>
          <w:rFonts w:ascii="Times New Roman" w:eastAsia="Calibri" w:hAnsi="Times New Roman" w:cs="Times New Roman"/>
          <w:sz w:val="28"/>
          <w:szCs w:val="28"/>
          <w:lang w:eastAsia="es-ES"/>
        </w:rPr>
        <w:t>del crudo</w:t>
      </w:r>
      <w:r w:rsidRPr="00EE2FA1">
        <w:rPr>
          <w:rFonts w:ascii="Times New Roman" w:eastAsia="Calibri" w:hAnsi="Times New Roman" w:cs="Times New Roman"/>
          <w:sz w:val="28"/>
          <w:szCs w:val="28"/>
          <w:lang w:eastAsia="es-ES"/>
        </w:rPr>
        <w:t>?</w:t>
      </w:r>
    </w:p>
    <w:p w:rsidR="0077504B" w:rsidRPr="00EE2FA1" w:rsidRDefault="00EE2FA1" w:rsidP="0077504B">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B9100B" w:rsidRPr="00EE2FA1" w:rsidRDefault="00EE2FA1" w:rsidP="00B9100B">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i/>
          <w:iCs/>
          <w:sz w:val="28"/>
          <w:szCs w:val="28"/>
          <w:lang w:eastAsia="es-ES"/>
        </w:rPr>
        <w:t>Metodología.</w:t>
      </w:r>
      <w:r w:rsidRPr="00EE2FA1">
        <w:rPr>
          <w:rFonts w:ascii="Times New Roman" w:eastAsia="Calibri" w:hAnsi="Times New Roman" w:cs="Times New Roman"/>
          <w:i/>
          <w:iCs/>
          <w:sz w:val="28"/>
          <w:szCs w:val="28"/>
          <w:lang w:eastAsia="es-ES"/>
        </w:rPr>
        <w:t xml:space="preserve"> </w:t>
      </w:r>
      <w:r w:rsidRPr="00EE2FA1">
        <w:rPr>
          <w:rFonts w:ascii="Times New Roman" w:eastAsia="Calibri" w:hAnsi="Times New Roman" w:cs="Times New Roman"/>
          <w:sz w:val="28"/>
          <w:szCs w:val="28"/>
          <w:lang w:eastAsia="es-ES"/>
        </w:rPr>
        <w:t xml:space="preserve">Para responder al problema jurídico referido, </w:t>
      </w:r>
      <w:r w:rsidRPr="00EE2FA1">
        <w:rPr>
          <w:rFonts w:ascii="Times New Roman" w:eastAsia="Calibri" w:hAnsi="Times New Roman" w:cs="Times New Roman"/>
          <w:sz w:val="28"/>
          <w:szCs w:val="28"/>
          <w:lang w:eastAsia="es-ES"/>
        </w:rPr>
        <w:t xml:space="preserve">esta </w:t>
      </w:r>
      <w:r w:rsidRPr="00EE2FA1">
        <w:rPr>
          <w:rFonts w:ascii="Times New Roman" w:eastAsia="Calibri" w:hAnsi="Times New Roman" w:cs="Times New Roman"/>
          <w:sz w:val="28"/>
          <w:szCs w:val="28"/>
          <w:lang w:eastAsia="es-ES"/>
        </w:rPr>
        <w:t xml:space="preserve">Corte </w:t>
      </w:r>
      <w:r w:rsidRPr="00EE2FA1">
        <w:rPr>
          <w:rFonts w:ascii="Times New Roman" w:eastAsia="Calibri" w:hAnsi="Times New Roman" w:cs="Times New Roman"/>
          <w:sz w:val="28"/>
          <w:szCs w:val="28"/>
          <w:lang w:eastAsia="es-ES"/>
        </w:rPr>
        <w:t xml:space="preserve">abordará </w:t>
      </w:r>
      <w:r w:rsidRPr="00EE2FA1">
        <w:rPr>
          <w:rFonts w:ascii="Times New Roman" w:eastAsia="Calibri" w:hAnsi="Times New Roman" w:cs="Times New Roman"/>
          <w:sz w:val="28"/>
          <w:szCs w:val="28"/>
          <w:lang w:eastAsia="es-ES"/>
        </w:rPr>
        <w:t xml:space="preserve">los siguientes temas: i) la naturaleza jurídica y </w:t>
      </w:r>
      <w:r w:rsidRPr="00EE2FA1">
        <w:rPr>
          <w:rFonts w:ascii="Times New Roman" w:eastAsia="Calibri" w:hAnsi="Times New Roman" w:cs="Times New Roman"/>
          <w:sz w:val="28"/>
          <w:szCs w:val="28"/>
          <w:lang w:eastAsia="es-ES"/>
        </w:rPr>
        <w:t xml:space="preserve">el </w:t>
      </w:r>
      <w:r w:rsidRPr="00EE2FA1">
        <w:rPr>
          <w:rFonts w:ascii="Times New Roman" w:eastAsia="Calibri" w:hAnsi="Times New Roman" w:cs="Times New Roman"/>
          <w:sz w:val="28"/>
          <w:szCs w:val="28"/>
          <w:lang w:eastAsia="es-ES"/>
        </w:rPr>
        <w:t xml:space="preserve">alcance de la norma acusada; </w:t>
      </w:r>
      <w:r w:rsidRPr="00EE2FA1">
        <w:rPr>
          <w:rFonts w:ascii="Times New Roman" w:eastAsia="Calibri" w:hAnsi="Times New Roman" w:cs="Times New Roman"/>
          <w:sz w:val="28"/>
          <w:szCs w:val="28"/>
          <w:lang w:eastAsia="es-ES"/>
        </w:rPr>
        <w:t>ii</w:t>
      </w:r>
      <w:r w:rsidRPr="00EE2FA1">
        <w:rPr>
          <w:rFonts w:ascii="Times New Roman" w:eastAsia="Calibri" w:hAnsi="Times New Roman" w:cs="Times New Roman"/>
          <w:sz w:val="28"/>
          <w:szCs w:val="28"/>
          <w:lang w:eastAsia="es-ES"/>
        </w:rPr>
        <w:t>) los principios constitucionales de justicia</w:t>
      </w:r>
      <w:r w:rsidRPr="00EE2FA1">
        <w:rPr>
          <w:rFonts w:ascii="Times New Roman" w:eastAsia="Calibri" w:hAnsi="Times New Roman" w:cs="Times New Roman"/>
          <w:sz w:val="28"/>
          <w:szCs w:val="28"/>
          <w:lang w:eastAsia="es-ES"/>
        </w:rPr>
        <w:t xml:space="preserve"> y</w:t>
      </w:r>
      <w:r w:rsidRPr="00EE2FA1">
        <w:rPr>
          <w:rFonts w:ascii="Times New Roman" w:eastAsia="Calibri" w:hAnsi="Times New Roman" w:cs="Times New Roman"/>
          <w:sz w:val="28"/>
          <w:szCs w:val="28"/>
          <w:lang w:eastAsia="es-ES"/>
        </w:rPr>
        <w:t xml:space="preserve"> equidad tributaria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i</w:t>
      </w:r>
      <w:r w:rsidRPr="00EE2FA1">
        <w:rPr>
          <w:rFonts w:ascii="Times New Roman" w:eastAsia="Calibri" w:hAnsi="Times New Roman" w:cs="Times New Roman"/>
          <w:sz w:val="28"/>
          <w:szCs w:val="28"/>
          <w:lang w:eastAsia="es-ES"/>
        </w:rPr>
        <w:t>v) el amplio margen de configuración del legislador en materia tributaria</w:t>
      </w:r>
      <w:r w:rsidRPr="00EE2FA1">
        <w:rPr>
          <w:rFonts w:ascii="Times New Roman" w:eastAsia="Calibri" w:hAnsi="Times New Roman" w:cs="Times New Roman"/>
          <w:sz w:val="28"/>
          <w:szCs w:val="28"/>
          <w:lang w:eastAsia="es-ES"/>
        </w:rPr>
        <w:t xml:space="preserve">; v) referentes jurisprudenciales </w:t>
      </w:r>
      <w:r w:rsidRPr="00EE2FA1">
        <w:rPr>
          <w:rFonts w:ascii="Times New Roman" w:eastAsia="Calibri" w:hAnsi="Times New Roman" w:cs="Times New Roman"/>
          <w:sz w:val="28"/>
          <w:szCs w:val="28"/>
          <w:lang w:eastAsia="es-ES"/>
        </w:rPr>
        <w:t xml:space="preserve">y precedente aplicable </w:t>
      </w:r>
      <w:r w:rsidRPr="00EE2FA1">
        <w:rPr>
          <w:rFonts w:ascii="Times New Roman" w:eastAsia="Calibri" w:hAnsi="Times New Roman" w:cs="Times New Roman"/>
          <w:sz w:val="28"/>
          <w:szCs w:val="28"/>
          <w:lang w:eastAsia="es-ES"/>
        </w:rPr>
        <w:t>en la materia</w:t>
      </w:r>
      <w:r w:rsidRPr="00EE2FA1">
        <w:rPr>
          <w:rFonts w:ascii="Times New Roman" w:eastAsia="Calibri" w:hAnsi="Times New Roman" w:cs="Times New Roman"/>
          <w:sz w:val="28"/>
          <w:szCs w:val="28"/>
          <w:lang w:eastAsia="es-ES"/>
        </w:rPr>
        <w:t xml:space="preserve"> y</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finalmente, v</w:t>
      </w:r>
      <w:r w:rsidRPr="00EE2FA1">
        <w:rPr>
          <w:rFonts w:ascii="Times New Roman" w:eastAsia="Calibri" w:hAnsi="Times New Roman" w:cs="Times New Roman"/>
          <w:sz w:val="28"/>
          <w:szCs w:val="28"/>
          <w:lang w:eastAsia="es-ES"/>
        </w:rPr>
        <w:t>i</w:t>
      </w:r>
      <w:r w:rsidRPr="00EE2FA1">
        <w:rPr>
          <w:rFonts w:ascii="Times New Roman" w:eastAsia="Calibri" w:hAnsi="Times New Roman" w:cs="Times New Roman"/>
          <w:sz w:val="28"/>
          <w:szCs w:val="28"/>
          <w:lang w:eastAsia="es-ES"/>
        </w:rPr>
        <w:t xml:space="preserve">) resolverá el caso concreto. </w:t>
      </w:r>
    </w:p>
    <w:p w:rsidR="00B9100B" w:rsidRPr="00EE2FA1" w:rsidRDefault="00EE2FA1" w:rsidP="00B9100B">
      <w:pPr>
        <w:pStyle w:val="Prrafodelista"/>
        <w:tabs>
          <w:tab w:val="left" w:pos="426"/>
          <w:tab w:val="left" w:pos="567"/>
        </w:tabs>
        <w:spacing w:line="0" w:lineRule="atLeast"/>
        <w:ind w:left="0"/>
        <w:jc w:val="both"/>
        <w:rPr>
          <w:rFonts w:ascii="Times New Roman" w:eastAsia="Calibri" w:hAnsi="Times New Roman" w:cs="Times New Roman"/>
          <w:i/>
          <w:iCs/>
          <w:sz w:val="28"/>
          <w:szCs w:val="28"/>
          <w:lang w:eastAsia="es-ES"/>
        </w:rPr>
      </w:pPr>
    </w:p>
    <w:p w:rsidR="00B9100B" w:rsidRPr="00EE2FA1" w:rsidRDefault="00EE2FA1" w:rsidP="00B9100B">
      <w:pPr>
        <w:pStyle w:val="NormalWeb"/>
        <w:tabs>
          <w:tab w:val="left" w:pos="426"/>
        </w:tabs>
        <w:snapToGrid w:val="0"/>
        <w:ind w:right="40"/>
        <w:contextualSpacing/>
        <w:jc w:val="both"/>
        <w:rPr>
          <w:rFonts w:ascii="Times New Roman" w:hAnsi="Times New Roman" w:cs="Times New Roman"/>
          <w:b/>
          <w:bCs/>
          <w:sz w:val="28"/>
          <w:szCs w:val="28"/>
        </w:rPr>
      </w:pPr>
      <w:r w:rsidRPr="00EE2FA1">
        <w:rPr>
          <w:rFonts w:ascii="Times New Roman" w:hAnsi="Times New Roman" w:cs="Times New Roman"/>
          <w:b/>
          <w:bCs/>
          <w:sz w:val="28"/>
          <w:szCs w:val="28"/>
        </w:rPr>
        <w:t>Naturaleza jurídica de la medida analizada</w:t>
      </w:r>
    </w:p>
    <w:p w:rsidR="00B9100B" w:rsidRPr="00EE2FA1" w:rsidRDefault="00EE2FA1" w:rsidP="00B9100B">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D3637" w:rsidRPr="00EE2FA1" w:rsidRDefault="00EE2FA1" w:rsidP="002D4E6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i/>
          <w:iCs/>
          <w:sz w:val="28"/>
          <w:szCs w:val="28"/>
        </w:rPr>
        <w:t xml:space="preserve">La medida estudiada es una sobretarifa al impuesto de renta y no constituye un impuesto </w:t>
      </w:r>
      <w:r w:rsidRPr="00EE2FA1">
        <w:rPr>
          <w:rFonts w:ascii="Times New Roman" w:hAnsi="Times New Roman" w:cs="Times New Roman"/>
          <w:i/>
          <w:iCs/>
          <w:sz w:val="28"/>
          <w:szCs w:val="28"/>
        </w:rPr>
        <w:t>adicional o independiente.</w:t>
      </w:r>
      <w:r w:rsidRPr="00EE2FA1">
        <w:rPr>
          <w:rFonts w:ascii="Times New Roman" w:hAnsi="Times New Roman" w:cs="Times New Roman"/>
          <w:sz w:val="28"/>
          <w:szCs w:val="28"/>
        </w:rPr>
        <w:t xml:space="preserve"> El ordenamiento jurídico no contempla una definición de sobretasa. El término sobretasa se ha utilizado</w:t>
      </w:r>
      <w:r w:rsidRPr="00EE2FA1">
        <w:rPr>
          <w:rFonts w:ascii="Times New Roman" w:hAnsi="Times New Roman" w:cs="Times New Roman"/>
          <w:sz w:val="28"/>
          <w:szCs w:val="28"/>
        </w:rPr>
        <w:t xml:space="preserve"> entonces</w:t>
      </w:r>
      <w:r w:rsidRPr="00EE2FA1">
        <w:rPr>
          <w:rFonts w:ascii="Times New Roman" w:hAnsi="Times New Roman" w:cs="Times New Roman"/>
          <w:sz w:val="28"/>
          <w:szCs w:val="28"/>
        </w:rPr>
        <w:t xml:space="preserve"> para denominar impuestos y gravámenes determinados. </w:t>
      </w:r>
      <w:r w:rsidRPr="00EE2FA1">
        <w:rPr>
          <w:rFonts w:ascii="Times New Roman" w:hAnsi="Times New Roman" w:cs="Times New Roman"/>
          <w:sz w:val="28"/>
          <w:szCs w:val="28"/>
        </w:rPr>
        <w:t xml:space="preserve">Así ocurre en </w:t>
      </w:r>
      <w:r w:rsidRPr="00EE2FA1">
        <w:rPr>
          <w:rFonts w:ascii="Times New Roman" w:hAnsi="Times New Roman" w:cs="Times New Roman"/>
          <w:sz w:val="28"/>
          <w:szCs w:val="28"/>
        </w:rPr>
        <w:t xml:space="preserve">los casos de las autorizaciones previstas en la </w:t>
      </w:r>
      <w:r w:rsidRPr="00EE2FA1">
        <w:rPr>
          <w:rFonts w:ascii="Times New Roman" w:hAnsi="Times New Roman" w:cs="Times New Roman"/>
          <w:sz w:val="28"/>
          <w:szCs w:val="28"/>
        </w:rPr>
        <w:t>Ley 86 de 1989 para que los municipios cobren la sobretasa a la gasolina a los consumidores de este combustible</w:t>
      </w:r>
      <w:r w:rsidRPr="00EE2FA1">
        <w:rPr>
          <w:rFonts w:ascii="Times New Roman" w:hAnsi="Times New Roman" w:cs="Times New Roman"/>
          <w:sz w:val="28"/>
          <w:szCs w:val="28"/>
        </w:rPr>
        <w:t xml:space="preserve">, la cual </w:t>
      </w:r>
      <w:r w:rsidRPr="00EE2FA1">
        <w:rPr>
          <w:rFonts w:ascii="Times New Roman" w:hAnsi="Times New Roman" w:cs="Times New Roman"/>
          <w:sz w:val="28"/>
          <w:szCs w:val="28"/>
        </w:rPr>
        <w:t>se destina a la financiación de transportes masivos de pasajeros</w:t>
      </w:r>
      <w:r w:rsidRPr="00EE2FA1">
        <w:rPr>
          <w:rStyle w:val="Refdenotaalpie"/>
          <w:rFonts w:ascii="Times New Roman" w:hAnsi="Times New Roman" w:cs="Times New Roman"/>
          <w:sz w:val="28"/>
          <w:szCs w:val="28"/>
        </w:rPr>
        <w:footnoteReference w:id="214"/>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o de la Ley 105 de 1993 para que municipios y distritos establezcan </w:t>
      </w:r>
      <w:r w:rsidRPr="00EE2FA1">
        <w:rPr>
          <w:rFonts w:ascii="Times New Roman" w:hAnsi="Times New Roman" w:cs="Times New Roman"/>
          <w:sz w:val="28"/>
          <w:szCs w:val="28"/>
        </w:rPr>
        <w:t>una sobretasa al precio del combustible automotor “</w:t>
      </w:r>
      <w:r w:rsidRPr="00EE2FA1">
        <w:rPr>
          <w:rFonts w:ascii="Times New Roman" w:hAnsi="Times New Roman" w:cs="Times New Roman"/>
          <w:sz w:val="28"/>
          <w:szCs w:val="28"/>
          <w:lang w:val="es-ES"/>
        </w:rPr>
        <w:t>con destino exclusivo a un fondo de mantenimiento y construcción de vías públicas y a financiar la construcción de proyectos de transporte masivo”</w:t>
      </w:r>
      <w:r w:rsidRPr="00EE2FA1">
        <w:rPr>
          <w:rStyle w:val="Refdenotaalpie"/>
          <w:rFonts w:ascii="Times New Roman" w:hAnsi="Times New Roman" w:cs="Times New Roman"/>
          <w:sz w:val="28"/>
          <w:szCs w:val="28"/>
          <w:lang w:val="es-ES"/>
        </w:rPr>
        <w:footnoteReference w:id="215"/>
      </w:r>
      <w:r w:rsidRPr="00EE2FA1">
        <w:rPr>
          <w:rFonts w:ascii="Times New Roman" w:hAnsi="Times New Roman" w:cs="Times New Roman"/>
          <w:sz w:val="28"/>
          <w:szCs w:val="28"/>
          <w:lang w:val="es-ES"/>
        </w:rPr>
        <w:t>. A estos se suman, por un lado, la denominada sobretasa a</w:t>
      </w:r>
      <w:r w:rsidRPr="00EE2FA1">
        <w:rPr>
          <w:rFonts w:ascii="Times New Roman" w:hAnsi="Times New Roman" w:cs="Times New Roman"/>
          <w:sz w:val="28"/>
          <w:szCs w:val="28"/>
          <w:lang w:val="es-ES"/>
        </w:rPr>
        <w:t xml:space="preserve"> la gasolina motor y al ACPM establecida en el artículo 117 de la Ley 488 de 1998 como un tributo que conforma una renta nacional</w:t>
      </w:r>
      <w:r w:rsidRPr="00EE2FA1">
        <w:rPr>
          <w:rStyle w:val="Refdenotaalpie"/>
          <w:rFonts w:ascii="Times New Roman" w:hAnsi="Times New Roman" w:cs="Times New Roman"/>
          <w:sz w:val="28"/>
          <w:szCs w:val="28"/>
          <w:lang w:val="es-ES"/>
        </w:rPr>
        <w:footnoteReference w:id="216"/>
      </w:r>
      <w:r w:rsidRPr="00EE2FA1">
        <w:rPr>
          <w:rFonts w:ascii="Times New Roman" w:hAnsi="Times New Roman" w:cs="Times New Roman"/>
          <w:sz w:val="28"/>
          <w:szCs w:val="28"/>
          <w:lang w:val="es-ES"/>
        </w:rPr>
        <w:t xml:space="preserve"> y, por otro, la sobretasa sobre el precio al público de la gasolina motor extra o corriente y del ACPM para aquellos municipi</w:t>
      </w:r>
      <w:r w:rsidRPr="00EE2FA1">
        <w:rPr>
          <w:rFonts w:ascii="Times New Roman" w:hAnsi="Times New Roman" w:cs="Times New Roman"/>
          <w:sz w:val="28"/>
          <w:szCs w:val="28"/>
          <w:lang w:val="es-ES"/>
        </w:rPr>
        <w:t>os, distritos o departamentos “donde no se haya adoptado la sobretasa municipal, distrital, o departamental”</w:t>
      </w:r>
      <w:r w:rsidRPr="00EE2FA1">
        <w:rPr>
          <w:rStyle w:val="Refdenotaalpie"/>
          <w:rFonts w:ascii="Times New Roman" w:hAnsi="Times New Roman" w:cs="Times New Roman"/>
          <w:sz w:val="28"/>
          <w:szCs w:val="28"/>
          <w:lang w:val="es-ES"/>
        </w:rPr>
        <w:footnoteReference w:id="217"/>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También se cuenta la autorización para establecer una sobretasa ambiental sobre el avalúo de los bienes que sirven de base para liquidar el impue</w:t>
      </w:r>
      <w:r w:rsidRPr="00EE2FA1">
        <w:rPr>
          <w:rFonts w:ascii="Times New Roman" w:hAnsi="Times New Roman" w:cs="Times New Roman"/>
          <w:sz w:val="28"/>
          <w:szCs w:val="28"/>
          <w:lang w:val="es-ES"/>
        </w:rPr>
        <w:t>sto predial</w:t>
      </w:r>
      <w:r w:rsidRPr="00EE2FA1">
        <w:rPr>
          <w:rStyle w:val="Refdenotaalpie"/>
          <w:rFonts w:ascii="Times New Roman" w:hAnsi="Times New Roman" w:cs="Times New Roman"/>
          <w:sz w:val="28"/>
          <w:szCs w:val="28"/>
          <w:lang w:val="es-ES"/>
        </w:rPr>
        <w:footnoteReference w:id="218"/>
      </w:r>
      <w:r w:rsidRPr="00EE2FA1">
        <w:rPr>
          <w:rFonts w:ascii="Times New Roman" w:hAnsi="Times New Roman" w:cs="Times New Roman"/>
          <w:sz w:val="28"/>
          <w:szCs w:val="28"/>
          <w:lang w:val="es-ES"/>
        </w:rPr>
        <w:t>. Asimismo, el artículo 47 de la Ley 143 de 1994 establece la sobretasa o contribución especial en el sector eléctrico como “un tributo a cargo de los usuarios del servicio público de electricidad que tienen una mayor capacidad económica, desti</w:t>
      </w:r>
      <w:r w:rsidRPr="00EE2FA1">
        <w:rPr>
          <w:rFonts w:ascii="Times New Roman" w:hAnsi="Times New Roman" w:cs="Times New Roman"/>
          <w:sz w:val="28"/>
          <w:szCs w:val="28"/>
          <w:lang w:val="es-ES"/>
        </w:rPr>
        <w:t>nado a cubrir una parte de los costos de prestación del servicio a los usuarios de menores ingresos que no pueden sufragarlos en su totalidad”</w:t>
      </w:r>
      <w:r w:rsidRPr="00EE2FA1">
        <w:rPr>
          <w:rStyle w:val="Refdenotaalpie"/>
          <w:rFonts w:ascii="Times New Roman" w:hAnsi="Times New Roman" w:cs="Times New Roman"/>
          <w:sz w:val="28"/>
          <w:szCs w:val="28"/>
          <w:lang w:val="es-ES"/>
        </w:rPr>
        <w:footnoteReference w:id="219"/>
      </w:r>
      <w:r w:rsidRPr="00EE2FA1">
        <w:rPr>
          <w:rFonts w:ascii="Times New Roman" w:hAnsi="Times New Roman" w:cs="Times New Roman"/>
          <w:sz w:val="28"/>
          <w:szCs w:val="28"/>
          <w:lang w:val="es-ES"/>
        </w:rPr>
        <w:t xml:space="preserve">. En suma, </w:t>
      </w:r>
      <w:r w:rsidRPr="00EE2FA1">
        <w:rPr>
          <w:rFonts w:ascii="Times New Roman" w:hAnsi="Times New Roman" w:cs="Times New Roman"/>
          <w:sz w:val="28"/>
          <w:szCs w:val="28"/>
          <w:lang w:val="es-ES"/>
        </w:rPr>
        <w:t xml:space="preserve">se tiene con base </w:t>
      </w:r>
      <w:r w:rsidRPr="00EE2FA1">
        <w:rPr>
          <w:rFonts w:ascii="Times New Roman" w:hAnsi="Times New Roman" w:cs="Times New Roman"/>
          <w:sz w:val="28"/>
          <w:szCs w:val="28"/>
          <w:lang w:val="es-ES"/>
        </w:rPr>
        <w:t xml:space="preserve">en estos ejemplos normativos, </w:t>
      </w:r>
      <w:r w:rsidRPr="00EE2FA1">
        <w:rPr>
          <w:rFonts w:ascii="Times New Roman" w:hAnsi="Times New Roman" w:cs="Times New Roman"/>
          <w:sz w:val="28"/>
          <w:szCs w:val="28"/>
          <w:lang w:val="es-ES"/>
        </w:rPr>
        <w:t xml:space="preserve">que </w:t>
      </w:r>
      <w:r w:rsidRPr="00EE2FA1">
        <w:rPr>
          <w:rFonts w:ascii="Times New Roman" w:hAnsi="Times New Roman" w:cs="Times New Roman"/>
          <w:sz w:val="28"/>
          <w:szCs w:val="28"/>
          <w:lang w:val="es-ES"/>
        </w:rPr>
        <w:t>la sobretasa es equivalente a un impuesto, tributo</w:t>
      </w:r>
      <w:r w:rsidRPr="00EE2FA1">
        <w:rPr>
          <w:rFonts w:ascii="Times New Roman" w:hAnsi="Times New Roman" w:cs="Times New Roman"/>
          <w:sz w:val="28"/>
          <w:szCs w:val="28"/>
          <w:lang w:val="es-ES"/>
        </w:rPr>
        <w:t xml:space="preserve"> o gravamen</w:t>
      </w:r>
      <w:r w:rsidRPr="00EE2FA1">
        <w:rPr>
          <w:rFonts w:ascii="Times New Roman" w:hAnsi="Times New Roman" w:cs="Times New Roman"/>
          <w:sz w:val="28"/>
          <w:szCs w:val="28"/>
          <w:lang w:val="es-ES"/>
        </w:rPr>
        <w:t xml:space="preserve"> que tiene una destinación específica. </w:t>
      </w:r>
    </w:p>
    <w:p w:rsidR="007D3637" w:rsidRPr="00EE2FA1" w:rsidRDefault="00EE2FA1" w:rsidP="007D3637">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2556BB" w:rsidRPr="00EE2FA1" w:rsidRDefault="00EE2FA1" w:rsidP="002556BB">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No obstante, el legislador </w:t>
      </w:r>
      <w:r w:rsidRPr="00EE2FA1">
        <w:rPr>
          <w:rFonts w:ascii="Times New Roman" w:hAnsi="Times New Roman" w:cs="Times New Roman"/>
          <w:sz w:val="28"/>
          <w:szCs w:val="28"/>
        </w:rPr>
        <w:t>también</w:t>
      </w:r>
      <w:r w:rsidRPr="00EE2FA1">
        <w:rPr>
          <w:rFonts w:ascii="Times New Roman" w:hAnsi="Times New Roman" w:cs="Times New Roman"/>
          <w:sz w:val="28"/>
          <w:szCs w:val="28"/>
        </w:rPr>
        <w:t xml:space="preserve"> puede establecer </w:t>
      </w:r>
      <w:r w:rsidRPr="00EE2FA1">
        <w:rPr>
          <w:rFonts w:ascii="Times New Roman" w:hAnsi="Times New Roman" w:cs="Times New Roman"/>
          <w:sz w:val="28"/>
          <w:szCs w:val="28"/>
        </w:rPr>
        <w:t>tarifa</w:t>
      </w:r>
      <w:r w:rsidRPr="00EE2FA1">
        <w:rPr>
          <w:rFonts w:ascii="Times New Roman" w:hAnsi="Times New Roman" w:cs="Times New Roman"/>
          <w:sz w:val="28"/>
          <w:szCs w:val="28"/>
        </w:rPr>
        <w:t>s</w:t>
      </w:r>
      <w:r w:rsidRPr="00EE2FA1">
        <w:rPr>
          <w:rFonts w:ascii="Times New Roman" w:hAnsi="Times New Roman" w:cs="Times New Roman"/>
          <w:sz w:val="28"/>
          <w:szCs w:val="28"/>
        </w:rPr>
        <w:t xml:space="preserve"> adicional</w:t>
      </w:r>
      <w:r w:rsidRPr="00EE2FA1">
        <w:rPr>
          <w:rFonts w:ascii="Times New Roman" w:hAnsi="Times New Roman" w:cs="Times New Roman"/>
          <w:sz w:val="28"/>
          <w:szCs w:val="28"/>
        </w:rPr>
        <w:t>es</w:t>
      </w:r>
      <w:r w:rsidRPr="00EE2FA1">
        <w:rPr>
          <w:rFonts w:ascii="Times New Roman" w:hAnsi="Times New Roman" w:cs="Times New Roman"/>
          <w:sz w:val="28"/>
          <w:szCs w:val="28"/>
        </w:rPr>
        <w:t xml:space="preserve"> o “sobretarifa”</w:t>
      </w:r>
      <w:r w:rsidRPr="00EE2FA1">
        <w:rPr>
          <w:rStyle w:val="Refdenotaalpie"/>
          <w:rFonts w:ascii="Times New Roman" w:hAnsi="Times New Roman" w:cs="Times New Roman"/>
          <w:sz w:val="28"/>
          <w:szCs w:val="28"/>
        </w:rPr>
        <w:footnoteReference w:id="220"/>
      </w:r>
      <w:r w:rsidRPr="00EE2FA1">
        <w:rPr>
          <w:rFonts w:ascii="Times New Roman" w:hAnsi="Times New Roman" w:cs="Times New Roman"/>
          <w:sz w:val="28"/>
          <w:szCs w:val="28"/>
        </w:rPr>
        <w:t xml:space="preserve"> a tributos existentes</w:t>
      </w:r>
      <w:r w:rsidRPr="00EE2FA1">
        <w:rPr>
          <w:rFonts w:ascii="Times New Roman" w:hAnsi="Times New Roman" w:cs="Times New Roman"/>
          <w:sz w:val="28"/>
          <w:szCs w:val="28"/>
        </w:rPr>
        <w:t>. Esto se observó en la Sentencia C-243 de 2011</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por la cual se </w:t>
      </w:r>
      <w:r w:rsidRPr="00EE2FA1">
        <w:rPr>
          <w:rFonts w:ascii="Times New Roman" w:hAnsi="Times New Roman" w:cs="Times New Roman"/>
          <w:sz w:val="28"/>
          <w:szCs w:val="28"/>
        </w:rPr>
        <w:t xml:space="preserve">adelantó el control integral y oficioso del Decreto Legislativo 4825 de 2010. Entre las medidas adoptadas por esta normativa, se encontraban los artículos 1.° al 9.° que creaban </w:t>
      </w:r>
      <w:r w:rsidRPr="00EE2FA1">
        <w:rPr>
          <w:rFonts w:ascii="Times New Roman" w:hAnsi="Times New Roman" w:cs="Times New Roman"/>
          <w:sz w:val="28"/>
          <w:szCs w:val="28"/>
          <w:lang w:val="es-ES"/>
        </w:rPr>
        <w:t>una sobre</w:t>
      </w:r>
      <w:r w:rsidRPr="00EE2FA1">
        <w:rPr>
          <w:rFonts w:ascii="Times New Roman" w:hAnsi="Times New Roman" w:cs="Times New Roman"/>
          <w:sz w:val="28"/>
          <w:szCs w:val="28"/>
          <w:lang w:val="es-ES"/>
        </w:rPr>
        <w:t>tarifa</w:t>
      </w:r>
      <w:r w:rsidRPr="00EE2FA1">
        <w:rPr>
          <w:rFonts w:ascii="Times New Roman" w:hAnsi="Times New Roman" w:cs="Times New Roman"/>
          <w:sz w:val="28"/>
          <w:szCs w:val="28"/>
          <w:lang w:val="es-ES"/>
        </w:rPr>
        <w:t xml:space="preserve"> al impuesto ordinario al patrimonio</w:t>
      </w:r>
      <w:r w:rsidRPr="00EE2FA1">
        <w:rPr>
          <w:rFonts w:ascii="Times New Roman" w:hAnsi="Times New Roman" w:cs="Times New Roman"/>
          <w:sz w:val="28"/>
          <w:szCs w:val="28"/>
          <w:lang w:val="es-ES"/>
        </w:rPr>
        <w:t>,</w:t>
      </w:r>
      <w:r w:rsidRPr="00EE2FA1">
        <w:rPr>
          <w:rFonts w:ascii="Times New Roman" w:hAnsi="Times New Roman" w:cs="Times New Roman"/>
          <w:sz w:val="28"/>
          <w:szCs w:val="28"/>
          <w:lang w:val="es-ES"/>
        </w:rPr>
        <w:t xml:space="preserve"> regulado en las Leyes 137</w:t>
      </w:r>
      <w:r w:rsidRPr="00EE2FA1">
        <w:rPr>
          <w:rFonts w:ascii="Times New Roman" w:hAnsi="Times New Roman" w:cs="Times New Roman"/>
          <w:sz w:val="28"/>
          <w:szCs w:val="28"/>
          <w:lang w:val="es-ES"/>
        </w:rPr>
        <w:t>0 de 2009 y 1430 de 2010. En particular, el artículo 9.° establecía la tarifa del 25 % del impuesto al patrimonio</w:t>
      </w:r>
      <w:r w:rsidRPr="00EE2FA1">
        <w:rPr>
          <w:rFonts w:ascii="Times New Roman" w:hAnsi="Times New Roman" w:cs="Times New Roman"/>
          <w:sz w:val="28"/>
          <w:szCs w:val="28"/>
          <w:lang w:val="es-ES"/>
        </w:rPr>
        <w:t>.</w:t>
      </w:r>
    </w:p>
    <w:p w:rsidR="00027C00" w:rsidRPr="00EE2FA1" w:rsidRDefault="00EE2FA1" w:rsidP="00027C0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A0F65" w:rsidRPr="00EE2FA1" w:rsidRDefault="00EE2FA1" w:rsidP="007A0F65">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Otro ejemplo es el artículo 240, parágrafo 4.° del Estatuto Tributario, modificado por el artículo 10 de la Ley 2277 de 2022. Esta disposici</w:t>
      </w:r>
      <w:r w:rsidRPr="00EE2FA1">
        <w:rPr>
          <w:rFonts w:ascii="Times New Roman" w:hAnsi="Times New Roman" w:cs="Times New Roman"/>
          <w:sz w:val="28"/>
          <w:szCs w:val="28"/>
        </w:rPr>
        <w:t>ón establece que los contribuyentes cuya actividad económica principal sea la generación de energía eléctrica a través de recursos hídricos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que son contribuyentes del impuesto de renta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deberán liquidar tres puntos porcentuales adicionales a este gravamen</w:t>
      </w:r>
      <w:r w:rsidRPr="00EE2FA1">
        <w:rPr>
          <w:rStyle w:val="Refdenotaalpie"/>
          <w:rFonts w:ascii="Times New Roman" w:hAnsi="Times New Roman" w:cs="Times New Roman"/>
          <w:sz w:val="28"/>
          <w:szCs w:val="28"/>
        </w:rPr>
        <w:footnoteReference w:id="221"/>
      </w:r>
      <w:r w:rsidRPr="00EE2FA1">
        <w:rPr>
          <w:rFonts w:ascii="Times New Roman" w:hAnsi="Times New Roman" w:cs="Times New Roman"/>
          <w:sz w:val="28"/>
          <w:szCs w:val="28"/>
        </w:rPr>
        <w:t>.</w:t>
      </w:r>
    </w:p>
    <w:p w:rsidR="00A82351" w:rsidRPr="00EE2FA1" w:rsidRDefault="00EE2FA1" w:rsidP="00A82351">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A0F65" w:rsidRPr="00EE2FA1" w:rsidRDefault="00EE2FA1" w:rsidP="007A0F65">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A </w:t>
      </w:r>
      <w:r w:rsidRPr="00EE2FA1">
        <w:rPr>
          <w:rFonts w:ascii="Times New Roman" w:hAnsi="Times New Roman" w:cs="Times New Roman"/>
          <w:sz w:val="28"/>
          <w:szCs w:val="28"/>
        </w:rPr>
        <w:t xml:space="preserve">estas últimas hipótesis </w:t>
      </w:r>
      <w:r w:rsidRPr="00EE2FA1">
        <w:rPr>
          <w:rFonts w:ascii="Times New Roman" w:hAnsi="Times New Roman" w:cs="Times New Roman"/>
          <w:sz w:val="28"/>
          <w:szCs w:val="28"/>
        </w:rPr>
        <w:t xml:space="preserve">se asemeja la </w:t>
      </w:r>
      <w:r w:rsidRPr="00EE2FA1">
        <w:rPr>
          <w:rFonts w:ascii="Times New Roman" w:hAnsi="Times New Roman" w:cs="Times New Roman"/>
          <w:sz w:val="28"/>
          <w:szCs w:val="28"/>
        </w:rPr>
        <w:t xml:space="preserve">medida </w:t>
      </w:r>
      <w:r w:rsidRPr="00EE2FA1">
        <w:rPr>
          <w:rFonts w:ascii="Times New Roman" w:hAnsi="Times New Roman" w:cs="Times New Roman"/>
          <w:sz w:val="28"/>
          <w:szCs w:val="28"/>
        </w:rPr>
        <w:t xml:space="preserve">analizada </w:t>
      </w:r>
      <w:r w:rsidRPr="00EE2FA1">
        <w:rPr>
          <w:rFonts w:ascii="Times New Roman" w:hAnsi="Times New Roman" w:cs="Times New Roman"/>
          <w:sz w:val="28"/>
          <w:szCs w:val="28"/>
        </w:rPr>
        <w:t xml:space="preserve">en cuanto la sobretasa en el </w:t>
      </w:r>
      <w:r w:rsidRPr="00EE2FA1">
        <w:rPr>
          <w:rFonts w:ascii="Times New Roman" w:hAnsi="Times New Roman" w:cs="Times New Roman"/>
          <w:sz w:val="28"/>
          <w:szCs w:val="28"/>
        </w:rPr>
        <w:t xml:space="preserve">impuesto de renta </w:t>
      </w:r>
      <w:r w:rsidRPr="00EE2FA1">
        <w:rPr>
          <w:rFonts w:ascii="Times New Roman" w:hAnsi="Times New Roman" w:cs="Times New Roman"/>
          <w:sz w:val="28"/>
          <w:szCs w:val="28"/>
        </w:rPr>
        <w:t xml:space="preserve">para </w:t>
      </w:r>
      <w:r w:rsidRPr="00EE2FA1">
        <w:rPr>
          <w:rFonts w:ascii="Times New Roman" w:hAnsi="Times New Roman" w:cs="Times New Roman"/>
          <w:sz w:val="28"/>
          <w:szCs w:val="28"/>
        </w:rPr>
        <w:t>los contribuyentes que extraigan petróleo crudo, contenida en el artículo 240, parágrafo 3.° del Estatuto Tributario, modificado por el artícul</w:t>
      </w:r>
      <w:r w:rsidRPr="00EE2FA1">
        <w:rPr>
          <w:rFonts w:ascii="Times New Roman" w:hAnsi="Times New Roman" w:cs="Times New Roman"/>
          <w:sz w:val="28"/>
          <w:szCs w:val="28"/>
        </w:rPr>
        <w:t>o 10.° de la Ley 2277 de 2022. En ese sentido,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el objeto de la norma censurada corresponde a</w:t>
      </w:r>
      <w:r w:rsidRPr="00EE2FA1">
        <w:rPr>
          <w:rFonts w:ascii="Times New Roman" w:hAnsi="Times New Roman" w:cs="Times New Roman"/>
          <w:sz w:val="28"/>
          <w:szCs w:val="28"/>
        </w:rPr>
        <w:t xml:space="preserve"> una sobretarifa porque</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la medida no crea</w:t>
      </w:r>
      <w:r w:rsidRPr="00EE2FA1">
        <w:rPr>
          <w:rFonts w:ascii="Times New Roman" w:hAnsi="Times New Roman" w:cs="Times New Roman"/>
          <w:sz w:val="28"/>
          <w:szCs w:val="28"/>
        </w:rPr>
        <w:t xml:space="preserve"> un nuevo impuesto, gravamen o contribución, sino que establece puntos adicionales a la tarifa general del impuesto sobre la renta, ya previsto en el Estatuto Tributario, y que los contribuyentes deben asumir siempre y cuando cumplan las condiciones y supu</w:t>
      </w:r>
      <w:r w:rsidRPr="00EE2FA1">
        <w:rPr>
          <w:rFonts w:ascii="Times New Roman" w:hAnsi="Times New Roman" w:cs="Times New Roman"/>
          <w:sz w:val="28"/>
          <w:szCs w:val="28"/>
        </w:rPr>
        <w:t xml:space="preserve">estos previstos en la misma normativa. </w:t>
      </w:r>
    </w:p>
    <w:p w:rsidR="006122FA" w:rsidRPr="00EE2FA1" w:rsidRDefault="00EE2FA1" w:rsidP="006122FA">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637E4" w:rsidRPr="00EE2FA1" w:rsidRDefault="00EE2FA1" w:rsidP="00B51112">
      <w:pPr>
        <w:pStyle w:val="Sinespaciado"/>
        <w:tabs>
          <w:tab w:val="left" w:pos="360"/>
        </w:tabs>
        <w:spacing w:line="220" w:lineRule="atLeast"/>
        <w:ind w:right="51"/>
        <w:jc w:val="both"/>
        <w:rPr>
          <w:rFonts w:ascii="Times New Roman" w:hAnsi="Times New Roman"/>
          <w:b/>
          <w:bCs/>
          <w:sz w:val="28"/>
          <w:szCs w:val="28"/>
          <w:lang w:val="es-ES_tradnl"/>
        </w:rPr>
      </w:pPr>
      <w:r w:rsidRPr="00EE2FA1">
        <w:rPr>
          <w:rFonts w:ascii="Times New Roman" w:hAnsi="Times New Roman"/>
          <w:b/>
          <w:bCs/>
          <w:sz w:val="28"/>
          <w:szCs w:val="28"/>
          <w:lang w:val="es-ES_tradnl"/>
        </w:rPr>
        <w:t xml:space="preserve">Alcance </w:t>
      </w:r>
      <w:r w:rsidRPr="00EE2FA1">
        <w:rPr>
          <w:rFonts w:ascii="Times New Roman" w:hAnsi="Times New Roman"/>
          <w:b/>
          <w:bCs/>
          <w:sz w:val="28"/>
          <w:szCs w:val="28"/>
          <w:lang w:val="es-ES_tradnl"/>
        </w:rPr>
        <w:t>de la norma censurada</w:t>
      </w:r>
    </w:p>
    <w:p w:rsidR="006C69F5" w:rsidRPr="00EE2FA1" w:rsidRDefault="00EE2FA1" w:rsidP="00B51112">
      <w:pPr>
        <w:pStyle w:val="Sinespaciado"/>
        <w:tabs>
          <w:tab w:val="left" w:pos="360"/>
        </w:tabs>
        <w:spacing w:line="220" w:lineRule="atLeast"/>
        <w:ind w:right="51"/>
        <w:jc w:val="both"/>
        <w:rPr>
          <w:rFonts w:ascii="Times New Roman" w:hAnsi="Times New Roman"/>
          <w:b/>
          <w:bCs/>
          <w:sz w:val="28"/>
          <w:szCs w:val="28"/>
          <w:lang w:val="es-ES_tradnl"/>
        </w:rPr>
      </w:pPr>
    </w:p>
    <w:p w:rsidR="007A0F65" w:rsidRPr="00EE2FA1" w:rsidRDefault="00EE2FA1" w:rsidP="007637E4">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i/>
          <w:iCs/>
          <w:sz w:val="28"/>
          <w:szCs w:val="28"/>
        </w:rPr>
        <w:t>Alcance de la disposición acusada</w:t>
      </w:r>
      <w:r w:rsidRPr="00EE2FA1">
        <w:rPr>
          <w:rFonts w:ascii="Times New Roman" w:hAnsi="Times New Roman" w:cs="Times New Roman"/>
          <w:sz w:val="28"/>
          <w:szCs w:val="28"/>
        </w:rPr>
        <w:t xml:space="preserve">. El parágrafo 3.° </w:t>
      </w:r>
      <w:r w:rsidRPr="00EE2FA1">
        <w:rPr>
          <w:rFonts w:ascii="Times New Roman" w:hAnsi="Times New Roman" w:cs="Times New Roman"/>
          <w:sz w:val="28"/>
          <w:szCs w:val="28"/>
        </w:rPr>
        <w:t>(parcial) del</w:t>
      </w:r>
      <w:r w:rsidRPr="00EE2FA1">
        <w:rPr>
          <w:rFonts w:ascii="Times New Roman" w:hAnsi="Times New Roman" w:cs="Times New Roman"/>
          <w:sz w:val="28"/>
          <w:szCs w:val="28"/>
        </w:rPr>
        <w:t xml:space="preserve"> artículo 10.° de la Ley 2277 de 2022 establece puntos adicionales a la tarifa general del impuesto sobre la renta, a cargo de las personas jurídicas que desarrollen las actividades económicas de extracción de hulla (carbón de piedra) y petróleo crudo. Esp</w:t>
      </w:r>
      <w:r w:rsidRPr="00EE2FA1">
        <w:rPr>
          <w:rFonts w:ascii="Times New Roman" w:hAnsi="Times New Roman" w:cs="Times New Roman"/>
          <w:sz w:val="28"/>
          <w:szCs w:val="28"/>
        </w:rPr>
        <w:t>ecíficamente en lo relacionado con la actividad económica de extracción de petróleo crudo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que corresponde a lo </w:t>
      </w:r>
      <w:r w:rsidRPr="00EE2FA1">
        <w:rPr>
          <w:rFonts w:ascii="Times New Roman" w:hAnsi="Times New Roman" w:cs="Times New Roman"/>
          <w:sz w:val="28"/>
          <w:szCs w:val="28"/>
        </w:rPr>
        <w:t>censurado en esta oportunidad</w:t>
      </w:r>
      <w:r w:rsidRPr="00EE2FA1">
        <w:rPr>
          <w:rFonts w:ascii="Times New Roman" w:hAnsi="Times New Roman" w:cs="Times New Roman"/>
          <w:sz w:val="28"/>
          <w:szCs w:val="28"/>
        </w:rPr>
        <w:t>, la norma condiciona el incremento de la tarifa al cumplimiento de determinadas condiciones relacionadas con el pr</w:t>
      </w:r>
      <w:r w:rsidRPr="00EE2FA1">
        <w:rPr>
          <w:rFonts w:ascii="Times New Roman" w:hAnsi="Times New Roman" w:cs="Times New Roman"/>
          <w:sz w:val="28"/>
          <w:szCs w:val="28"/>
        </w:rPr>
        <w:t>ecio promedio de la materia prima, como se explica en el siguiente cuadro:</w:t>
      </w:r>
    </w:p>
    <w:p w:rsidR="00FE25CA" w:rsidRPr="00EE2FA1" w:rsidRDefault="00EE2FA1" w:rsidP="007A0F65">
      <w:pPr>
        <w:pStyle w:val="Sinespaciado"/>
        <w:tabs>
          <w:tab w:val="left" w:pos="360"/>
        </w:tabs>
        <w:spacing w:line="220" w:lineRule="atLeast"/>
        <w:ind w:right="51"/>
        <w:jc w:val="both"/>
        <w:rPr>
          <w:rFonts w:ascii="Times New Roman" w:hAnsi="Times New Roman"/>
          <w:i/>
          <w:iCs/>
          <w:sz w:val="28"/>
          <w:szCs w:val="28"/>
          <w:lang w:eastAsia="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513"/>
      </w:tblGrid>
      <w:tr w:rsidR="008F41DE" w:rsidRPr="00EE2FA1" w:rsidTr="00A82351">
        <w:tc>
          <w:tcPr>
            <w:tcW w:w="1696" w:type="dxa"/>
            <w:shd w:val="clear" w:color="auto" w:fill="DEEAF6" w:themeFill="accent1" w:themeFillTint="33"/>
            <w:vAlign w:val="center"/>
          </w:tcPr>
          <w:p w:rsidR="007A0F65" w:rsidRPr="00EE2FA1" w:rsidRDefault="00EE2FA1" w:rsidP="00F25702">
            <w:pPr>
              <w:tabs>
                <w:tab w:val="left" w:pos="284"/>
                <w:tab w:val="left" w:pos="426"/>
              </w:tabs>
              <w:ind w:firstLine="34"/>
              <w:jc w:val="center"/>
              <w:rPr>
                <w:rFonts w:ascii="Times New Roman" w:hAnsi="Times New Roman" w:cs="Times New Roman"/>
                <w:b/>
                <w:bCs/>
                <w:iCs/>
                <w:sz w:val="28"/>
              </w:rPr>
            </w:pPr>
            <w:r w:rsidRPr="00EE2FA1">
              <w:rPr>
                <w:rFonts w:ascii="Times New Roman" w:hAnsi="Times New Roman" w:cs="Times New Roman"/>
                <w:b/>
                <w:bCs/>
                <w:iCs/>
                <w:sz w:val="28"/>
              </w:rPr>
              <w:t>Puntos adicionales en la tarifa del impuesto sobre la renta</w:t>
            </w:r>
          </w:p>
        </w:tc>
        <w:tc>
          <w:tcPr>
            <w:tcW w:w="7513" w:type="dxa"/>
            <w:shd w:val="clear" w:color="auto" w:fill="DEEAF6" w:themeFill="accent1" w:themeFillTint="33"/>
            <w:vAlign w:val="center"/>
          </w:tcPr>
          <w:p w:rsidR="007A0F65" w:rsidRPr="00EE2FA1" w:rsidRDefault="00EE2FA1" w:rsidP="00F25702">
            <w:pPr>
              <w:tabs>
                <w:tab w:val="left" w:pos="284"/>
                <w:tab w:val="left" w:pos="426"/>
              </w:tabs>
              <w:ind w:firstLine="34"/>
              <w:jc w:val="center"/>
              <w:rPr>
                <w:rFonts w:ascii="Times New Roman" w:hAnsi="Times New Roman" w:cs="Times New Roman"/>
                <w:b/>
                <w:bCs/>
                <w:iCs/>
                <w:sz w:val="28"/>
              </w:rPr>
            </w:pPr>
            <w:r w:rsidRPr="00EE2FA1">
              <w:rPr>
                <w:rFonts w:ascii="Times New Roman" w:hAnsi="Times New Roman" w:cs="Times New Roman"/>
                <w:b/>
                <w:bCs/>
                <w:iCs/>
                <w:sz w:val="28"/>
              </w:rPr>
              <w:t>Condición de adición de los puntos adicionales</w:t>
            </w:r>
          </w:p>
        </w:tc>
      </w:tr>
      <w:tr w:rsidR="008F41DE" w:rsidRPr="00EE2FA1" w:rsidTr="00A82351">
        <w:tc>
          <w:tcPr>
            <w:tcW w:w="1696" w:type="dxa"/>
            <w:shd w:val="clear" w:color="auto" w:fill="auto"/>
          </w:tcPr>
          <w:p w:rsidR="007A0F65" w:rsidRPr="00EE2FA1" w:rsidRDefault="00EE2FA1" w:rsidP="00F25702">
            <w:pPr>
              <w:tabs>
                <w:tab w:val="left" w:pos="284"/>
                <w:tab w:val="left" w:pos="426"/>
              </w:tabs>
              <w:ind w:firstLine="34"/>
              <w:rPr>
                <w:rFonts w:ascii="Times New Roman" w:hAnsi="Times New Roman" w:cs="Times New Roman"/>
                <w:iCs/>
                <w:sz w:val="28"/>
              </w:rPr>
            </w:pPr>
            <w:r w:rsidRPr="00EE2FA1">
              <w:rPr>
                <w:rFonts w:ascii="Times New Roman" w:hAnsi="Times New Roman" w:cs="Times New Roman"/>
                <w:iCs/>
                <w:sz w:val="28"/>
              </w:rPr>
              <w:t>Cero (0) puntos adicionales</w:t>
            </w:r>
            <w:r w:rsidRPr="00EE2FA1">
              <w:rPr>
                <w:rFonts w:ascii="Times New Roman" w:hAnsi="Times New Roman" w:cs="Times New Roman"/>
                <w:iCs/>
                <w:sz w:val="28"/>
              </w:rPr>
              <w:t>:</w:t>
            </w:r>
          </w:p>
          <w:p w:rsidR="007A0F65" w:rsidRPr="00EE2FA1" w:rsidRDefault="00EE2FA1" w:rsidP="00F25702">
            <w:pPr>
              <w:tabs>
                <w:tab w:val="left" w:pos="284"/>
                <w:tab w:val="left" w:pos="426"/>
              </w:tabs>
              <w:ind w:firstLine="34"/>
              <w:rPr>
                <w:rFonts w:ascii="Times New Roman" w:hAnsi="Times New Roman" w:cs="Times New Roman"/>
                <w:iCs/>
                <w:sz w:val="28"/>
              </w:rPr>
            </w:pPr>
            <w:r w:rsidRPr="00EE2FA1">
              <w:rPr>
                <w:rFonts w:ascii="Times New Roman" w:hAnsi="Times New Roman" w:cs="Times New Roman"/>
                <w:iCs/>
                <w:sz w:val="28"/>
              </w:rPr>
              <w:t>Cero por ciento (0%)</w:t>
            </w:r>
          </w:p>
        </w:tc>
        <w:tc>
          <w:tcPr>
            <w:tcW w:w="7513"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Cuando el precio promedio del respectivo año gravable objeto de declaración se encuentre por debajo del percentil treinta (30) de los precios promedio mensuales de los últimos ciento veinte (120) meses, sin incluir el precio de los meses transcurridos en e</w:t>
            </w:r>
            <w:r w:rsidRPr="00EE2FA1">
              <w:rPr>
                <w:rFonts w:ascii="Times New Roman" w:hAnsi="Times New Roman" w:cs="Times New Roman"/>
                <w:iCs/>
                <w:sz w:val="28"/>
              </w:rPr>
              <w:t xml:space="preserve">l año de la declaración. </w:t>
            </w:r>
          </w:p>
        </w:tc>
      </w:tr>
      <w:tr w:rsidR="008F41DE" w:rsidRPr="00EE2FA1" w:rsidTr="00A82351">
        <w:tc>
          <w:tcPr>
            <w:tcW w:w="1696"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Cinco (5) puntos adicionales</w:t>
            </w:r>
            <w:r w:rsidRPr="00EE2FA1">
              <w:rPr>
                <w:rFonts w:ascii="Times New Roman" w:hAnsi="Times New Roman" w:cs="Times New Roman"/>
                <w:iCs/>
                <w:sz w:val="28"/>
              </w:rPr>
              <w:t>:</w:t>
            </w:r>
            <w:r w:rsidRPr="00EE2FA1">
              <w:rPr>
                <w:rFonts w:ascii="Times New Roman" w:hAnsi="Times New Roman" w:cs="Times New Roman"/>
                <w:iCs/>
                <w:sz w:val="28"/>
              </w:rPr>
              <w:t xml:space="preserve"> Cinco por ciento (5%)</w:t>
            </w:r>
          </w:p>
        </w:tc>
        <w:tc>
          <w:tcPr>
            <w:tcW w:w="7513"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Cuando el precio promedio del respectivo año gravable objeto de declaración se encuentre entre el percentil treinta (30) y cuarenta y cinco (45) de los precios promedio mensuale</w:t>
            </w:r>
            <w:r w:rsidRPr="00EE2FA1">
              <w:rPr>
                <w:rFonts w:ascii="Times New Roman" w:hAnsi="Times New Roman" w:cs="Times New Roman"/>
                <w:iCs/>
                <w:sz w:val="28"/>
              </w:rPr>
              <w:t xml:space="preserve">s de los últimos ciento veinte (120) meses, sin incluir el precio de los meses transcurridos en el año de la declaración. </w:t>
            </w:r>
          </w:p>
        </w:tc>
      </w:tr>
      <w:tr w:rsidR="008F41DE" w:rsidRPr="00EE2FA1" w:rsidTr="00A82351">
        <w:tc>
          <w:tcPr>
            <w:tcW w:w="1696"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Diez (10) puntos adicionales</w:t>
            </w:r>
            <w:r w:rsidRPr="00EE2FA1">
              <w:rPr>
                <w:rFonts w:ascii="Times New Roman" w:hAnsi="Times New Roman" w:cs="Times New Roman"/>
                <w:iCs/>
                <w:sz w:val="28"/>
              </w:rPr>
              <w:t>:</w:t>
            </w:r>
            <w:r w:rsidRPr="00EE2FA1">
              <w:rPr>
                <w:rFonts w:ascii="Times New Roman" w:hAnsi="Times New Roman" w:cs="Times New Roman"/>
                <w:iCs/>
                <w:sz w:val="28"/>
              </w:rPr>
              <w:t xml:space="preserve"> Diez por ciento (10%)</w:t>
            </w:r>
          </w:p>
        </w:tc>
        <w:tc>
          <w:tcPr>
            <w:tcW w:w="7513"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 xml:space="preserve">Cuando el precio del respectivo año gravable objeto de declaración se encuentre </w:t>
            </w:r>
            <w:r w:rsidRPr="00EE2FA1">
              <w:rPr>
                <w:rFonts w:ascii="Times New Roman" w:hAnsi="Times New Roman" w:cs="Times New Roman"/>
                <w:iCs/>
                <w:sz w:val="28"/>
              </w:rPr>
              <w:t xml:space="preserve">por encima del percentil cuarenta y cinco (45) y entre el percentil sesenta (60) de los precios promedio mensuales de los últimos ciento veinte (120) meses, sin incluir el precio de los meses transcurridos en el año de la declaración. </w:t>
            </w:r>
          </w:p>
        </w:tc>
      </w:tr>
      <w:tr w:rsidR="00D22E9F" w:rsidRPr="00EE2FA1" w:rsidTr="00A82351">
        <w:tc>
          <w:tcPr>
            <w:tcW w:w="1696"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 xml:space="preserve">Quince (15) puntos </w:t>
            </w:r>
            <w:r w:rsidRPr="00EE2FA1">
              <w:rPr>
                <w:rFonts w:ascii="Times New Roman" w:hAnsi="Times New Roman" w:cs="Times New Roman"/>
                <w:iCs/>
                <w:sz w:val="28"/>
              </w:rPr>
              <w:t>adicionales</w:t>
            </w:r>
            <w:r w:rsidRPr="00EE2FA1">
              <w:rPr>
                <w:rFonts w:ascii="Times New Roman" w:hAnsi="Times New Roman" w:cs="Times New Roman"/>
                <w:iCs/>
                <w:sz w:val="28"/>
              </w:rPr>
              <w:t>:</w:t>
            </w:r>
            <w:r w:rsidRPr="00EE2FA1">
              <w:rPr>
                <w:rFonts w:ascii="Times New Roman" w:hAnsi="Times New Roman" w:cs="Times New Roman"/>
                <w:iCs/>
                <w:sz w:val="28"/>
              </w:rPr>
              <w:t xml:space="preserve"> Quince por ciento (15%)</w:t>
            </w:r>
          </w:p>
        </w:tc>
        <w:tc>
          <w:tcPr>
            <w:tcW w:w="7513" w:type="dxa"/>
            <w:shd w:val="clear" w:color="auto" w:fill="auto"/>
          </w:tcPr>
          <w:p w:rsidR="007A0F65" w:rsidRPr="00EE2FA1" w:rsidRDefault="00EE2FA1" w:rsidP="007637E4">
            <w:pPr>
              <w:tabs>
                <w:tab w:val="left" w:pos="284"/>
                <w:tab w:val="left" w:pos="426"/>
              </w:tabs>
              <w:ind w:firstLine="34"/>
              <w:jc w:val="both"/>
              <w:rPr>
                <w:rFonts w:ascii="Times New Roman" w:hAnsi="Times New Roman" w:cs="Times New Roman"/>
                <w:iCs/>
                <w:sz w:val="28"/>
              </w:rPr>
            </w:pPr>
            <w:r w:rsidRPr="00EE2FA1">
              <w:rPr>
                <w:rFonts w:ascii="Times New Roman" w:hAnsi="Times New Roman" w:cs="Times New Roman"/>
                <w:iCs/>
                <w:sz w:val="28"/>
              </w:rPr>
              <w:t>Cuando el precio promedio del respectivo año gravable objeto de declaración se encuentre por encima del percentil sesenta (60) de los precios promedio mensuales de los últimos ciento veinte (120) meses, sin incluir el p</w:t>
            </w:r>
            <w:r w:rsidRPr="00EE2FA1">
              <w:rPr>
                <w:rFonts w:ascii="Times New Roman" w:hAnsi="Times New Roman" w:cs="Times New Roman"/>
                <w:iCs/>
                <w:sz w:val="28"/>
              </w:rPr>
              <w:t xml:space="preserve">recio de los meses transcurridos en el año de la declaración. </w:t>
            </w:r>
          </w:p>
        </w:tc>
      </w:tr>
    </w:tbl>
    <w:p w:rsidR="007637E4" w:rsidRPr="00EE2FA1" w:rsidRDefault="00EE2FA1" w:rsidP="007637E4">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7637E4" w:rsidRPr="00EE2FA1" w:rsidRDefault="00EE2FA1" w:rsidP="007637E4">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Para la determinación de los puntos adicionales, la disposición acusada dispone que la Agencia Nacional de Hidrocarburos (ANH) publicará a más tardar, el último día hábil de enero de cada año, mediante resolución, la información correspondiente a los preci</w:t>
      </w:r>
      <w:r w:rsidRPr="00EE2FA1">
        <w:rPr>
          <w:rFonts w:ascii="Times New Roman" w:hAnsi="Times New Roman" w:cs="Times New Roman"/>
          <w:sz w:val="28"/>
          <w:szCs w:val="28"/>
        </w:rPr>
        <w:t>os promedio del año gravable inmediatamente anterior. Además, la norma establece que los puntos adicionales sobre la tarifa del impuesto sobre la renta solo son aplicables a los contribuyentes que en el año gravable correspondiente tengan una renta gravabl</w:t>
      </w:r>
      <w:r w:rsidRPr="00EE2FA1">
        <w:rPr>
          <w:rFonts w:ascii="Times New Roman" w:hAnsi="Times New Roman" w:cs="Times New Roman"/>
          <w:sz w:val="28"/>
          <w:szCs w:val="28"/>
        </w:rPr>
        <w:t xml:space="preserve">e igual o superior a 50.000 UVT. </w:t>
      </w:r>
    </w:p>
    <w:p w:rsidR="007637E4" w:rsidRPr="00EE2FA1" w:rsidRDefault="00EE2FA1" w:rsidP="007637E4">
      <w:pPr>
        <w:pStyle w:val="Prrafodelista"/>
        <w:tabs>
          <w:tab w:val="left" w:pos="426"/>
          <w:tab w:val="left" w:pos="567"/>
        </w:tabs>
        <w:spacing w:line="0" w:lineRule="atLeast"/>
        <w:ind w:left="0"/>
        <w:jc w:val="both"/>
        <w:rPr>
          <w:rFonts w:ascii="Times New Roman" w:hAnsi="Times New Roman" w:cs="Times New Roman"/>
          <w:sz w:val="28"/>
          <w:szCs w:val="28"/>
        </w:rPr>
      </w:pPr>
    </w:p>
    <w:p w:rsidR="007A0F65" w:rsidRPr="00EE2FA1" w:rsidRDefault="00EE2FA1" w:rsidP="007637E4">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 xml:space="preserve">En </w:t>
      </w:r>
      <w:r w:rsidRPr="00EE2FA1">
        <w:rPr>
          <w:rFonts w:ascii="Times New Roman" w:hAnsi="Times New Roman" w:cs="Times New Roman"/>
          <w:sz w:val="28"/>
          <w:szCs w:val="28"/>
        </w:rPr>
        <w:t xml:space="preserve">su intervención, </w:t>
      </w:r>
      <w:r w:rsidRPr="00EE2FA1">
        <w:rPr>
          <w:rFonts w:ascii="Times New Roman" w:hAnsi="Times New Roman" w:cs="Times New Roman"/>
          <w:sz w:val="28"/>
          <w:szCs w:val="28"/>
        </w:rPr>
        <w:t>el Departamento Administrativo de la Presidencia de la República</w:t>
      </w:r>
      <w:r w:rsidRPr="00EE2FA1">
        <w:rPr>
          <w:rStyle w:val="Refdenotaalpie"/>
          <w:rFonts w:ascii="Times New Roman" w:hAnsi="Times New Roman" w:cs="Times New Roman"/>
          <w:sz w:val="28"/>
          <w:szCs w:val="28"/>
        </w:rPr>
        <w:footnoteReference w:id="222"/>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indicó que el parágrafo 3.° del artículo 10 de la Ley 2277 de 2022 prevé de manera clara e inequívoca todos los elementos esenciales </w:t>
      </w:r>
      <w:r w:rsidRPr="00EE2FA1">
        <w:rPr>
          <w:rFonts w:ascii="Times New Roman" w:hAnsi="Times New Roman" w:cs="Times New Roman"/>
          <w:sz w:val="28"/>
          <w:szCs w:val="28"/>
        </w:rPr>
        <w:t>pa</w:t>
      </w:r>
      <w:r w:rsidRPr="00EE2FA1">
        <w:rPr>
          <w:rFonts w:ascii="Times New Roman" w:hAnsi="Times New Roman" w:cs="Times New Roman"/>
          <w:sz w:val="28"/>
          <w:szCs w:val="28"/>
        </w:rPr>
        <w:t>ra la aplicación de la sobretarifa</w:t>
      </w:r>
      <w:r w:rsidRPr="00EE2FA1">
        <w:rPr>
          <w:rFonts w:ascii="Times New Roman" w:hAnsi="Times New Roman" w:cs="Times New Roman"/>
          <w:sz w:val="28"/>
          <w:szCs w:val="28"/>
        </w:rPr>
        <w:t>, los cuales definió como se expone en el siguiente cuadro:</w:t>
      </w:r>
    </w:p>
    <w:p w:rsidR="007A0F65" w:rsidRPr="00EE2FA1" w:rsidRDefault="00EE2FA1" w:rsidP="007A0F65">
      <w:pPr>
        <w:pStyle w:val="Prrafodelista"/>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1241"/>
        <w:gridCol w:w="7968"/>
      </w:tblGrid>
      <w:tr w:rsidR="008F41DE" w:rsidRPr="00EE2FA1" w:rsidTr="00A82351">
        <w:tc>
          <w:tcPr>
            <w:tcW w:w="1241" w:type="dxa"/>
            <w:shd w:val="clear" w:color="auto" w:fill="DEEAF6" w:themeFill="accent1" w:themeFillTint="33"/>
          </w:tcPr>
          <w:p w:rsidR="007A0F65" w:rsidRPr="00EE2FA1" w:rsidRDefault="00EE2FA1" w:rsidP="00F25702">
            <w:pPr>
              <w:pStyle w:val="Sinespaciado"/>
              <w:tabs>
                <w:tab w:val="left" w:pos="360"/>
              </w:tabs>
              <w:spacing w:line="220" w:lineRule="atLeast"/>
              <w:ind w:right="51"/>
              <w:jc w:val="center"/>
              <w:rPr>
                <w:rFonts w:ascii="Times New Roman" w:hAnsi="Times New Roman"/>
                <w:b/>
                <w:bCs/>
                <w:sz w:val="28"/>
              </w:rPr>
            </w:pPr>
            <w:r w:rsidRPr="00EE2FA1">
              <w:rPr>
                <w:rFonts w:ascii="Times New Roman" w:hAnsi="Times New Roman"/>
                <w:b/>
                <w:bCs/>
                <w:sz w:val="28"/>
              </w:rPr>
              <w:t>Elemento</w:t>
            </w:r>
          </w:p>
        </w:tc>
        <w:tc>
          <w:tcPr>
            <w:tcW w:w="7968" w:type="dxa"/>
            <w:shd w:val="clear" w:color="auto" w:fill="DEEAF6" w:themeFill="accent1" w:themeFillTint="33"/>
          </w:tcPr>
          <w:p w:rsidR="007A0F65" w:rsidRPr="00EE2FA1" w:rsidRDefault="00EE2FA1" w:rsidP="00F25702">
            <w:pPr>
              <w:pStyle w:val="Sinespaciado"/>
              <w:tabs>
                <w:tab w:val="left" w:pos="360"/>
              </w:tabs>
              <w:spacing w:line="220" w:lineRule="atLeast"/>
              <w:ind w:right="51"/>
              <w:jc w:val="center"/>
              <w:rPr>
                <w:rFonts w:ascii="Times New Roman" w:hAnsi="Times New Roman"/>
                <w:b/>
                <w:bCs/>
                <w:sz w:val="28"/>
              </w:rPr>
            </w:pPr>
            <w:r w:rsidRPr="00EE2FA1">
              <w:rPr>
                <w:rFonts w:ascii="Times New Roman" w:hAnsi="Times New Roman"/>
                <w:b/>
                <w:bCs/>
                <w:sz w:val="28"/>
              </w:rPr>
              <w:t>Descripción</w:t>
            </w:r>
          </w:p>
        </w:tc>
      </w:tr>
      <w:tr w:rsidR="008F41DE" w:rsidRPr="00EE2FA1" w:rsidTr="00A82351">
        <w:tc>
          <w:tcPr>
            <w:tcW w:w="1241" w:type="dxa"/>
            <w:vAlign w:val="center"/>
          </w:tcPr>
          <w:p w:rsidR="007A0F65" w:rsidRPr="00EE2FA1" w:rsidRDefault="00EE2FA1" w:rsidP="00F25702">
            <w:pPr>
              <w:pStyle w:val="Sinespaciado"/>
              <w:tabs>
                <w:tab w:val="left" w:pos="360"/>
              </w:tabs>
              <w:spacing w:line="220" w:lineRule="atLeast"/>
              <w:ind w:right="51"/>
              <w:jc w:val="center"/>
              <w:rPr>
                <w:rFonts w:ascii="Times New Roman" w:hAnsi="Times New Roman"/>
                <w:sz w:val="28"/>
              </w:rPr>
            </w:pPr>
            <w:r w:rsidRPr="00EE2FA1">
              <w:rPr>
                <w:rFonts w:ascii="Times New Roman" w:hAnsi="Times New Roman"/>
                <w:sz w:val="28"/>
              </w:rPr>
              <w:t>Sujetos pasivos</w:t>
            </w:r>
          </w:p>
        </w:tc>
        <w:tc>
          <w:tcPr>
            <w:tcW w:w="7968" w:type="dxa"/>
          </w:tcPr>
          <w:p w:rsidR="007A0F65" w:rsidRPr="00EE2FA1" w:rsidRDefault="00EE2FA1" w:rsidP="00F25702">
            <w:pPr>
              <w:pStyle w:val="Sinespaciado"/>
              <w:tabs>
                <w:tab w:val="left" w:pos="360"/>
              </w:tabs>
              <w:spacing w:line="220" w:lineRule="atLeast"/>
              <w:ind w:right="51"/>
              <w:jc w:val="both"/>
              <w:rPr>
                <w:rFonts w:ascii="Times New Roman" w:hAnsi="Times New Roman"/>
                <w:sz w:val="28"/>
              </w:rPr>
            </w:pPr>
            <w:r w:rsidRPr="00EE2FA1">
              <w:rPr>
                <w:rFonts w:ascii="Times New Roman" w:hAnsi="Times New Roman"/>
                <w:sz w:val="28"/>
              </w:rPr>
              <w:t xml:space="preserve">Las sociedades nacionales y sus asimiladas, los establecimientos permanentes de entidades del exterior y las personas </w:t>
            </w:r>
            <w:r w:rsidRPr="00EE2FA1">
              <w:rPr>
                <w:rFonts w:ascii="Times New Roman" w:hAnsi="Times New Roman"/>
                <w:sz w:val="28"/>
              </w:rPr>
              <w:t>jurídicas extranjeras con o sin residencia en el país, que realicen actividades de extracción de petróleo crudo, y que en el año gravable correspondiente, tengan una renta gravable igual o superior a 50.000 UVT.</w:t>
            </w:r>
          </w:p>
        </w:tc>
      </w:tr>
      <w:tr w:rsidR="008F41DE" w:rsidRPr="00EE2FA1" w:rsidTr="00A82351">
        <w:tc>
          <w:tcPr>
            <w:tcW w:w="1241" w:type="dxa"/>
            <w:vAlign w:val="center"/>
          </w:tcPr>
          <w:p w:rsidR="007A0F65" w:rsidRPr="00EE2FA1" w:rsidRDefault="00EE2FA1" w:rsidP="00F25702">
            <w:pPr>
              <w:pStyle w:val="Sinespaciado"/>
              <w:tabs>
                <w:tab w:val="left" w:pos="360"/>
              </w:tabs>
              <w:spacing w:line="220" w:lineRule="atLeast"/>
              <w:ind w:right="51"/>
              <w:jc w:val="center"/>
              <w:rPr>
                <w:rFonts w:ascii="Times New Roman" w:hAnsi="Times New Roman"/>
                <w:sz w:val="28"/>
              </w:rPr>
            </w:pPr>
            <w:r w:rsidRPr="00EE2FA1">
              <w:rPr>
                <w:rFonts w:ascii="Times New Roman" w:hAnsi="Times New Roman"/>
                <w:sz w:val="28"/>
              </w:rPr>
              <w:t>Base gravable</w:t>
            </w:r>
          </w:p>
        </w:tc>
        <w:tc>
          <w:tcPr>
            <w:tcW w:w="7968" w:type="dxa"/>
          </w:tcPr>
          <w:p w:rsidR="007A0F65" w:rsidRPr="00EE2FA1" w:rsidRDefault="00EE2FA1" w:rsidP="00F25702">
            <w:pPr>
              <w:pStyle w:val="Sinespaciado"/>
              <w:tabs>
                <w:tab w:val="left" w:pos="360"/>
              </w:tabs>
              <w:spacing w:line="220" w:lineRule="atLeast"/>
              <w:ind w:right="51"/>
              <w:jc w:val="both"/>
              <w:rPr>
                <w:rFonts w:ascii="Times New Roman" w:hAnsi="Times New Roman"/>
                <w:sz w:val="28"/>
              </w:rPr>
            </w:pPr>
            <w:r w:rsidRPr="00EE2FA1">
              <w:rPr>
                <w:rFonts w:ascii="Times New Roman" w:hAnsi="Times New Roman"/>
                <w:sz w:val="28"/>
              </w:rPr>
              <w:t xml:space="preserve">La renta líquida gravable, </w:t>
            </w:r>
            <w:r w:rsidRPr="00EE2FA1">
              <w:rPr>
                <w:rFonts w:ascii="Times New Roman" w:hAnsi="Times New Roman"/>
                <w:sz w:val="28"/>
              </w:rPr>
              <w:t>excluyendo la porción de las utilidades que se derive de la extracción de gas natural (en los casos que ello aplique).</w:t>
            </w:r>
          </w:p>
        </w:tc>
      </w:tr>
      <w:tr w:rsidR="008F41DE" w:rsidRPr="00EE2FA1" w:rsidTr="00A82351">
        <w:tc>
          <w:tcPr>
            <w:tcW w:w="1241" w:type="dxa"/>
            <w:vAlign w:val="center"/>
          </w:tcPr>
          <w:p w:rsidR="007A0F65" w:rsidRPr="00EE2FA1" w:rsidRDefault="00EE2FA1" w:rsidP="00F25702">
            <w:pPr>
              <w:pStyle w:val="Sinespaciado"/>
              <w:tabs>
                <w:tab w:val="left" w:pos="360"/>
              </w:tabs>
              <w:spacing w:line="220" w:lineRule="atLeast"/>
              <w:ind w:right="51"/>
              <w:jc w:val="center"/>
              <w:rPr>
                <w:rFonts w:ascii="Times New Roman" w:hAnsi="Times New Roman"/>
                <w:sz w:val="28"/>
              </w:rPr>
            </w:pPr>
            <w:r w:rsidRPr="00EE2FA1">
              <w:rPr>
                <w:rFonts w:ascii="Times New Roman" w:hAnsi="Times New Roman"/>
                <w:sz w:val="28"/>
              </w:rPr>
              <w:t>Tarifa</w:t>
            </w:r>
          </w:p>
        </w:tc>
        <w:tc>
          <w:tcPr>
            <w:tcW w:w="7968" w:type="dxa"/>
          </w:tcPr>
          <w:p w:rsidR="007A0F65" w:rsidRPr="00EE2FA1" w:rsidRDefault="00EE2FA1" w:rsidP="00F25702">
            <w:pPr>
              <w:pStyle w:val="Sinespaciado"/>
              <w:tabs>
                <w:tab w:val="left" w:pos="360"/>
              </w:tabs>
              <w:spacing w:line="220" w:lineRule="atLeast"/>
              <w:ind w:right="51"/>
              <w:jc w:val="both"/>
              <w:rPr>
                <w:rFonts w:ascii="Times New Roman" w:hAnsi="Times New Roman"/>
                <w:sz w:val="28"/>
              </w:rPr>
            </w:pPr>
            <w:r w:rsidRPr="00EE2FA1">
              <w:rPr>
                <w:rFonts w:ascii="Times New Roman" w:hAnsi="Times New Roman"/>
                <w:sz w:val="28"/>
              </w:rPr>
              <w:t xml:space="preserve">Corresponde a un incremento del 0%, 5%, 10% o 15% de la tarifa general, según el cumplimiento de las condiciones previstas en la </w:t>
            </w:r>
            <w:r w:rsidRPr="00EE2FA1">
              <w:rPr>
                <w:rFonts w:ascii="Times New Roman" w:hAnsi="Times New Roman"/>
                <w:sz w:val="28"/>
              </w:rPr>
              <w:t>disposición.</w:t>
            </w:r>
          </w:p>
        </w:tc>
      </w:tr>
    </w:tbl>
    <w:p w:rsidR="007A0F65" w:rsidRPr="00EE2FA1" w:rsidRDefault="00EE2FA1" w:rsidP="007A0F65">
      <w:pPr>
        <w:rPr>
          <w:rFonts w:ascii="Times New Roman" w:hAnsi="Times New Roman" w:cs="Times New Roman"/>
          <w:sz w:val="28"/>
        </w:rPr>
      </w:pPr>
    </w:p>
    <w:p w:rsidR="007A0F65" w:rsidRPr="00EE2FA1" w:rsidRDefault="00EE2FA1" w:rsidP="007637E4">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rPr>
        <w:t>L</w:t>
      </w:r>
      <w:r w:rsidRPr="00EE2FA1">
        <w:rPr>
          <w:rFonts w:ascii="Times New Roman" w:hAnsi="Times New Roman" w:cs="Times New Roman"/>
          <w:sz w:val="28"/>
          <w:szCs w:val="28"/>
        </w:rPr>
        <w:t>a DIAN</w:t>
      </w:r>
      <w:r w:rsidRPr="00EE2FA1">
        <w:rPr>
          <w:rStyle w:val="Refdenotaalpie"/>
          <w:rFonts w:ascii="Times New Roman" w:hAnsi="Times New Roman" w:cs="Times New Roman"/>
          <w:sz w:val="28"/>
          <w:szCs w:val="28"/>
        </w:rPr>
        <w:footnoteReference w:id="223"/>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expuso</w:t>
      </w:r>
      <w:r w:rsidRPr="00EE2FA1">
        <w:rPr>
          <w:rFonts w:ascii="Times New Roman" w:hAnsi="Times New Roman" w:cs="Times New Roman"/>
          <w:sz w:val="28"/>
          <w:szCs w:val="28"/>
        </w:rPr>
        <w:t xml:space="preserve"> que la tarifa adicional dependerá del precio promedio internacional del producto de la actividad gravada (petróleo crudo), de conformidad con la metodología señalada para el efecto por el legislador</w:t>
      </w:r>
      <w:r w:rsidRPr="00EE2FA1">
        <w:rPr>
          <w:rStyle w:val="Refdenotaalpie"/>
          <w:rFonts w:ascii="Times New Roman" w:hAnsi="Times New Roman" w:cs="Times New Roman"/>
          <w:sz w:val="28"/>
          <w:szCs w:val="28"/>
        </w:rPr>
        <w:footnoteReference w:id="224"/>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En cuanto a la metodolog</w:t>
      </w:r>
      <w:r w:rsidRPr="00EE2FA1">
        <w:rPr>
          <w:rFonts w:ascii="Times New Roman" w:hAnsi="Times New Roman" w:cs="Times New Roman"/>
          <w:sz w:val="28"/>
          <w:szCs w:val="28"/>
        </w:rPr>
        <w:t>ía para la determinación de los puntos adicionales sobre el impuesto de renta, el Ministerio de Hacienda y Crédito Público indicó que antes del último día hábil de enero de 2024, la ANH expedirá una resolución con la siguiente información</w:t>
      </w:r>
      <w:r w:rsidRPr="00EE2FA1">
        <w:rPr>
          <w:rStyle w:val="Refdenotaalpie"/>
          <w:rFonts w:ascii="Times New Roman" w:hAnsi="Times New Roman" w:cs="Times New Roman"/>
          <w:sz w:val="28"/>
          <w:szCs w:val="28"/>
        </w:rPr>
        <w:footnoteReference w:id="225"/>
      </w:r>
      <w:r w:rsidRPr="00EE2FA1">
        <w:rPr>
          <w:rFonts w:ascii="Times New Roman" w:hAnsi="Times New Roman" w:cs="Times New Roman"/>
          <w:sz w:val="28"/>
          <w:szCs w:val="28"/>
        </w:rPr>
        <w:t>:</w:t>
      </w:r>
    </w:p>
    <w:p w:rsidR="007A0F65" w:rsidRPr="00EE2FA1" w:rsidRDefault="00EE2FA1" w:rsidP="007A0F65">
      <w:pPr>
        <w:pStyle w:val="Prrafodelista"/>
        <w:rPr>
          <w:rFonts w:ascii="Times New Roman" w:hAnsi="Times New Roman" w:cs="Times New Roman"/>
          <w:sz w:val="28"/>
          <w:szCs w:val="28"/>
        </w:rPr>
      </w:pPr>
    </w:p>
    <w:p w:rsidR="007A0F65" w:rsidRPr="00EE2FA1" w:rsidRDefault="00EE2FA1" w:rsidP="00AD67C7">
      <w:pPr>
        <w:pStyle w:val="Sinespaciado"/>
        <w:numPr>
          <w:ilvl w:val="0"/>
          <w:numId w:val="7"/>
        </w:numPr>
        <w:spacing w:line="220" w:lineRule="atLeast"/>
        <w:ind w:left="0" w:right="51" w:firstLine="0"/>
        <w:jc w:val="both"/>
        <w:rPr>
          <w:rFonts w:ascii="Times New Roman" w:hAnsi="Times New Roman"/>
          <w:sz w:val="28"/>
          <w:szCs w:val="28"/>
        </w:rPr>
      </w:pPr>
      <w:r w:rsidRPr="00EE2FA1">
        <w:rPr>
          <w:rFonts w:ascii="Times New Roman" w:hAnsi="Times New Roman"/>
          <w:sz w:val="28"/>
          <w:szCs w:val="28"/>
        </w:rPr>
        <w:t xml:space="preserve">Los precios </w:t>
      </w:r>
      <w:r w:rsidRPr="00EE2FA1">
        <w:rPr>
          <w:rFonts w:ascii="Times New Roman" w:hAnsi="Times New Roman"/>
          <w:sz w:val="28"/>
          <w:szCs w:val="28"/>
        </w:rPr>
        <w:t>promedio del año gravable 2023. Este promedio corresponde a sumar los valores del precio del petróleo crudo de referencia Brent para cada uno de los 12 meses y dividirlo en el número de meses (12). El valor resultante de la operación anterior debe dividirs</w:t>
      </w:r>
      <w:r w:rsidRPr="00EE2FA1">
        <w:rPr>
          <w:rFonts w:ascii="Times New Roman" w:hAnsi="Times New Roman"/>
          <w:sz w:val="28"/>
          <w:szCs w:val="28"/>
        </w:rPr>
        <w:t>e en el Índice de Precios al Consumidor (IPC) para todos los consumidores urbanos de Estados Unidos con base 100 en diciembre de 2022, teniendo como fuente de información la Oficina de Estadísticas Laborales de dicho país.</w:t>
      </w:r>
    </w:p>
    <w:p w:rsidR="007A0F65" w:rsidRPr="00EE2FA1" w:rsidRDefault="00EE2FA1" w:rsidP="00AD67C7">
      <w:pPr>
        <w:pStyle w:val="Sinespaciado"/>
        <w:spacing w:line="220" w:lineRule="atLeast"/>
        <w:ind w:right="51"/>
        <w:jc w:val="both"/>
        <w:rPr>
          <w:rFonts w:ascii="Times New Roman" w:hAnsi="Times New Roman"/>
          <w:sz w:val="28"/>
          <w:szCs w:val="28"/>
        </w:rPr>
      </w:pPr>
    </w:p>
    <w:p w:rsidR="007A0F65" w:rsidRPr="00EE2FA1" w:rsidRDefault="00EE2FA1" w:rsidP="00AD67C7">
      <w:pPr>
        <w:pStyle w:val="Sinespaciado"/>
        <w:numPr>
          <w:ilvl w:val="0"/>
          <w:numId w:val="7"/>
        </w:numPr>
        <w:spacing w:line="220" w:lineRule="atLeast"/>
        <w:ind w:left="0" w:right="51" w:firstLine="0"/>
        <w:jc w:val="both"/>
        <w:rPr>
          <w:rFonts w:ascii="Times New Roman" w:hAnsi="Times New Roman"/>
          <w:sz w:val="28"/>
          <w:szCs w:val="28"/>
        </w:rPr>
      </w:pPr>
      <w:r w:rsidRPr="00EE2FA1">
        <w:rPr>
          <w:rFonts w:ascii="Times New Roman" w:hAnsi="Times New Roman"/>
          <w:sz w:val="28"/>
          <w:szCs w:val="28"/>
        </w:rPr>
        <w:t>Los percentiles de los precios h</w:t>
      </w:r>
      <w:r w:rsidRPr="00EE2FA1">
        <w:rPr>
          <w:rFonts w:ascii="Times New Roman" w:hAnsi="Times New Roman"/>
          <w:sz w:val="28"/>
          <w:szCs w:val="28"/>
        </w:rPr>
        <w:t>istóricos que permitirán determinar cuál es el valor de la sobretasa. Contendrá una serie de los últimos 120 meses del precio internacional del petróleo Brent</w:t>
      </w:r>
      <w:r w:rsidRPr="00EE2FA1">
        <w:rPr>
          <w:rFonts w:ascii="Times New Roman" w:hAnsi="Times New Roman"/>
          <w:sz w:val="28"/>
          <w:szCs w:val="28"/>
        </w:rPr>
        <w:t>,</w:t>
      </w:r>
      <w:r w:rsidRPr="00EE2FA1">
        <w:rPr>
          <w:rFonts w:ascii="Times New Roman" w:hAnsi="Times New Roman"/>
          <w:sz w:val="28"/>
          <w:szCs w:val="28"/>
        </w:rPr>
        <w:t xml:space="preserve"> sin incluir el año de la declaración (desde enero de 2013 hasta diciembre de </w:t>
      </w:r>
      <w:r w:rsidRPr="00EE2FA1">
        <w:rPr>
          <w:rFonts w:ascii="Times New Roman" w:hAnsi="Times New Roman"/>
          <w:sz w:val="28"/>
          <w:szCs w:val="28"/>
        </w:rPr>
        <w:t>2023</w:t>
      </w:r>
      <w:r w:rsidRPr="00EE2FA1">
        <w:rPr>
          <w:rFonts w:ascii="Times New Roman" w:hAnsi="Times New Roman"/>
          <w:sz w:val="28"/>
          <w:szCs w:val="28"/>
        </w:rPr>
        <w:t>). La serie deb</w:t>
      </w:r>
      <w:r w:rsidRPr="00EE2FA1">
        <w:rPr>
          <w:rFonts w:ascii="Times New Roman" w:hAnsi="Times New Roman"/>
          <w:sz w:val="28"/>
          <w:szCs w:val="28"/>
        </w:rPr>
        <w:t>e deflactarse con el Índice de Precios al Consumidor (IPC) para todos los consumidores urbanos de Estados Unidos con base 100 en diciembre de 2022, teniendo como fuente de información la Oficina de Estadísticas Laborales de dicho país. Es fundamental que e</w:t>
      </w:r>
      <w:r w:rsidRPr="00EE2FA1">
        <w:rPr>
          <w:rFonts w:ascii="Times New Roman" w:hAnsi="Times New Roman"/>
          <w:sz w:val="28"/>
          <w:szCs w:val="28"/>
        </w:rPr>
        <w:t>l periodo base usado para deflactar esta serie de precios, sea el mismo que se usa en el paso anterior. La serie deflactada se organiza de menor a mayor.</w:t>
      </w:r>
    </w:p>
    <w:p w:rsidR="007A0F65" w:rsidRPr="00EE2FA1" w:rsidRDefault="00EE2FA1" w:rsidP="00AD67C7">
      <w:pPr>
        <w:pStyle w:val="Prrafodelista"/>
        <w:ind w:left="0"/>
        <w:rPr>
          <w:rFonts w:ascii="Times New Roman" w:hAnsi="Times New Roman" w:cs="Times New Roman"/>
          <w:sz w:val="28"/>
          <w:szCs w:val="28"/>
        </w:rPr>
      </w:pPr>
    </w:p>
    <w:p w:rsidR="007A0F65" w:rsidRPr="00EE2FA1" w:rsidRDefault="00EE2FA1" w:rsidP="00AD67C7">
      <w:pPr>
        <w:pStyle w:val="Sinespaciado"/>
        <w:spacing w:line="220" w:lineRule="atLeast"/>
        <w:ind w:right="51"/>
        <w:jc w:val="both"/>
        <w:rPr>
          <w:rFonts w:ascii="Times New Roman" w:hAnsi="Times New Roman"/>
          <w:sz w:val="28"/>
          <w:szCs w:val="28"/>
        </w:rPr>
      </w:pPr>
      <w:r w:rsidRPr="00EE2FA1">
        <w:rPr>
          <w:rFonts w:ascii="Times New Roman" w:hAnsi="Times New Roman"/>
          <w:sz w:val="28"/>
          <w:szCs w:val="28"/>
        </w:rPr>
        <w:t>Para el cálculo del percentil 30 se debe tomar el número de observaciones (120), multiplicarlo por el</w:t>
      </w:r>
      <w:r w:rsidRPr="00EE2FA1">
        <w:rPr>
          <w:rFonts w:ascii="Times New Roman" w:hAnsi="Times New Roman"/>
          <w:sz w:val="28"/>
          <w:szCs w:val="28"/>
        </w:rPr>
        <w:t xml:space="preserve"> percentil (30) y el resultado dividirlo en 100. El resultado de la operación anterior es 36, por lo que se debe buscar el valor que se encuentra en esa posición dentro de la serie organizada de menor a mayor y este sería el valor del percentil 30. El proc</w:t>
      </w:r>
      <w:r w:rsidRPr="00EE2FA1">
        <w:rPr>
          <w:rFonts w:ascii="Times New Roman" w:hAnsi="Times New Roman"/>
          <w:sz w:val="28"/>
          <w:szCs w:val="28"/>
        </w:rPr>
        <w:t>edimiento anterior se repite para cada uno de los percentiles que se desea calcular, que en el caso del petróleo crudo son los percentiles 30, 45 y 60.</w:t>
      </w:r>
    </w:p>
    <w:p w:rsidR="007A0F65" w:rsidRPr="00EE2FA1" w:rsidRDefault="00EE2FA1" w:rsidP="00AD67C7">
      <w:pPr>
        <w:pStyle w:val="Sinespaciado"/>
        <w:spacing w:line="220" w:lineRule="atLeast"/>
        <w:ind w:right="51"/>
        <w:jc w:val="both"/>
        <w:rPr>
          <w:rFonts w:ascii="Times New Roman" w:hAnsi="Times New Roman"/>
          <w:sz w:val="28"/>
          <w:szCs w:val="28"/>
        </w:rPr>
      </w:pPr>
    </w:p>
    <w:p w:rsidR="007A0F65" w:rsidRPr="00EE2FA1" w:rsidRDefault="00EE2FA1" w:rsidP="00AD67C7">
      <w:pPr>
        <w:pStyle w:val="Sinespaciado"/>
        <w:spacing w:line="220" w:lineRule="atLeast"/>
        <w:ind w:right="51"/>
        <w:jc w:val="both"/>
        <w:rPr>
          <w:rFonts w:ascii="Times New Roman" w:hAnsi="Times New Roman"/>
          <w:sz w:val="28"/>
          <w:szCs w:val="28"/>
        </w:rPr>
      </w:pPr>
      <w:r w:rsidRPr="00EE2FA1">
        <w:rPr>
          <w:rFonts w:ascii="Times New Roman" w:hAnsi="Times New Roman"/>
          <w:sz w:val="28"/>
          <w:szCs w:val="28"/>
        </w:rPr>
        <w:t>El valor obtenido en el paso</w:t>
      </w:r>
      <w:r w:rsidRPr="00EE2FA1">
        <w:rPr>
          <w:rFonts w:ascii="Times New Roman" w:hAnsi="Times New Roman"/>
          <w:sz w:val="28"/>
          <w:szCs w:val="28"/>
        </w:rPr>
        <w:t xml:space="preserve"> anterior</w:t>
      </w:r>
      <w:r w:rsidRPr="00EE2FA1">
        <w:rPr>
          <w:rFonts w:ascii="Times New Roman" w:hAnsi="Times New Roman"/>
          <w:sz w:val="28"/>
          <w:szCs w:val="28"/>
        </w:rPr>
        <w:t xml:space="preserve"> (i) se compara con el de los percentiles 30, 45 y 60 -paso (ii)-.</w:t>
      </w:r>
      <w:r w:rsidRPr="00EE2FA1">
        <w:rPr>
          <w:rFonts w:ascii="Times New Roman" w:hAnsi="Times New Roman"/>
          <w:sz w:val="28"/>
          <w:szCs w:val="28"/>
        </w:rPr>
        <w:t xml:space="preserve"> Si el valor promedio de 2023 está por debajo del percentil 30, los puntos adicionales serían de 0%; si dicho valor se encuentra entre el percentil 30 y 45 el incremento de la tarifa será de 5%; si se encuentra entre el percentil 45 y 60, será de 10%; y, p</w:t>
      </w:r>
      <w:r w:rsidRPr="00EE2FA1">
        <w:rPr>
          <w:rFonts w:ascii="Times New Roman" w:hAnsi="Times New Roman"/>
          <w:sz w:val="28"/>
          <w:szCs w:val="28"/>
        </w:rPr>
        <w:t>or último, un valor por encima del percentil 60 genera un incremento del 15% en la tarifa.</w:t>
      </w:r>
    </w:p>
    <w:p w:rsidR="00FE3DFE" w:rsidRPr="00EE2FA1" w:rsidRDefault="00EE2FA1" w:rsidP="00AD67C7">
      <w:pPr>
        <w:pStyle w:val="Sinespaciado"/>
        <w:spacing w:line="220" w:lineRule="atLeast"/>
        <w:ind w:right="51"/>
        <w:jc w:val="both"/>
        <w:rPr>
          <w:rFonts w:ascii="Times New Roman" w:hAnsi="Times New Roman"/>
          <w:sz w:val="28"/>
          <w:szCs w:val="28"/>
        </w:rPr>
      </w:pPr>
    </w:p>
    <w:p w:rsidR="00416B07" w:rsidRPr="00EE2FA1" w:rsidRDefault="00EE2FA1" w:rsidP="00416B07">
      <w:pPr>
        <w:pStyle w:val="Sinespaciado"/>
        <w:numPr>
          <w:ilvl w:val="0"/>
          <w:numId w:val="1"/>
        </w:numPr>
        <w:spacing w:line="220" w:lineRule="atLeast"/>
        <w:ind w:left="0" w:right="51" w:firstLine="0"/>
        <w:jc w:val="both"/>
        <w:rPr>
          <w:rFonts w:ascii="Times New Roman" w:hAnsi="Times New Roman"/>
          <w:sz w:val="28"/>
          <w:szCs w:val="28"/>
        </w:rPr>
      </w:pPr>
      <w:r w:rsidRPr="00EE2FA1">
        <w:rPr>
          <w:rFonts w:ascii="Times New Roman" w:hAnsi="Times New Roman"/>
          <w:color w:val="000000"/>
          <w:sz w:val="28"/>
          <w:szCs w:val="28"/>
          <w:lang w:val="es-MX"/>
        </w:rPr>
        <w:t xml:space="preserve">La Sala considera que </w:t>
      </w:r>
      <w:r w:rsidRPr="00EE2FA1">
        <w:rPr>
          <w:rFonts w:ascii="Times New Roman" w:hAnsi="Times New Roman"/>
          <w:color w:val="000000"/>
          <w:sz w:val="28"/>
          <w:szCs w:val="28"/>
          <w:lang w:val="es-MX"/>
        </w:rPr>
        <w:t>este tipo de medidas si bien no son nuevas en Colombia, tampoco lo son en otros países y tiene</w:t>
      </w:r>
      <w:r w:rsidRPr="00EE2FA1">
        <w:rPr>
          <w:rFonts w:ascii="Times New Roman" w:hAnsi="Times New Roman"/>
          <w:color w:val="000000"/>
          <w:sz w:val="28"/>
          <w:szCs w:val="28"/>
          <w:lang w:val="es-MX"/>
        </w:rPr>
        <w:t>n</w:t>
      </w:r>
      <w:r w:rsidRPr="00EE2FA1">
        <w:rPr>
          <w:rFonts w:ascii="Times New Roman" w:hAnsi="Times New Roman"/>
          <w:color w:val="000000"/>
          <w:sz w:val="28"/>
          <w:szCs w:val="28"/>
          <w:lang w:val="es-MX"/>
        </w:rPr>
        <w:t xml:space="preserve"> un propósito válido sin vulnerar</w:t>
      </w:r>
      <w:r w:rsidRPr="00EE2FA1">
        <w:rPr>
          <w:rFonts w:ascii="Times New Roman" w:hAnsi="Times New Roman"/>
          <w:color w:val="000000"/>
          <w:sz w:val="28"/>
          <w:szCs w:val="28"/>
          <w:lang w:val="es-MX"/>
        </w:rPr>
        <w:t xml:space="preserve"> </w:t>
      </w:r>
      <w:r w:rsidRPr="00EE2FA1">
        <w:rPr>
          <w:rFonts w:ascii="Times New Roman" w:hAnsi="Times New Roman"/>
          <w:i/>
          <w:iCs/>
          <w:color w:val="000000"/>
          <w:sz w:val="28"/>
          <w:szCs w:val="28"/>
          <w:lang w:val="es-MX"/>
        </w:rPr>
        <w:t>per se</w:t>
      </w:r>
      <w:r w:rsidRPr="00EE2FA1">
        <w:rPr>
          <w:rFonts w:ascii="Times New Roman" w:hAnsi="Times New Roman"/>
          <w:color w:val="000000"/>
          <w:sz w:val="28"/>
          <w:szCs w:val="28"/>
          <w:lang w:val="es-MX"/>
        </w:rPr>
        <w:t xml:space="preserve"> principios constitucionales.</w:t>
      </w:r>
    </w:p>
    <w:p w:rsidR="00416B07" w:rsidRPr="00EE2FA1" w:rsidRDefault="00EE2FA1" w:rsidP="00416B07">
      <w:pPr>
        <w:pStyle w:val="Sinespaciado"/>
        <w:spacing w:line="220" w:lineRule="atLeast"/>
        <w:ind w:right="51"/>
        <w:jc w:val="both"/>
        <w:rPr>
          <w:rFonts w:ascii="Times New Roman" w:hAnsi="Times New Roman"/>
          <w:sz w:val="28"/>
          <w:szCs w:val="28"/>
        </w:rPr>
      </w:pPr>
    </w:p>
    <w:p w:rsidR="00416B07" w:rsidRPr="00EE2FA1" w:rsidRDefault="00EE2FA1" w:rsidP="00207DEC">
      <w:pPr>
        <w:pStyle w:val="Sinespaciado"/>
        <w:numPr>
          <w:ilvl w:val="0"/>
          <w:numId w:val="1"/>
        </w:numPr>
        <w:spacing w:line="220" w:lineRule="atLeast"/>
        <w:ind w:left="0" w:right="51" w:firstLine="0"/>
        <w:jc w:val="both"/>
        <w:rPr>
          <w:rFonts w:ascii="Times New Roman" w:hAnsi="Times New Roman"/>
          <w:sz w:val="28"/>
          <w:szCs w:val="28"/>
        </w:rPr>
      </w:pPr>
      <w:r w:rsidRPr="00EE2FA1">
        <w:rPr>
          <w:rFonts w:ascii="Times New Roman" w:hAnsi="Times New Roman"/>
          <w:color w:val="000000"/>
          <w:sz w:val="28"/>
          <w:szCs w:val="28"/>
          <w:lang w:val="es-MX"/>
        </w:rPr>
        <w:t xml:space="preserve">Esta sobretarifa de </w:t>
      </w:r>
      <w:r w:rsidRPr="00EE2FA1">
        <w:rPr>
          <w:rFonts w:ascii="Times New Roman" w:hAnsi="Times New Roman"/>
          <w:color w:val="000000"/>
          <w:sz w:val="28"/>
          <w:szCs w:val="28"/>
          <w:lang w:val="es-MX"/>
        </w:rPr>
        <w:t xml:space="preserve">impuesto tiene como finalidad que las empresas que se benefician de precios altos en el mercado internacional contribuyan de manera equitativa al financiamiento de los gastos públicos, redistribuyendo así </w:t>
      </w:r>
      <w:r w:rsidRPr="00EE2FA1">
        <w:rPr>
          <w:rFonts w:ascii="Times New Roman" w:hAnsi="Times New Roman"/>
          <w:color w:val="000000"/>
          <w:sz w:val="28"/>
          <w:szCs w:val="28"/>
          <w:lang w:val="es-MX"/>
        </w:rPr>
        <w:t xml:space="preserve">las ganancias extraordinarias y promoviendo la justicia tributaria. </w:t>
      </w:r>
      <w:r w:rsidRPr="00EE2FA1">
        <w:rPr>
          <w:rFonts w:ascii="Times New Roman" w:hAnsi="Times New Roman"/>
          <w:color w:val="000000"/>
          <w:sz w:val="28"/>
          <w:szCs w:val="28"/>
          <w:lang w:val="es-MX"/>
        </w:rPr>
        <w:t xml:space="preserve">Dicho </w:t>
      </w:r>
      <w:r w:rsidRPr="00EE2FA1">
        <w:rPr>
          <w:rFonts w:ascii="Times New Roman" w:hAnsi="Times New Roman"/>
          <w:color w:val="000000"/>
          <w:sz w:val="28"/>
          <w:szCs w:val="28"/>
          <w:lang w:val="es-MX"/>
        </w:rPr>
        <w:t xml:space="preserve">enfoque es similar al adoptado en otros países, como España, </w:t>
      </w:r>
      <w:r w:rsidRPr="00EE2FA1">
        <w:rPr>
          <w:rFonts w:ascii="Times New Roman" w:hAnsi="Times New Roman"/>
          <w:color w:val="000000"/>
          <w:sz w:val="28"/>
          <w:szCs w:val="28"/>
          <w:lang w:val="es-MX"/>
        </w:rPr>
        <w:t xml:space="preserve">en </w:t>
      </w:r>
      <w:r w:rsidRPr="00EE2FA1">
        <w:rPr>
          <w:rFonts w:ascii="Times New Roman" w:hAnsi="Times New Roman"/>
          <w:color w:val="000000"/>
          <w:sz w:val="28"/>
          <w:szCs w:val="28"/>
          <w:lang w:val="es-MX"/>
        </w:rPr>
        <w:t xml:space="preserve">donde se implementan </w:t>
      </w:r>
      <w:r w:rsidRPr="00EE2FA1">
        <w:rPr>
          <w:rFonts w:ascii="Times New Roman" w:hAnsi="Times New Roman"/>
          <w:color w:val="000000"/>
          <w:sz w:val="28"/>
          <w:szCs w:val="28"/>
          <w:lang w:val="es-MX"/>
        </w:rPr>
        <w:t>medidas tributarias</w:t>
      </w:r>
      <w:r w:rsidRPr="00EE2FA1">
        <w:rPr>
          <w:rFonts w:ascii="Times New Roman" w:hAnsi="Times New Roman"/>
          <w:color w:val="000000"/>
          <w:sz w:val="28"/>
          <w:szCs w:val="28"/>
          <w:lang w:val="es-MX"/>
        </w:rPr>
        <w:t xml:space="preserve"> extraordinari</w:t>
      </w:r>
      <w:r w:rsidRPr="00EE2FA1">
        <w:rPr>
          <w:rFonts w:ascii="Times New Roman" w:hAnsi="Times New Roman"/>
          <w:color w:val="000000"/>
          <w:sz w:val="28"/>
          <w:szCs w:val="28"/>
          <w:lang w:val="es-MX"/>
        </w:rPr>
        <w:t>a</w:t>
      </w:r>
      <w:r w:rsidRPr="00EE2FA1">
        <w:rPr>
          <w:rFonts w:ascii="Times New Roman" w:hAnsi="Times New Roman"/>
          <w:color w:val="000000"/>
          <w:sz w:val="28"/>
          <w:szCs w:val="28"/>
          <w:lang w:val="es-MX"/>
        </w:rPr>
        <w:t>s sobre beneficios para sectores específicos que obtienen ganan</w:t>
      </w:r>
      <w:r w:rsidRPr="00EE2FA1">
        <w:rPr>
          <w:rFonts w:ascii="Times New Roman" w:hAnsi="Times New Roman"/>
          <w:color w:val="000000"/>
          <w:sz w:val="28"/>
          <w:szCs w:val="28"/>
          <w:lang w:val="es-MX"/>
        </w:rPr>
        <w:t>cias significativas debido a condiciones favorables del mercado.</w:t>
      </w:r>
      <w:r w:rsidRPr="00EE2FA1">
        <w:rPr>
          <w:rFonts w:ascii="Times New Roman" w:hAnsi="Times New Roman"/>
          <w:color w:val="000000"/>
          <w:sz w:val="28"/>
          <w:szCs w:val="28"/>
          <w:lang w:val="es-MX"/>
        </w:rPr>
        <w:t xml:space="preserve"> </w:t>
      </w:r>
      <w:r w:rsidRPr="00EE2FA1">
        <w:rPr>
          <w:rFonts w:ascii="Times New Roman" w:hAnsi="Times New Roman"/>
          <w:sz w:val="28"/>
          <w:szCs w:val="28"/>
        </w:rPr>
        <w:t>P</w:t>
      </w:r>
      <w:r w:rsidRPr="00EE2FA1">
        <w:rPr>
          <w:rFonts w:ascii="Times New Roman" w:hAnsi="Times New Roman"/>
          <w:sz w:val="28"/>
          <w:szCs w:val="28"/>
        </w:rPr>
        <w:t xml:space="preserve">or ejemplo, </w:t>
      </w:r>
      <w:r w:rsidRPr="00EE2FA1">
        <w:rPr>
          <w:rFonts w:ascii="Times New Roman" w:hAnsi="Times New Roman"/>
          <w:color w:val="000000"/>
          <w:sz w:val="28"/>
          <w:szCs w:val="28"/>
          <w:lang w:val="es-MX"/>
        </w:rPr>
        <w:t>el impuesto extraordinario sobre beneficios de empresas energéticas se</w:t>
      </w:r>
      <w:r w:rsidRPr="00EE2FA1">
        <w:rPr>
          <w:rFonts w:ascii="Times New Roman" w:hAnsi="Times New Roman"/>
          <w:color w:val="000000"/>
          <w:sz w:val="28"/>
          <w:szCs w:val="28"/>
          <w:lang w:val="es-MX"/>
        </w:rPr>
        <w:t xml:space="preserve"> </w:t>
      </w:r>
      <w:r w:rsidRPr="00EE2FA1">
        <w:rPr>
          <w:rFonts w:ascii="Times New Roman" w:hAnsi="Times New Roman"/>
          <w:color w:val="000000"/>
          <w:sz w:val="28"/>
          <w:szCs w:val="28"/>
          <w:lang w:val="es-MX"/>
        </w:rPr>
        <w:t>encuentra regulado por la Ley 38</w:t>
      </w:r>
      <w:r w:rsidRPr="00EE2FA1">
        <w:rPr>
          <w:rFonts w:ascii="Times New Roman" w:hAnsi="Times New Roman"/>
          <w:color w:val="000000"/>
          <w:sz w:val="28"/>
          <w:szCs w:val="28"/>
          <w:lang w:val="es-MX"/>
        </w:rPr>
        <w:t>/</w:t>
      </w:r>
      <w:r w:rsidRPr="00EE2FA1">
        <w:rPr>
          <w:rFonts w:ascii="Times New Roman" w:hAnsi="Times New Roman"/>
          <w:color w:val="000000"/>
          <w:sz w:val="28"/>
          <w:szCs w:val="28"/>
          <w:lang w:val="es-MX"/>
        </w:rPr>
        <w:t>22, que establece gravámenes temporales para el sector energético, así com</w:t>
      </w:r>
      <w:r w:rsidRPr="00EE2FA1">
        <w:rPr>
          <w:rFonts w:ascii="Times New Roman" w:hAnsi="Times New Roman"/>
          <w:color w:val="000000"/>
          <w:sz w:val="28"/>
          <w:szCs w:val="28"/>
          <w:lang w:val="es-MX"/>
        </w:rPr>
        <w:t>o para entidades de crédito y establecimientos financieros. Esta normativa se dirige a las grandes empresas energéticas que han obtenido beneficios extraordinarios, en línea con los objetivos de equidad y justicia social en el contexto de la transición ene</w:t>
      </w:r>
      <w:r w:rsidRPr="00EE2FA1">
        <w:rPr>
          <w:rFonts w:ascii="Times New Roman" w:hAnsi="Times New Roman"/>
          <w:color w:val="000000"/>
          <w:sz w:val="28"/>
          <w:szCs w:val="28"/>
          <w:lang w:val="es-MX"/>
        </w:rPr>
        <w:t>rgética y la protección del medio ambiente. Tal normativa expresó que:</w:t>
      </w:r>
    </w:p>
    <w:p w:rsidR="00416B07" w:rsidRPr="00EE2FA1" w:rsidRDefault="00EE2FA1" w:rsidP="00416B07">
      <w:pPr>
        <w:pStyle w:val="Prrafodelista"/>
        <w:rPr>
          <w:rFonts w:ascii="Times New Roman" w:hAnsi="Times New Roman" w:cs="Times New Roman"/>
          <w:color w:val="000000"/>
          <w:sz w:val="28"/>
          <w:szCs w:val="28"/>
          <w:lang w:val="es-MX"/>
        </w:rPr>
      </w:pPr>
    </w:p>
    <w:p w:rsidR="00416B07" w:rsidRPr="00EE2FA1" w:rsidRDefault="00EE2FA1" w:rsidP="00416B07">
      <w:pPr>
        <w:pStyle w:val="Sinespaciado"/>
        <w:spacing w:line="220" w:lineRule="atLeast"/>
        <w:ind w:left="567" w:right="51"/>
        <w:jc w:val="both"/>
        <w:rPr>
          <w:rFonts w:ascii="Times New Roman" w:hAnsi="Times New Roman"/>
          <w:color w:val="000000"/>
          <w:sz w:val="28"/>
          <w:lang w:val="es-MX"/>
        </w:rPr>
      </w:pPr>
      <w:r w:rsidRPr="00EE2FA1">
        <w:rPr>
          <w:rFonts w:ascii="Times New Roman" w:hAnsi="Times New Roman"/>
          <w:color w:val="000000"/>
          <w:sz w:val="28"/>
          <w:lang w:val="es-MX"/>
        </w:rPr>
        <w:t xml:space="preserve">“Adicionalmente, ambos sectores se caracterizan por un menor peso de sus gastos de personal respecto del valor añadido que generan respecto de otros sectores económicos. Así, frente a </w:t>
      </w:r>
      <w:r w:rsidRPr="00EE2FA1">
        <w:rPr>
          <w:rFonts w:ascii="Times New Roman" w:hAnsi="Times New Roman"/>
          <w:color w:val="000000"/>
          <w:sz w:val="28"/>
          <w:lang w:val="es-MX"/>
        </w:rPr>
        <w:t>un 52,73 % que representan los gastos de personal sobre el valor añadido</w:t>
      </w:r>
      <w:r w:rsidRPr="00EE2FA1">
        <w:rPr>
          <w:rFonts w:ascii="Times New Roman" w:hAnsi="Times New Roman"/>
          <w:color w:val="000000"/>
          <w:sz w:val="28"/>
          <w:lang w:val="es-MX"/>
        </w:rPr>
        <w:t xml:space="preserve"> </w:t>
      </w:r>
      <w:r w:rsidRPr="00EE2FA1">
        <w:rPr>
          <w:rFonts w:ascii="Times New Roman" w:hAnsi="Times New Roman"/>
          <w:color w:val="000000"/>
          <w:sz w:val="28"/>
          <w:lang w:val="es-MX"/>
        </w:rPr>
        <w:t xml:space="preserve">de las grandes empresas en el ámbito de las sociedades no financieras en su conjunto, en el caso de las grandes empresas del sector extractivo y de la energía el porcentaje se sitúa </w:t>
      </w:r>
      <w:r w:rsidRPr="00EE2FA1">
        <w:rPr>
          <w:rFonts w:ascii="Times New Roman" w:hAnsi="Times New Roman"/>
          <w:color w:val="000000"/>
          <w:sz w:val="28"/>
          <w:lang w:val="es-MX"/>
        </w:rPr>
        <w:t>tan solo en el 25,1 % y en el caso de las grandes entidades de crédito en el 30,1 %</w:t>
      </w:r>
      <w:r w:rsidRPr="00EE2FA1">
        <w:rPr>
          <w:rFonts w:ascii="Times New Roman" w:hAnsi="Times New Roman"/>
          <w:color w:val="000000"/>
          <w:sz w:val="28"/>
          <w:lang w:val="es-MX"/>
        </w:rPr>
        <w:t xml:space="preserve"> </w:t>
      </w:r>
      <w:r w:rsidRPr="00EE2FA1">
        <w:rPr>
          <w:rFonts w:ascii="Times New Roman" w:hAnsi="Times New Roman"/>
          <w:color w:val="000000"/>
          <w:sz w:val="28"/>
          <w:lang w:val="es-MX"/>
        </w:rPr>
        <w:t>de su margen bruto, todo ello según la estadística de Cuentas Anuales del Impuesto sobre Sociedades de la Agencia Estatal de Administración Tributaria de 2019.</w:t>
      </w:r>
      <w:r w:rsidRPr="00EE2FA1">
        <w:rPr>
          <w:rFonts w:ascii="Times New Roman" w:hAnsi="Times New Roman"/>
          <w:color w:val="000000"/>
          <w:sz w:val="28"/>
          <w:lang w:val="es-MX"/>
        </w:rPr>
        <w:t xml:space="preserve"> </w:t>
      </w:r>
      <w:r w:rsidRPr="00EE2FA1">
        <w:rPr>
          <w:rFonts w:ascii="Times New Roman" w:hAnsi="Times New Roman"/>
          <w:color w:val="000000"/>
          <w:sz w:val="28"/>
          <w:lang w:val="es-MX"/>
        </w:rPr>
        <w:t>En consecuen</w:t>
      </w:r>
      <w:r w:rsidRPr="00EE2FA1">
        <w:rPr>
          <w:rFonts w:ascii="Times New Roman" w:hAnsi="Times New Roman"/>
          <w:color w:val="000000"/>
          <w:sz w:val="28"/>
          <w:lang w:val="es-MX"/>
        </w:rPr>
        <w:t>cia, el reducido peso relativo de los gastos de personal en estos sectores es un segundo factor que justifica para que realicen una especial aportación al pacto nacional de rentas”</w:t>
      </w:r>
      <w:r w:rsidRPr="00EE2FA1">
        <w:rPr>
          <w:rStyle w:val="Refdenotaalpie"/>
          <w:rFonts w:ascii="Times New Roman" w:hAnsi="Times New Roman"/>
          <w:color w:val="000000"/>
          <w:sz w:val="28"/>
          <w:lang w:val="es-MX"/>
        </w:rPr>
        <w:footnoteReference w:id="226"/>
      </w:r>
      <w:r w:rsidRPr="00EE2FA1">
        <w:rPr>
          <w:rFonts w:ascii="Times New Roman" w:hAnsi="Times New Roman"/>
          <w:color w:val="000000"/>
          <w:sz w:val="28"/>
          <w:lang w:val="es-MX"/>
        </w:rPr>
        <w:t xml:space="preserve"> </w:t>
      </w:r>
    </w:p>
    <w:p w:rsidR="000D0A9B" w:rsidRPr="00EE2FA1" w:rsidRDefault="00EE2FA1" w:rsidP="00416B07">
      <w:pPr>
        <w:pStyle w:val="Sinespaciado"/>
        <w:spacing w:line="220" w:lineRule="atLeast"/>
        <w:ind w:left="567" w:right="51"/>
        <w:jc w:val="both"/>
        <w:rPr>
          <w:rFonts w:ascii="Times New Roman" w:hAnsi="Times New Roman"/>
          <w:sz w:val="28"/>
        </w:rPr>
      </w:pPr>
    </w:p>
    <w:p w:rsidR="00FE3DFE" w:rsidRPr="00EE2FA1" w:rsidRDefault="00EE2FA1" w:rsidP="009E500C">
      <w:pPr>
        <w:pStyle w:val="Sinespaciado"/>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20" w:lineRule="atLeast"/>
        <w:ind w:left="0" w:right="51" w:firstLine="0"/>
        <w:jc w:val="both"/>
        <w:rPr>
          <w:rFonts w:ascii="Times New Roman" w:hAnsi="Times New Roman"/>
          <w:color w:val="000000"/>
          <w:sz w:val="28"/>
          <w:szCs w:val="28"/>
          <w:lang w:val="es-MX"/>
        </w:rPr>
      </w:pPr>
      <w:r w:rsidRPr="00EE2FA1">
        <w:rPr>
          <w:rFonts w:ascii="Times New Roman" w:hAnsi="Times New Roman"/>
          <w:color w:val="000000"/>
          <w:sz w:val="28"/>
          <w:szCs w:val="28"/>
          <w:lang w:val="es-MX"/>
        </w:rPr>
        <w:t>Tales</w:t>
      </w:r>
      <w:r w:rsidRPr="00EE2FA1">
        <w:rPr>
          <w:rFonts w:ascii="Times New Roman" w:hAnsi="Times New Roman"/>
          <w:color w:val="000000"/>
          <w:sz w:val="28"/>
          <w:szCs w:val="28"/>
          <w:lang w:val="es-MX"/>
        </w:rPr>
        <w:t xml:space="preserve"> medidas busca</w:t>
      </w:r>
      <w:r w:rsidRPr="00EE2FA1">
        <w:rPr>
          <w:rFonts w:ascii="Times New Roman" w:hAnsi="Times New Roman"/>
          <w:color w:val="000000"/>
          <w:sz w:val="28"/>
          <w:szCs w:val="28"/>
          <w:lang w:val="es-MX"/>
        </w:rPr>
        <w:t>n</w:t>
      </w:r>
      <w:r w:rsidRPr="00EE2FA1">
        <w:rPr>
          <w:rFonts w:ascii="Times New Roman" w:hAnsi="Times New Roman"/>
          <w:color w:val="000000"/>
          <w:sz w:val="28"/>
          <w:szCs w:val="28"/>
          <w:lang w:val="es-MX"/>
        </w:rPr>
        <w:t xml:space="preserve"> garantizar que las empresas que obtienen beneficios</w:t>
      </w:r>
      <w:r w:rsidRPr="00EE2FA1">
        <w:rPr>
          <w:rFonts w:ascii="Times New Roman" w:hAnsi="Times New Roman"/>
          <w:color w:val="000000"/>
          <w:sz w:val="28"/>
          <w:szCs w:val="28"/>
          <w:lang w:val="es-MX"/>
        </w:rPr>
        <w:t xml:space="preserve"> </w:t>
      </w:r>
      <w:r w:rsidRPr="00EE2FA1">
        <w:rPr>
          <w:rFonts w:ascii="Times New Roman" w:hAnsi="Times New Roman"/>
          <w:color w:val="000000"/>
          <w:sz w:val="28"/>
          <w:szCs w:val="28"/>
          <w:lang w:val="es-MX"/>
        </w:rPr>
        <w:t xml:space="preserve">extraordinarios debido a condiciones del mercado contribuyan de manera justa a los ingresos del Estado, similar a la motivación </w:t>
      </w:r>
      <w:r w:rsidRPr="00EE2FA1">
        <w:rPr>
          <w:rFonts w:ascii="Times New Roman" w:hAnsi="Times New Roman"/>
          <w:color w:val="000000"/>
          <w:sz w:val="28"/>
          <w:szCs w:val="28"/>
          <w:lang w:val="es-MX"/>
        </w:rPr>
        <w:t xml:space="preserve">expresada respecto </w:t>
      </w:r>
      <w:r w:rsidRPr="00EE2FA1">
        <w:rPr>
          <w:rFonts w:ascii="Times New Roman" w:hAnsi="Times New Roman"/>
          <w:color w:val="000000"/>
          <w:sz w:val="28"/>
          <w:szCs w:val="28"/>
          <w:lang w:val="es-MX"/>
        </w:rPr>
        <w:t xml:space="preserve">de la Ley 2277 de 2022. En efecto, </w:t>
      </w:r>
      <w:r w:rsidRPr="00EE2FA1">
        <w:rPr>
          <w:rFonts w:ascii="Times New Roman" w:hAnsi="Times New Roman"/>
          <w:color w:val="000000"/>
          <w:sz w:val="28"/>
          <w:szCs w:val="28"/>
          <w:lang w:val="es-MX"/>
        </w:rPr>
        <w:t>el legislador en Colombia también se ha orientado por</w:t>
      </w:r>
      <w:r w:rsidRPr="00EE2FA1">
        <w:rPr>
          <w:rFonts w:ascii="Times New Roman" w:hAnsi="Times New Roman"/>
          <w:color w:val="000000"/>
          <w:sz w:val="28"/>
          <w:szCs w:val="28"/>
          <w:lang w:val="es-MX"/>
        </w:rPr>
        <w:t xml:space="preserve"> </w:t>
      </w:r>
      <w:r w:rsidRPr="00EE2FA1">
        <w:rPr>
          <w:rFonts w:ascii="Times New Roman" w:hAnsi="Times New Roman"/>
          <w:color w:val="000000"/>
          <w:sz w:val="28"/>
          <w:szCs w:val="28"/>
          <w:lang w:val="es-MX"/>
        </w:rPr>
        <w:t xml:space="preserve">adoptar </w:t>
      </w:r>
      <w:r w:rsidRPr="00EE2FA1">
        <w:rPr>
          <w:rFonts w:ascii="Times New Roman" w:hAnsi="Times New Roman"/>
          <w:color w:val="000000"/>
          <w:sz w:val="28"/>
          <w:szCs w:val="28"/>
          <w:lang w:val="es-MX"/>
        </w:rPr>
        <w:t>estrategias</w:t>
      </w:r>
      <w:r w:rsidRPr="00EE2FA1">
        <w:rPr>
          <w:rFonts w:ascii="Times New Roman" w:hAnsi="Times New Roman"/>
          <w:color w:val="000000"/>
          <w:sz w:val="28"/>
          <w:szCs w:val="28"/>
          <w:lang w:val="es-MX"/>
        </w:rPr>
        <w:t xml:space="preserve"> </w:t>
      </w:r>
      <w:r w:rsidRPr="00EE2FA1">
        <w:rPr>
          <w:rFonts w:ascii="Times New Roman" w:hAnsi="Times New Roman"/>
          <w:color w:val="000000"/>
          <w:sz w:val="28"/>
          <w:szCs w:val="28"/>
          <w:lang w:val="es-MX"/>
        </w:rPr>
        <w:t xml:space="preserve">para gravar las ganancias extraordinarias en sectores específicos, principalmente energéticos, con el objetivo de redistribuir ingresos y financiar políticas públicas. La comparación internacional </w:t>
      </w:r>
      <w:r w:rsidRPr="00EE2FA1">
        <w:rPr>
          <w:rFonts w:ascii="Times New Roman" w:hAnsi="Times New Roman"/>
          <w:color w:val="000000"/>
          <w:sz w:val="28"/>
          <w:szCs w:val="28"/>
          <w:lang w:val="es-MX"/>
        </w:rPr>
        <w:t>revela</w:t>
      </w:r>
      <w:r w:rsidRPr="00EE2FA1">
        <w:rPr>
          <w:rFonts w:ascii="Times New Roman" w:hAnsi="Times New Roman"/>
          <w:color w:val="000000"/>
          <w:sz w:val="28"/>
          <w:szCs w:val="28"/>
          <w:lang w:val="es-MX"/>
        </w:rPr>
        <w:t xml:space="preserve"> que estas medidas suelen basarse en la capacidad co</w:t>
      </w:r>
      <w:r w:rsidRPr="00EE2FA1">
        <w:rPr>
          <w:rFonts w:ascii="Times New Roman" w:hAnsi="Times New Roman"/>
          <w:color w:val="000000"/>
          <w:sz w:val="28"/>
          <w:szCs w:val="28"/>
          <w:lang w:val="es-MX"/>
        </w:rPr>
        <w:t>ntributiva y en parámetros objetivos como los precios internacionales de los productos correspondientes.</w:t>
      </w:r>
    </w:p>
    <w:p w:rsidR="00FE3DFE" w:rsidRPr="00EE2FA1" w:rsidRDefault="00EE2FA1" w:rsidP="00AD67C7">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p>
    <w:p w:rsidR="00434109" w:rsidRPr="00EE2FA1" w:rsidRDefault="00EE2FA1" w:rsidP="00434109">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Los principios de justicia</w:t>
      </w:r>
      <w:r w:rsidRPr="00EE2FA1">
        <w:rPr>
          <w:rFonts w:ascii="Times New Roman" w:eastAsia="Calibri" w:hAnsi="Times New Roman" w:cs="Times New Roman"/>
          <w:b/>
          <w:bCs/>
          <w:sz w:val="28"/>
          <w:szCs w:val="28"/>
          <w:lang w:eastAsia="es-ES"/>
        </w:rPr>
        <w:t xml:space="preserve"> </w:t>
      </w:r>
      <w:r w:rsidRPr="00EE2FA1">
        <w:rPr>
          <w:rFonts w:ascii="Times New Roman" w:eastAsia="Calibri" w:hAnsi="Times New Roman" w:cs="Times New Roman"/>
          <w:b/>
          <w:bCs/>
          <w:sz w:val="28"/>
          <w:szCs w:val="28"/>
          <w:lang w:eastAsia="es-ES"/>
        </w:rPr>
        <w:t>y equidad tributaria</w:t>
      </w:r>
    </w:p>
    <w:p w:rsidR="006C69F5" w:rsidRPr="00EE2FA1" w:rsidRDefault="00EE2FA1" w:rsidP="00434109">
      <w:pPr>
        <w:pStyle w:val="Prrafodelista"/>
        <w:tabs>
          <w:tab w:val="left" w:pos="426"/>
          <w:tab w:val="left" w:pos="567"/>
        </w:tabs>
        <w:spacing w:line="0" w:lineRule="atLeast"/>
        <w:ind w:left="0"/>
        <w:jc w:val="both"/>
        <w:rPr>
          <w:rFonts w:ascii="Times New Roman" w:hAnsi="Times New Roman" w:cs="Times New Roman"/>
          <w:sz w:val="28"/>
          <w:szCs w:val="28"/>
        </w:rPr>
      </w:pPr>
    </w:p>
    <w:p w:rsidR="002877B5" w:rsidRPr="00EE2FA1" w:rsidRDefault="00EE2FA1" w:rsidP="002877B5">
      <w:pPr>
        <w:pStyle w:val="Prrafodelista"/>
        <w:numPr>
          <w:ilvl w:val="0"/>
          <w:numId w:val="1"/>
        </w:numPr>
        <w:tabs>
          <w:tab w:val="left" w:pos="426"/>
          <w:tab w:val="left" w:pos="567"/>
        </w:tabs>
        <w:spacing w:line="0" w:lineRule="atLeast"/>
        <w:ind w:left="0" w:firstLine="0"/>
        <w:jc w:val="both"/>
        <w:rPr>
          <w:rStyle w:val="Nmerodepgina"/>
          <w:rFonts w:ascii="Times New Roman" w:hAnsi="Times New Roman"/>
          <w:sz w:val="28"/>
          <w:szCs w:val="28"/>
        </w:rPr>
      </w:pPr>
      <w:r w:rsidRPr="00EE2FA1">
        <w:rPr>
          <w:rFonts w:ascii="Times New Roman" w:hAnsi="Times New Roman" w:cs="Times New Roman"/>
          <w:i/>
          <w:iCs/>
          <w:sz w:val="28"/>
          <w:szCs w:val="28"/>
        </w:rPr>
        <w:t>La justicia tributaria</w:t>
      </w:r>
      <w:r w:rsidRPr="00EE2FA1">
        <w:rPr>
          <w:rStyle w:val="Refdenotaalpie"/>
          <w:rFonts w:ascii="Times New Roman" w:hAnsi="Times New Roman" w:cs="Times New Roman"/>
          <w:i/>
          <w:iCs/>
          <w:sz w:val="28"/>
          <w:szCs w:val="28"/>
        </w:rPr>
        <w:footnoteReference w:id="227"/>
      </w:r>
      <w:r w:rsidRPr="00EE2FA1">
        <w:rPr>
          <w:rFonts w:ascii="Times New Roman" w:hAnsi="Times New Roman" w:cs="Times New Roman"/>
          <w:sz w:val="28"/>
          <w:szCs w:val="28"/>
        </w:rPr>
        <w:t xml:space="preserve">. La Sentencia C-489 de 2023 precisó que el principio de justicia incorpora </w:t>
      </w:r>
      <w:r w:rsidRPr="00EE2FA1">
        <w:rPr>
          <w:rFonts w:ascii="Times New Roman" w:hAnsi="Times New Roman" w:cs="Times New Roman"/>
          <w:sz w:val="28"/>
          <w:szCs w:val="28"/>
        </w:rPr>
        <w:t>las exigencias de equidad y progresividad</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y constituye un mandato al legislador para que “se abstenga de imponer obligaciones o cargas incompatibles con la defensa de un orden justo (preámbulo y artículo 2 de la CP).</w:t>
      </w:r>
      <w:r w:rsidRPr="00EE2FA1">
        <w:rPr>
          <w:rStyle w:val="Refdenotaalpie"/>
          <w:rFonts w:ascii="Times New Roman" w:hAnsi="Times New Roman" w:cs="Times New Roman"/>
          <w:sz w:val="28"/>
          <w:szCs w:val="28"/>
        </w:rPr>
        <w:footnoteReference w:id="228"/>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Por ello, el principio de justicia tr</w:t>
      </w:r>
      <w:r w:rsidRPr="00EE2FA1">
        <w:rPr>
          <w:rFonts w:ascii="Times New Roman" w:hAnsi="Times New Roman" w:cs="Times New Roman"/>
          <w:sz w:val="28"/>
          <w:szCs w:val="28"/>
        </w:rPr>
        <w:t>ibutaria es ‘una síntesis de todas las exigencias constitucionales que enmarcan el ejercicio del poder impositivo del Estado’.</w:t>
      </w:r>
      <w:r w:rsidRPr="00EE2FA1">
        <w:rPr>
          <w:rStyle w:val="Refdenotaalpie"/>
          <w:rFonts w:ascii="Times New Roman" w:hAnsi="Times New Roman" w:cs="Times New Roman"/>
          <w:sz w:val="28"/>
          <w:szCs w:val="28"/>
          <w:shd w:val="clear" w:color="auto" w:fill="FFFFFF"/>
        </w:rPr>
        <w:footnoteReference w:id="229"/>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De igual forma, dicho </w:t>
      </w:r>
      <w:r w:rsidRPr="00EE2FA1">
        <w:rPr>
          <w:rFonts w:ascii="Times New Roman" w:hAnsi="Times New Roman" w:cs="Times New Roman"/>
          <w:sz w:val="28"/>
          <w:szCs w:val="28"/>
        </w:rPr>
        <w:t>postulado</w:t>
      </w:r>
      <w:r w:rsidRPr="00EE2FA1">
        <w:rPr>
          <w:rFonts w:ascii="Times New Roman" w:hAnsi="Times New Roman" w:cs="Times New Roman"/>
          <w:sz w:val="28"/>
          <w:szCs w:val="28"/>
        </w:rPr>
        <w:t xml:space="preserve"> está</w:t>
      </w:r>
      <w:r w:rsidRPr="00EE2FA1">
        <w:rPr>
          <w:rStyle w:val="Nmerodepgina"/>
          <w:rFonts w:ascii="Times New Roman" w:hAnsi="Times New Roman"/>
          <w:sz w:val="28"/>
          <w:szCs w:val="28"/>
        </w:rPr>
        <w:t xml:space="preserve"> </w:t>
      </w:r>
    </w:p>
    <w:p w:rsidR="002877B5" w:rsidRPr="00EE2FA1" w:rsidRDefault="00EE2FA1" w:rsidP="002877B5">
      <w:pPr>
        <w:pStyle w:val="Prrafodelista"/>
        <w:rPr>
          <w:rStyle w:val="Nmerodepgina"/>
          <w:rFonts w:ascii="Times New Roman" w:hAnsi="Times New Roman"/>
          <w:sz w:val="28"/>
          <w:szCs w:val="28"/>
        </w:rPr>
      </w:pPr>
    </w:p>
    <w:p w:rsidR="00434109" w:rsidRPr="00EE2FA1" w:rsidRDefault="00EE2FA1" w:rsidP="002877B5">
      <w:pPr>
        <w:pStyle w:val="Prrafodelista"/>
        <w:spacing w:line="0" w:lineRule="atLeast"/>
        <w:ind w:left="567"/>
        <w:jc w:val="both"/>
        <w:rPr>
          <w:rFonts w:ascii="Times New Roman" w:hAnsi="Times New Roman" w:cs="Times New Roman"/>
          <w:sz w:val="28"/>
        </w:rPr>
      </w:pPr>
      <w:r w:rsidRPr="00EE2FA1">
        <w:rPr>
          <w:rStyle w:val="Nmerodepgina"/>
          <w:rFonts w:ascii="Times New Roman" w:hAnsi="Times New Roman"/>
          <w:sz w:val="28"/>
        </w:rPr>
        <w:t>“íntimamente relacionado con la eficiencia del sistema,</w:t>
      </w:r>
      <w:r w:rsidRPr="00EE2FA1">
        <w:rPr>
          <w:rStyle w:val="Nmerodepgina"/>
          <w:rFonts w:ascii="Times New Roman" w:hAnsi="Times New Roman"/>
          <w:b/>
          <w:bCs/>
          <w:sz w:val="28"/>
        </w:rPr>
        <w:t xml:space="preserve"> </w:t>
      </w:r>
      <w:r w:rsidRPr="00EE2FA1">
        <w:rPr>
          <w:rStyle w:val="Nmerodepgina"/>
          <w:rFonts w:ascii="Times New Roman" w:hAnsi="Times New Roman"/>
          <w:sz w:val="28"/>
        </w:rPr>
        <w:t xml:space="preserve">en la medida en que el primero </w:t>
      </w:r>
      <w:r w:rsidRPr="00EE2FA1">
        <w:rPr>
          <w:rFonts w:ascii="Times New Roman" w:hAnsi="Times New Roman" w:cs="Times New Roman"/>
          <w:sz w:val="28"/>
          <w:shd w:val="clear" w:color="auto" w:fill="FFFFFF"/>
        </w:rPr>
        <w:t>‘</w:t>
      </w:r>
      <w:r w:rsidRPr="00EE2FA1">
        <w:rPr>
          <w:rStyle w:val="Nmerodepgina"/>
          <w:rFonts w:ascii="Times New Roman" w:hAnsi="Times New Roman"/>
          <w:sz w:val="28"/>
        </w:rPr>
        <w:t xml:space="preserve">reclama </w:t>
      </w:r>
      <w:r w:rsidRPr="00EE2FA1">
        <w:rPr>
          <w:rFonts w:ascii="Times New Roman" w:hAnsi="Times New Roman" w:cs="Times New Roman"/>
          <w:sz w:val="28"/>
          <w:shd w:val="clear" w:color="auto" w:fill="FFFFFF"/>
        </w:rPr>
        <w:t>un sistema […] capaz de asegurar un efectivo control de la recaudación de los dineros públicos’.</w:t>
      </w:r>
      <w:r w:rsidRPr="00EE2FA1">
        <w:rPr>
          <w:rStyle w:val="Refdenotaalpie"/>
          <w:rFonts w:ascii="Times New Roman" w:hAnsi="Times New Roman" w:cs="Times New Roman"/>
          <w:sz w:val="28"/>
          <w:shd w:val="clear" w:color="auto" w:fill="FFFFFF"/>
        </w:rPr>
        <w:footnoteReference w:id="230"/>
      </w:r>
      <w:r w:rsidRPr="00EE2FA1">
        <w:rPr>
          <w:rFonts w:ascii="Times New Roman" w:hAnsi="Times New Roman" w:cs="Times New Roman"/>
          <w:sz w:val="28"/>
          <w:shd w:val="clear" w:color="auto" w:fill="FFFFFF"/>
        </w:rPr>
        <w:t xml:space="preserve"> De este modo, ‘la eficiencia también constituye un componente medular de la justicia tributaria, dado que la ineficiencia en el recaudo de los tributo</w:t>
      </w:r>
      <w:r w:rsidRPr="00EE2FA1">
        <w:rPr>
          <w:rFonts w:ascii="Times New Roman" w:hAnsi="Times New Roman" w:cs="Times New Roman"/>
          <w:sz w:val="28"/>
          <w:shd w:val="clear" w:color="auto" w:fill="FFFFFF"/>
        </w:rPr>
        <w:t>s puede generar una injusta distribución de la carga fiscal, en tanto el incumplimiento de sus obligaciones por parte de algunos contribuyentes conduce a que el sostenimiento de los gastos e inversiones públicas solo se haga a costa de los contribuyentes c</w:t>
      </w:r>
      <w:r w:rsidRPr="00EE2FA1">
        <w:rPr>
          <w:rFonts w:ascii="Times New Roman" w:hAnsi="Times New Roman" w:cs="Times New Roman"/>
          <w:sz w:val="28"/>
          <w:shd w:val="clear" w:color="auto" w:fill="FFFFFF"/>
        </w:rPr>
        <w:t>umplidos’.</w:t>
      </w:r>
      <w:r w:rsidRPr="00EE2FA1">
        <w:rPr>
          <w:rStyle w:val="Refdenotaalpie"/>
          <w:rFonts w:ascii="Times New Roman" w:hAnsi="Times New Roman" w:cs="Times New Roman"/>
          <w:sz w:val="28"/>
          <w:shd w:val="clear" w:color="auto" w:fill="FFFFFF"/>
        </w:rPr>
        <w:footnoteReference w:id="231"/>
      </w:r>
      <w:r w:rsidRPr="00EE2FA1">
        <w:rPr>
          <w:rFonts w:ascii="Times New Roman" w:hAnsi="Times New Roman" w:cs="Times New Roman"/>
          <w:sz w:val="28"/>
          <w:shd w:val="clear" w:color="auto" w:fill="FFFFFF"/>
        </w:rPr>
        <w:t>”</w:t>
      </w:r>
      <w:r w:rsidRPr="00EE2FA1">
        <w:rPr>
          <w:rStyle w:val="Refdenotaalpie"/>
          <w:rFonts w:ascii="Times New Roman" w:hAnsi="Times New Roman" w:cs="Times New Roman"/>
          <w:sz w:val="28"/>
          <w:shd w:val="clear" w:color="auto" w:fill="FFFFFF"/>
        </w:rPr>
        <w:footnoteReference w:id="232"/>
      </w:r>
    </w:p>
    <w:p w:rsidR="00434109" w:rsidRPr="00EE2FA1" w:rsidRDefault="00EE2FA1" w:rsidP="002877B5">
      <w:pPr>
        <w:pStyle w:val="Prrafodelista"/>
        <w:spacing w:line="0" w:lineRule="atLeast"/>
        <w:ind w:left="567"/>
        <w:jc w:val="both"/>
        <w:rPr>
          <w:rFonts w:ascii="Times New Roman" w:hAnsi="Times New Roman" w:cs="Times New Roman"/>
          <w:sz w:val="28"/>
        </w:rPr>
      </w:pPr>
    </w:p>
    <w:p w:rsidR="00434109" w:rsidRPr="00EE2FA1" w:rsidRDefault="00EE2FA1" w:rsidP="00E03343">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sz w:val="28"/>
          <w:szCs w:val="28"/>
          <w:shd w:val="clear" w:color="auto" w:fill="FFFFFF"/>
        </w:rPr>
        <w:t xml:space="preserve">De otra parte, la Sentencia C-486 de 2020 precisó que, </w:t>
      </w:r>
      <w:r w:rsidRPr="00EE2FA1">
        <w:rPr>
          <w:rFonts w:ascii="Times New Roman" w:hAnsi="Times New Roman" w:cs="Times New Roman"/>
          <w:sz w:val="28"/>
          <w:szCs w:val="28"/>
          <w:shd w:val="clear" w:color="auto" w:fill="FFFFFF"/>
        </w:rPr>
        <w:t>“</w:t>
      </w:r>
      <w:r w:rsidRPr="00EE2FA1">
        <w:rPr>
          <w:rFonts w:ascii="Times New Roman" w:hAnsi="Times New Roman" w:cs="Times New Roman"/>
          <w:sz w:val="28"/>
          <w:szCs w:val="28"/>
          <w:shd w:val="clear" w:color="auto" w:fill="FFFFFF"/>
        </w:rPr>
        <w:t xml:space="preserve">desde una perspectiva práctica, el principio de justicia tributaria tiene dos manifestaciones que guardan relación con el principio de equidad. Por un lado, “este mandato se vulneraría </w:t>
      </w:r>
      <w:r w:rsidRPr="00EE2FA1">
        <w:rPr>
          <w:rFonts w:ascii="Times New Roman" w:hAnsi="Times New Roman" w:cs="Times New Roman"/>
          <w:sz w:val="28"/>
          <w:szCs w:val="28"/>
          <w:shd w:val="clear" w:color="auto" w:fill="FFFFFF"/>
        </w:rPr>
        <w:t>cuando el monto a pagar por concepto de un tributo se define sin atender la capacidad de pago del contribuyente”. Por otro lado, está “la prohibición de los tributos confiscatorios, que supriman de facto la propiedad privada o que eliminen todo beneficio d</w:t>
      </w:r>
      <w:r w:rsidRPr="00EE2FA1">
        <w:rPr>
          <w:rFonts w:ascii="Times New Roman" w:hAnsi="Times New Roman" w:cs="Times New Roman"/>
          <w:sz w:val="28"/>
          <w:szCs w:val="28"/>
          <w:shd w:val="clear" w:color="auto" w:fill="FFFFFF"/>
        </w:rPr>
        <w:t xml:space="preserve">e la libre iniciativa económica”. En la citada oportunidad, la Sala aclaró que el legislador no desconoce el principio de justicia tributaria cuando establece tratos fiscales más gravosos o deroga algunos beneficios impositivos, “siempre que [las medidas] </w:t>
      </w:r>
      <w:r w:rsidRPr="00EE2FA1">
        <w:rPr>
          <w:rFonts w:ascii="Times New Roman" w:hAnsi="Times New Roman" w:cs="Times New Roman"/>
          <w:sz w:val="28"/>
          <w:szCs w:val="28"/>
          <w:shd w:val="clear" w:color="auto" w:fill="FFFFFF"/>
        </w:rPr>
        <w:t>estén dirigidas a la satisfacción de fines constitucionalmente valiosos”.</w:t>
      </w:r>
      <w:r w:rsidRPr="00EE2FA1">
        <w:rPr>
          <w:rFonts w:ascii="Times New Roman" w:hAnsi="Times New Roman" w:cs="Times New Roman"/>
          <w:sz w:val="28"/>
          <w:szCs w:val="28"/>
          <w:shd w:val="clear" w:color="auto" w:fill="FFFFFF"/>
        </w:rPr>
        <w:t>”</w:t>
      </w:r>
      <w:r w:rsidRPr="00EE2FA1">
        <w:rPr>
          <w:rStyle w:val="Refdenotaalpie"/>
          <w:rFonts w:ascii="Times New Roman" w:hAnsi="Times New Roman" w:cs="Times New Roman"/>
          <w:sz w:val="28"/>
          <w:szCs w:val="28"/>
          <w:shd w:val="clear" w:color="auto" w:fill="FFFFFF"/>
        </w:rPr>
        <w:footnoteReference w:id="233"/>
      </w:r>
    </w:p>
    <w:p w:rsidR="00BF2BF9" w:rsidRPr="00EE2FA1" w:rsidRDefault="00EE2FA1" w:rsidP="00BF2BF9">
      <w:pPr>
        <w:pStyle w:val="Prrafodelista"/>
        <w:tabs>
          <w:tab w:val="left" w:pos="426"/>
          <w:tab w:val="left" w:pos="567"/>
        </w:tabs>
        <w:spacing w:line="0" w:lineRule="atLeast"/>
        <w:ind w:left="0"/>
        <w:jc w:val="both"/>
        <w:rPr>
          <w:rFonts w:ascii="Times New Roman" w:hAnsi="Times New Roman" w:cs="Times New Roman"/>
          <w:sz w:val="28"/>
          <w:szCs w:val="28"/>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hAnsi="Times New Roman" w:cs="Times New Roman"/>
          <w:sz w:val="28"/>
          <w:szCs w:val="28"/>
        </w:rPr>
      </w:pPr>
      <w:r w:rsidRPr="00EE2FA1">
        <w:rPr>
          <w:rFonts w:ascii="Times New Roman" w:hAnsi="Times New Roman" w:cs="Times New Roman"/>
          <w:i/>
          <w:iCs/>
          <w:sz w:val="28"/>
          <w:szCs w:val="28"/>
        </w:rPr>
        <w:t>El principio de equidad tributaria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eastAsia="Calibri" w:hAnsi="Times New Roman" w:cs="Times New Roman"/>
          <w:sz w:val="28"/>
          <w:szCs w:val="28"/>
          <w:lang w:eastAsia="es-ES"/>
        </w:rPr>
        <w:t xml:space="preserve">El principio de equidad tributaria está previsto en los artículos 95.9 y 363 de la Constitución. Según su desarrollo jurisprudencial, </w:t>
      </w:r>
      <w:r w:rsidRPr="00EE2FA1">
        <w:rPr>
          <w:rFonts w:ascii="Times New Roman" w:eastAsia="Calibri" w:hAnsi="Times New Roman" w:cs="Times New Roman"/>
          <w:sz w:val="28"/>
          <w:szCs w:val="28"/>
          <w:lang w:eastAsia="es-ES"/>
        </w:rPr>
        <w:t>constituye “una manifestación del principio de igualdad en el campo impositivo”</w:t>
      </w:r>
      <w:r w:rsidRPr="00EE2FA1">
        <w:rPr>
          <w:rFonts w:ascii="Times New Roman" w:eastAsia="Calibri" w:hAnsi="Times New Roman" w:cs="Times New Roman"/>
          <w:sz w:val="28"/>
          <w:szCs w:val="28"/>
          <w:vertAlign w:val="superscript"/>
          <w:lang w:eastAsia="es-ES"/>
        </w:rPr>
        <w:footnoteReference w:id="234"/>
      </w:r>
      <w:r w:rsidRPr="00EE2FA1">
        <w:rPr>
          <w:rFonts w:ascii="Times New Roman" w:eastAsia="Calibri" w:hAnsi="Times New Roman" w:cs="Times New Roman"/>
          <w:sz w:val="28"/>
          <w:szCs w:val="28"/>
          <w:lang w:eastAsia="es-ES"/>
        </w:rPr>
        <w:t>, pues “opera como límite formal y material de la potestad impositiva del legislador”</w:t>
      </w:r>
      <w:r w:rsidRPr="00EE2FA1">
        <w:rPr>
          <w:rFonts w:ascii="Times New Roman" w:eastAsia="Calibri" w:hAnsi="Times New Roman" w:cs="Times New Roman"/>
          <w:sz w:val="28"/>
          <w:szCs w:val="28"/>
          <w:vertAlign w:val="superscript"/>
          <w:lang w:eastAsia="es-ES"/>
        </w:rPr>
        <w:footnoteReference w:id="235"/>
      </w:r>
      <w:r w:rsidRPr="00EE2FA1">
        <w:rPr>
          <w:rFonts w:ascii="Times New Roman" w:eastAsia="Calibri" w:hAnsi="Times New Roman" w:cs="Times New Roman"/>
          <w:sz w:val="28"/>
          <w:szCs w:val="28"/>
          <w:lang w:eastAsia="es-ES"/>
        </w:rPr>
        <w:t>. Sin embargo, como ha sido reiterado por esta corporación, el principio de equidad tribut</w:t>
      </w:r>
      <w:r w:rsidRPr="00EE2FA1">
        <w:rPr>
          <w:rFonts w:ascii="Times New Roman" w:eastAsia="Calibri" w:hAnsi="Times New Roman" w:cs="Times New Roman"/>
          <w:sz w:val="28"/>
          <w:szCs w:val="28"/>
          <w:lang w:eastAsia="es-ES"/>
        </w:rPr>
        <w:t>aria goza de autonomía conceptual, pues ostenta una naturaleza estructural que se predica del sistema tributario y no de un tributo en particular. En ese sentido, el principio de equidad se encamina a que el sistema tributario sea equitativo en su integrid</w:t>
      </w:r>
      <w:r w:rsidRPr="00EE2FA1">
        <w:rPr>
          <w:rFonts w:ascii="Times New Roman" w:eastAsia="Calibri" w:hAnsi="Times New Roman" w:cs="Times New Roman"/>
          <w:sz w:val="28"/>
          <w:szCs w:val="28"/>
          <w:lang w:eastAsia="es-ES"/>
        </w:rPr>
        <w:t>ad, y no respecto de los contribuyentes individualmente considerados.</w:t>
      </w:r>
    </w:p>
    <w:p w:rsidR="002855E6" w:rsidRPr="00EE2FA1" w:rsidRDefault="00EE2FA1" w:rsidP="002855E6">
      <w:pPr>
        <w:pStyle w:val="Prrafodelista"/>
        <w:tabs>
          <w:tab w:val="left" w:pos="426"/>
          <w:tab w:val="left" w:pos="567"/>
        </w:tabs>
        <w:spacing w:line="0" w:lineRule="atLeast"/>
        <w:ind w:left="0"/>
        <w:jc w:val="both"/>
        <w:rPr>
          <w:rFonts w:ascii="Times New Roman" w:hAnsi="Times New Roman" w:cs="Times New Roman"/>
          <w:sz w:val="28"/>
          <w:szCs w:val="28"/>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Ahora bien, el principio de equidad no debe ser entendido como un deber formal por el cual todo contribuyente deba pagar los “</w:t>
      </w:r>
      <w:r w:rsidRPr="00EE2FA1">
        <w:rPr>
          <w:rFonts w:ascii="Times New Roman" w:hAnsi="Times New Roman" w:cs="Times New Roman"/>
          <w:sz w:val="28"/>
          <w:szCs w:val="28"/>
          <w:shd w:val="clear" w:color="auto" w:fill="FFFFFF"/>
        </w:rPr>
        <w:t>impuestos, tasas y contribuciones con los mismos porcentaje</w:t>
      </w:r>
      <w:r w:rsidRPr="00EE2FA1">
        <w:rPr>
          <w:rFonts w:ascii="Times New Roman" w:hAnsi="Times New Roman" w:cs="Times New Roman"/>
          <w:sz w:val="28"/>
          <w:szCs w:val="28"/>
          <w:shd w:val="clear" w:color="auto" w:fill="FFFFFF"/>
        </w:rPr>
        <w:t>s y bajo un criterio rígidamente matemático que mida a todos con el mismo rasero”</w:t>
      </w:r>
      <w:r w:rsidRPr="00EE2FA1">
        <w:rPr>
          <w:rFonts w:ascii="Times New Roman" w:hAnsi="Times New Roman" w:cs="Times New Roman"/>
          <w:sz w:val="28"/>
          <w:szCs w:val="28"/>
          <w:shd w:val="clear" w:color="auto" w:fill="FFFFFF"/>
          <w:vertAlign w:val="superscript"/>
        </w:rPr>
        <w:footnoteReference w:id="236"/>
      </w:r>
      <w:r w:rsidRPr="00EE2FA1">
        <w:rPr>
          <w:rFonts w:ascii="Times New Roman" w:hAnsi="Times New Roman" w:cs="Times New Roman"/>
          <w:sz w:val="28"/>
          <w:szCs w:val="28"/>
          <w:shd w:val="clear" w:color="auto" w:fill="FFFFFF"/>
        </w:rPr>
        <w:t>. En efecto, este principio no supone una paridad entre los contribuyentes, ni tampoco una “igualdad absoluta de los efectos que una disposición legal tenga en cada uno de qu</w:t>
      </w:r>
      <w:r w:rsidRPr="00EE2FA1">
        <w:rPr>
          <w:rFonts w:ascii="Times New Roman" w:hAnsi="Times New Roman" w:cs="Times New Roman"/>
          <w:sz w:val="28"/>
          <w:szCs w:val="28"/>
          <w:shd w:val="clear" w:color="auto" w:fill="FFFFFF"/>
        </w:rPr>
        <w:t>ienes se ven afectados por los efectos por ella generados”</w:t>
      </w:r>
      <w:r w:rsidRPr="00EE2FA1">
        <w:rPr>
          <w:rFonts w:ascii="Times New Roman" w:hAnsi="Times New Roman" w:cs="Times New Roman"/>
          <w:sz w:val="28"/>
          <w:szCs w:val="28"/>
          <w:shd w:val="clear" w:color="auto" w:fill="FFFFFF"/>
          <w:vertAlign w:val="superscript"/>
        </w:rPr>
        <w:footnoteReference w:id="237"/>
      </w:r>
      <w:r w:rsidRPr="00EE2FA1">
        <w:rPr>
          <w:rFonts w:ascii="Times New Roman" w:hAnsi="Times New Roman" w:cs="Times New Roman"/>
          <w:sz w:val="28"/>
          <w:szCs w:val="28"/>
          <w:shd w:val="clear" w:color="auto" w:fill="FFFFFF"/>
        </w:rPr>
        <w:t xml:space="preserve">, sino que exige que, en la determinación de los tributos, el legislador fundamente la imposición en criterios adecuados </w:t>
      </w:r>
      <w:r w:rsidRPr="00EE2FA1">
        <w:rPr>
          <w:rFonts w:ascii="Times New Roman" w:hAnsi="Times New Roman" w:cs="Times New Roman"/>
          <w:sz w:val="28"/>
          <w:szCs w:val="28"/>
          <w:shd w:val="clear" w:color="auto" w:fill="FFFFFF"/>
        </w:rPr>
        <w:t xml:space="preserve">sobre la </w:t>
      </w:r>
      <w:r w:rsidRPr="00EE2FA1">
        <w:rPr>
          <w:rFonts w:ascii="Times New Roman" w:hAnsi="Times New Roman" w:cs="Times New Roman"/>
          <w:sz w:val="28"/>
          <w:szCs w:val="28"/>
          <w:shd w:val="clear" w:color="auto" w:fill="FFFFFF"/>
        </w:rPr>
        <w:t xml:space="preserve">capacidad económica de los contribuyentes. En otras palabras, este </w:t>
      </w:r>
      <w:r w:rsidRPr="00EE2FA1">
        <w:rPr>
          <w:rFonts w:ascii="Times New Roman" w:hAnsi="Times New Roman" w:cs="Times New Roman"/>
          <w:sz w:val="28"/>
          <w:szCs w:val="28"/>
          <w:shd w:val="clear" w:color="auto" w:fill="FFFFFF"/>
        </w:rPr>
        <w:t>principio busca que no haya contribuciones o beneficios excesivos para los sujetos obligados</w:t>
      </w:r>
      <w:r w:rsidRPr="00EE2FA1">
        <w:rPr>
          <w:rStyle w:val="Refdenotaalpie"/>
          <w:rFonts w:ascii="Times New Roman" w:hAnsi="Times New Roman" w:cs="Times New Roman"/>
          <w:sz w:val="28"/>
          <w:szCs w:val="28"/>
          <w:shd w:val="clear" w:color="auto" w:fill="FFFFFF"/>
        </w:rPr>
        <w:footnoteReference w:id="238"/>
      </w:r>
      <w:r w:rsidRPr="00EE2FA1">
        <w:rPr>
          <w:rFonts w:ascii="Times New Roman" w:hAnsi="Times New Roman" w:cs="Times New Roman"/>
          <w:sz w:val="28"/>
          <w:szCs w:val="28"/>
          <w:shd w:val="clear" w:color="auto" w:fill="FFFFFF"/>
        </w:rPr>
        <w:t>.</w:t>
      </w:r>
    </w:p>
    <w:p w:rsidR="000602A9" w:rsidRPr="00EE2FA1" w:rsidRDefault="00EE2FA1" w:rsidP="000602A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Cabe resaltar que el principio de equidad tributaria tiene dos dimensiones: horizontal y vertical. La dimensión horizontal establece que “los tributos han de gr</w:t>
      </w:r>
      <w:r w:rsidRPr="00EE2FA1">
        <w:rPr>
          <w:rFonts w:ascii="Times New Roman" w:eastAsia="Calibri" w:hAnsi="Times New Roman" w:cs="Times New Roman"/>
          <w:sz w:val="28"/>
          <w:szCs w:val="28"/>
          <w:lang w:eastAsia="es-ES"/>
        </w:rPr>
        <w:t>avar de igual manera a quienes tienen la misma capacidad de pago”</w:t>
      </w:r>
      <w:r w:rsidRPr="00EE2FA1">
        <w:rPr>
          <w:rFonts w:ascii="Times New Roman" w:eastAsia="Calibri" w:hAnsi="Times New Roman" w:cs="Times New Roman"/>
          <w:sz w:val="28"/>
          <w:szCs w:val="28"/>
          <w:vertAlign w:val="superscript"/>
          <w:lang w:eastAsia="es-ES"/>
        </w:rPr>
        <w:footnoteReference w:id="239"/>
      </w:r>
      <w:r w:rsidRPr="00EE2FA1">
        <w:rPr>
          <w:rFonts w:ascii="Times New Roman" w:eastAsia="Calibri" w:hAnsi="Times New Roman" w:cs="Times New Roman"/>
          <w:sz w:val="28"/>
          <w:szCs w:val="28"/>
          <w:lang w:eastAsia="es-ES"/>
        </w:rPr>
        <w:t>. Es decir, la equidad en su dimensión horizontal es una manifestación del principio de igualdad ante las cargas públicas</w:t>
      </w:r>
      <w:r w:rsidRPr="00EE2FA1">
        <w:rPr>
          <w:rFonts w:ascii="Times New Roman" w:eastAsia="Calibri" w:hAnsi="Times New Roman" w:cs="Times New Roman"/>
          <w:sz w:val="28"/>
          <w:szCs w:val="28"/>
          <w:vertAlign w:val="superscript"/>
          <w:lang w:eastAsia="es-ES"/>
        </w:rPr>
        <w:footnoteReference w:id="240"/>
      </w:r>
      <w:r w:rsidRPr="00EE2FA1">
        <w:rPr>
          <w:rFonts w:ascii="Times New Roman" w:eastAsia="Calibri" w:hAnsi="Times New Roman" w:cs="Times New Roman"/>
          <w:sz w:val="28"/>
          <w:szCs w:val="28"/>
          <w:lang w:eastAsia="es-ES"/>
        </w:rPr>
        <w:t>. De otro lado, la dimensión vertical, que se identifica con el mand</w:t>
      </w:r>
      <w:r w:rsidRPr="00EE2FA1">
        <w:rPr>
          <w:rFonts w:ascii="Times New Roman" w:eastAsia="Calibri" w:hAnsi="Times New Roman" w:cs="Times New Roman"/>
          <w:sz w:val="28"/>
          <w:szCs w:val="28"/>
          <w:lang w:eastAsia="es-ES"/>
        </w:rPr>
        <w:t>ato de progresividad de los tributos, ordena “distribuir la carga tributaria de forma que quienes tienen mayor capacidad económica soporten una mayor proporción de gravamen”</w:t>
      </w:r>
      <w:r w:rsidRPr="00EE2FA1">
        <w:rPr>
          <w:rFonts w:ascii="Times New Roman" w:eastAsia="Calibri" w:hAnsi="Times New Roman" w:cs="Times New Roman"/>
          <w:sz w:val="28"/>
          <w:szCs w:val="28"/>
          <w:vertAlign w:val="superscript"/>
          <w:lang w:eastAsia="es-ES"/>
        </w:rPr>
        <w:footnoteReference w:id="241"/>
      </w:r>
      <w:r w:rsidRPr="00EE2FA1">
        <w:rPr>
          <w:rFonts w:ascii="Times New Roman" w:eastAsia="Calibri" w:hAnsi="Times New Roman" w:cs="Times New Roman"/>
          <w:sz w:val="28"/>
          <w:szCs w:val="28"/>
          <w:lang w:eastAsia="es-ES"/>
        </w:rPr>
        <w:t>.</w:t>
      </w:r>
    </w:p>
    <w:p w:rsidR="00A82351" w:rsidRPr="00EE2FA1" w:rsidRDefault="00EE2FA1" w:rsidP="00A82351">
      <w:pPr>
        <w:pStyle w:val="Prrafodelista"/>
        <w:tabs>
          <w:tab w:val="left" w:pos="426"/>
          <w:tab w:val="left" w:pos="567"/>
        </w:tabs>
        <w:spacing w:line="0" w:lineRule="atLeast"/>
        <w:ind w:left="0"/>
        <w:jc w:val="both"/>
        <w:rPr>
          <w:rFonts w:ascii="Times New Roman" w:eastAsia="Calibri" w:hAnsi="Times New Roman" w:cs="Times New Roman"/>
          <w:bCs/>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bCs/>
          <w:sz w:val="28"/>
          <w:szCs w:val="28"/>
          <w:lang w:eastAsia="es-ES"/>
        </w:rPr>
        <w:t xml:space="preserve">Dicho esto, </w:t>
      </w:r>
      <w:r w:rsidRPr="00EE2FA1">
        <w:rPr>
          <w:rFonts w:ascii="Times New Roman" w:eastAsia="Calibri" w:hAnsi="Times New Roman" w:cs="Times New Roman"/>
          <w:bCs/>
          <w:sz w:val="28"/>
          <w:szCs w:val="28"/>
          <w:lang w:eastAsia="es-ES"/>
        </w:rPr>
        <w:t xml:space="preserve">se recuerda que </w:t>
      </w:r>
      <w:r w:rsidRPr="00EE2FA1">
        <w:rPr>
          <w:rFonts w:ascii="Times New Roman" w:eastAsia="Calibri" w:hAnsi="Times New Roman" w:cs="Times New Roman"/>
          <w:bCs/>
          <w:sz w:val="28"/>
          <w:szCs w:val="28"/>
          <w:lang w:eastAsia="es-ES"/>
        </w:rPr>
        <w:t>la jurisprudencia</w:t>
      </w:r>
      <w:r w:rsidRPr="00EE2FA1">
        <w:rPr>
          <w:rFonts w:ascii="Times New Roman" w:eastAsia="Calibri" w:hAnsi="Times New Roman" w:cs="Times New Roman"/>
          <w:bCs/>
          <w:sz w:val="28"/>
          <w:szCs w:val="28"/>
          <w:lang w:eastAsia="es-ES"/>
        </w:rPr>
        <w:t xml:space="preserve"> constitucional</w:t>
      </w:r>
      <w:r w:rsidRPr="00EE2FA1">
        <w:rPr>
          <w:rFonts w:ascii="Times New Roman" w:eastAsia="Calibri" w:hAnsi="Times New Roman" w:cs="Times New Roman"/>
          <w:bCs/>
          <w:sz w:val="28"/>
          <w:szCs w:val="28"/>
          <w:lang w:eastAsia="es-ES"/>
        </w:rPr>
        <w:t xml:space="preserve"> ha sostenido que el principio de equidad admite dos aproximaciones: una predicable de los tributos individualmente considerados y otra, del sistema tributario en su conjunto. Una aproximación que incluye tanto el carácter sistémico como individual en el e</w:t>
      </w:r>
      <w:r w:rsidRPr="00EE2FA1">
        <w:rPr>
          <w:rFonts w:ascii="Times New Roman" w:eastAsia="Calibri" w:hAnsi="Times New Roman" w:cs="Times New Roman"/>
          <w:bCs/>
          <w:sz w:val="28"/>
          <w:szCs w:val="28"/>
          <w:lang w:eastAsia="es-ES"/>
        </w:rPr>
        <w:t>xamen de la equidad se expuso en la Sentencia C-1003 de 2004</w:t>
      </w:r>
      <w:r w:rsidRPr="00EE2FA1">
        <w:rPr>
          <w:rStyle w:val="Refdenotaalpie"/>
          <w:rFonts w:ascii="Times New Roman" w:eastAsia="Calibri" w:hAnsi="Times New Roman" w:cs="Times New Roman"/>
          <w:bCs/>
          <w:sz w:val="28"/>
          <w:szCs w:val="28"/>
          <w:lang w:eastAsia="es-ES"/>
        </w:rPr>
        <w:footnoteReference w:id="242"/>
      </w:r>
      <w:r w:rsidRPr="00EE2FA1">
        <w:rPr>
          <w:rFonts w:ascii="Times New Roman" w:eastAsia="Calibri" w:hAnsi="Times New Roman" w:cs="Times New Roman"/>
          <w:bCs/>
          <w:sz w:val="28"/>
          <w:szCs w:val="28"/>
          <w:lang w:eastAsia="es-ES"/>
        </w:rPr>
        <w:t>, en la que se advirtió que una regulación tributaria que no utilice criterios potencialmente discriminatorios, ni afecte directamente el goce de un derecho fundamental no viola el principio de e</w:t>
      </w:r>
      <w:r w:rsidRPr="00EE2FA1">
        <w:rPr>
          <w:rFonts w:ascii="Times New Roman" w:eastAsia="Calibri" w:hAnsi="Times New Roman" w:cs="Times New Roman"/>
          <w:bCs/>
          <w:sz w:val="28"/>
          <w:szCs w:val="28"/>
          <w:lang w:eastAsia="es-ES"/>
        </w:rPr>
        <w:t>quidad, si la medida establecida por la norma “es un medio razonablemente adecuado para alcanzar un objetivo constitucionalmente admisible”.</w:t>
      </w:r>
    </w:p>
    <w:p w:rsidR="000602A9" w:rsidRPr="00EE2FA1" w:rsidRDefault="00EE2FA1" w:rsidP="000602A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bCs/>
          <w:sz w:val="28"/>
          <w:szCs w:val="28"/>
          <w:lang w:eastAsia="es-ES"/>
        </w:rPr>
        <w:t>En la Sentencia C-052 de 2016</w:t>
      </w:r>
      <w:r w:rsidRPr="00EE2FA1">
        <w:rPr>
          <w:rStyle w:val="Refdenotaalpie"/>
          <w:rFonts w:ascii="Times New Roman" w:eastAsia="Calibri" w:hAnsi="Times New Roman" w:cs="Times New Roman"/>
          <w:bCs/>
          <w:sz w:val="28"/>
          <w:szCs w:val="28"/>
          <w:lang w:eastAsia="es-ES"/>
        </w:rPr>
        <w:footnoteReference w:id="243"/>
      </w:r>
      <w:r w:rsidRPr="00EE2FA1">
        <w:rPr>
          <w:rFonts w:ascii="Times New Roman" w:eastAsia="Calibri" w:hAnsi="Times New Roman" w:cs="Times New Roman"/>
          <w:bCs/>
          <w:sz w:val="28"/>
          <w:szCs w:val="28"/>
          <w:lang w:eastAsia="es-ES"/>
        </w:rPr>
        <w:t xml:space="preserve"> se explicó que el límite individual, por virtud del cual los conceptos de justicia </w:t>
      </w:r>
      <w:r w:rsidRPr="00EE2FA1">
        <w:rPr>
          <w:rFonts w:ascii="Times New Roman" w:eastAsia="Calibri" w:hAnsi="Times New Roman" w:cs="Times New Roman"/>
          <w:bCs/>
          <w:sz w:val="28"/>
          <w:szCs w:val="28"/>
          <w:lang w:eastAsia="es-ES"/>
        </w:rPr>
        <w:t xml:space="preserve">y equidad (previstos en el artículo 95.9) </w:t>
      </w:r>
      <w:r w:rsidRPr="00EE2FA1">
        <w:rPr>
          <w:rFonts w:ascii="Times New Roman" w:eastAsia="Calibri" w:hAnsi="Times New Roman" w:cs="Times New Roman"/>
          <w:bCs/>
          <w:sz w:val="28"/>
          <w:szCs w:val="28"/>
          <w:lang w:eastAsia="es-ES"/>
        </w:rPr>
        <w:t>prohíben</w:t>
      </w:r>
      <w:r w:rsidRPr="00EE2FA1">
        <w:rPr>
          <w:rFonts w:ascii="Times New Roman" w:eastAsia="Calibri" w:hAnsi="Times New Roman" w:cs="Times New Roman"/>
          <w:bCs/>
          <w:sz w:val="28"/>
          <w:szCs w:val="28"/>
          <w:lang w:eastAsia="es-ES"/>
        </w:rPr>
        <w:t xml:space="preserve"> imponer cargas fiscales que no consulten la capacidad económica del contribuyente, tiene una doble proyección. Por una parte, “obliga al legislador a definir el tributo sobre una base reveladora de la capa</w:t>
      </w:r>
      <w:r w:rsidRPr="00EE2FA1">
        <w:rPr>
          <w:rFonts w:ascii="Times New Roman" w:eastAsia="Calibri" w:hAnsi="Times New Roman" w:cs="Times New Roman"/>
          <w:bCs/>
          <w:sz w:val="28"/>
          <w:szCs w:val="28"/>
          <w:lang w:eastAsia="es-ES"/>
        </w:rPr>
        <w:t>cidad contributiva de la persona, como la renta, la riqueza o el patrimonio, la propiedad o el consumo (o la propensión al consumo)”, y, por la otra, exige consultar el poder “real” de los contribuyentes para financiarlo.</w:t>
      </w:r>
    </w:p>
    <w:p w:rsidR="00F43564" w:rsidRPr="00EE2FA1" w:rsidRDefault="00EE2FA1" w:rsidP="00F43564">
      <w:pPr>
        <w:pStyle w:val="Prrafodelista"/>
        <w:rPr>
          <w:rFonts w:ascii="Times New Roman" w:eastAsia="Calibri" w:hAnsi="Times New Roman" w:cs="Times New Roman"/>
          <w:sz w:val="28"/>
          <w:szCs w:val="28"/>
          <w:lang w:eastAsia="es-ES"/>
        </w:rPr>
      </w:pPr>
    </w:p>
    <w:p w:rsidR="00F43564" w:rsidRPr="00EE2FA1" w:rsidRDefault="00EE2FA1" w:rsidP="00A605A8">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De esta manera, la Corte </w:t>
      </w:r>
      <w:r w:rsidRPr="00EE2FA1">
        <w:rPr>
          <w:rFonts w:ascii="Times New Roman" w:eastAsia="Calibri" w:hAnsi="Times New Roman" w:cs="Times New Roman"/>
          <w:sz w:val="28"/>
          <w:szCs w:val="28"/>
          <w:lang w:eastAsia="es-ES"/>
        </w:rPr>
        <w:t>Constitucional en la Sentencia C-405 de 2023</w:t>
      </w:r>
      <w:r w:rsidRPr="00EE2FA1">
        <w:rPr>
          <w:rStyle w:val="Refdenotaalpie"/>
          <w:rFonts w:ascii="Times New Roman" w:eastAsia="Calibri" w:hAnsi="Times New Roman" w:cs="Times New Roman"/>
          <w:sz w:val="28"/>
          <w:szCs w:val="28"/>
          <w:lang w:eastAsia="es-ES"/>
        </w:rPr>
        <w:footnoteReference w:id="244"/>
      </w:r>
      <w:r w:rsidRPr="00EE2FA1">
        <w:rPr>
          <w:rFonts w:ascii="Times New Roman" w:eastAsia="Calibri" w:hAnsi="Times New Roman" w:cs="Times New Roman"/>
          <w:sz w:val="28"/>
          <w:szCs w:val="28"/>
          <w:lang w:eastAsia="es-ES"/>
        </w:rPr>
        <w:t xml:space="preserve"> expresó que “</w:t>
      </w:r>
      <w:r w:rsidRPr="00EE2FA1">
        <w:rPr>
          <w:rFonts w:ascii="Times New Roman" w:eastAsia="Calibri" w:hAnsi="Times New Roman" w:cs="Times New Roman"/>
          <w:sz w:val="28"/>
          <w:szCs w:val="28"/>
          <w:lang w:val="es-ES" w:eastAsia="es-ES"/>
        </w:rPr>
        <w:t>el principio de equidad tributaria ha sido una constante en todos los casos estudiados. Lo anterior obedece, entre otras razones, al hecho que la equidad tributaria tiene mayor proximidad conceptua</w:t>
      </w:r>
      <w:r w:rsidRPr="00EE2FA1">
        <w:rPr>
          <w:rFonts w:ascii="Times New Roman" w:eastAsia="Calibri" w:hAnsi="Times New Roman" w:cs="Times New Roman"/>
          <w:sz w:val="28"/>
          <w:szCs w:val="28"/>
          <w:lang w:val="es-ES" w:eastAsia="es-ES"/>
        </w:rPr>
        <w:t>l con la capacidad contributiva, pues la Corte Constitucional ha entendido que ‘es un criterio con base en el cual se pondera la distribución de las cargas y de los beneficios o la imposición de gravámenes entre los contribuyentes para evitar que haya </w:t>
      </w:r>
      <w:r w:rsidRPr="00EE2FA1">
        <w:rPr>
          <w:rFonts w:ascii="Times New Roman" w:eastAsia="Calibri" w:hAnsi="Times New Roman" w:cs="Times New Roman"/>
          <w:sz w:val="28"/>
          <w:szCs w:val="28"/>
          <w:u w:val="single"/>
          <w:lang w:val="es-ES" w:eastAsia="es-ES"/>
        </w:rPr>
        <w:t>carg</w:t>
      </w:r>
      <w:r w:rsidRPr="00EE2FA1">
        <w:rPr>
          <w:rFonts w:ascii="Times New Roman" w:eastAsia="Calibri" w:hAnsi="Times New Roman" w:cs="Times New Roman"/>
          <w:sz w:val="28"/>
          <w:szCs w:val="28"/>
          <w:u w:val="single"/>
          <w:lang w:val="es-ES" w:eastAsia="es-ES"/>
        </w:rPr>
        <w:t>as excesivas o beneficios exagerados</w:t>
      </w:r>
      <w:r w:rsidRPr="00EE2FA1">
        <w:rPr>
          <w:rFonts w:ascii="Times New Roman" w:eastAsia="Calibri" w:hAnsi="Times New Roman" w:cs="Times New Roman"/>
          <w:i/>
          <w:iCs/>
          <w:sz w:val="28"/>
          <w:szCs w:val="28"/>
          <w:lang w:val="es-ES" w:eastAsia="es-ES"/>
        </w:rPr>
        <w:t>. </w:t>
      </w:r>
      <w:r w:rsidRPr="00EE2FA1">
        <w:rPr>
          <w:rFonts w:ascii="Times New Roman" w:eastAsia="Calibri" w:hAnsi="Times New Roman" w:cs="Times New Roman"/>
          <w:sz w:val="28"/>
          <w:szCs w:val="28"/>
          <w:lang w:val="es-ES" w:eastAsia="es-ES"/>
        </w:rPr>
        <w:t xml:space="preserve">Una carga es excesiva o un beneficio es exagerado cuando no consulta la capacidad económica de los sujetos pasivos.’” </w:t>
      </w:r>
    </w:p>
    <w:p w:rsidR="00F43564" w:rsidRPr="00EE2FA1" w:rsidRDefault="00EE2FA1" w:rsidP="00F43564">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En consonancia con lo anterior, recientemente, en la Sentencia C-489 de 2023</w:t>
      </w:r>
      <w:r w:rsidRPr="00EE2FA1">
        <w:rPr>
          <w:rStyle w:val="Refdenotaalpie"/>
          <w:rFonts w:ascii="Times New Roman" w:hAnsi="Times New Roman" w:cs="Times New Roman"/>
          <w:sz w:val="28"/>
          <w:szCs w:val="28"/>
        </w:rPr>
        <w:footnoteReference w:id="245"/>
      </w:r>
      <w:r w:rsidRPr="00EE2FA1">
        <w:rPr>
          <w:rFonts w:ascii="Times New Roman" w:hAnsi="Times New Roman" w:cs="Times New Roman"/>
          <w:sz w:val="28"/>
          <w:szCs w:val="28"/>
        </w:rPr>
        <w:t xml:space="preserve"> la Corte precisó el alcance del principio de equidad en materia tributaria. Al respecto, sostuvo que:</w:t>
      </w:r>
    </w:p>
    <w:p w:rsidR="000602A9" w:rsidRPr="00EE2FA1" w:rsidRDefault="00EE2FA1" w:rsidP="000602A9">
      <w:pPr>
        <w:pStyle w:val="Prrafodelista"/>
        <w:tabs>
          <w:tab w:val="left" w:pos="426"/>
        </w:tabs>
        <w:spacing w:line="0" w:lineRule="atLeast"/>
        <w:ind w:left="0"/>
        <w:jc w:val="both"/>
        <w:rPr>
          <w:rFonts w:ascii="Times New Roman" w:hAnsi="Times New Roman" w:cs="Times New Roman"/>
          <w:sz w:val="28"/>
          <w:szCs w:val="28"/>
        </w:rPr>
      </w:pPr>
    </w:p>
    <w:p w:rsidR="000602A9" w:rsidRPr="00EE2FA1" w:rsidRDefault="00EE2FA1" w:rsidP="00AD67C7">
      <w:pPr>
        <w:pStyle w:val="Prrafodelista"/>
        <w:spacing w:line="0" w:lineRule="atLeast"/>
        <w:ind w:left="567"/>
        <w:jc w:val="both"/>
        <w:rPr>
          <w:rFonts w:ascii="Times New Roman" w:eastAsia="Calibri" w:hAnsi="Times New Roman" w:cs="Times New Roman"/>
          <w:sz w:val="28"/>
          <w:lang w:eastAsia="es-ES"/>
        </w:rPr>
      </w:pPr>
      <w:r w:rsidRPr="00EE2FA1">
        <w:rPr>
          <w:rFonts w:ascii="Times New Roman" w:hAnsi="Times New Roman" w:cs="Times New Roman"/>
          <w:sz w:val="28"/>
        </w:rPr>
        <w:t>“existe una violación del principio de equidad tributaria: “(i) [cuando] el monto a pagar por concepto del tributo se define sin atender la capacidad de</w:t>
      </w:r>
      <w:r w:rsidRPr="00EE2FA1">
        <w:rPr>
          <w:rFonts w:ascii="Times New Roman" w:hAnsi="Times New Roman" w:cs="Times New Roman"/>
          <w:sz w:val="28"/>
        </w:rPr>
        <w:t xml:space="preserve"> pago del contribuyente; (ii) la regulación grava de manera disímil a sujetos o situaciones jurídicas análogas, sin que concurra una justificación constitucionalmente atendible para ello;  (iii) el tributo es o tiene implicaciones confiscatorias; y, finalm</w:t>
      </w:r>
      <w:r w:rsidRPr="00EE2FA1">
        <w:rPr>
          <w:rFonts w:ascii="Times New Roman" w:hAnsi="Times New Roman" w:cs="Times New Roman"/>
          <w:sz w:val="28"/>
        </w:rPr>
        <w:t>ente, (iv) existe un evento con carácter general que consiste en la prescripción por el legislador de tratamientos jurídicos irrazonables, bien porque la obligación fiscal se base en criterios abiertamente inequitativos, infundados o que privilegian al con</w:t>
      </w:r>
      <w:r w:rsidRPr="00EE2FA1">
        <w:rPr>
          <w:rFonts w:ascii="Times New Roman" w:hAnsi="Times New Roman" w:cs="Times New Roman"/>
          <w:sz w:val="28"/>
        </w:rPr>
        <w:t>tribuyente moroso y en perjuicio de quienes cumplieron oportunamente con el deber constitucional de concurrir con el financiamiento de los gastos del Estado”.</w:t>
      </w:r>
    </w:p>
    <w:p w:rsidR="001E614C" w:rsidRPr="00EE2FA1" w:rsidRDefault="00EE2FA1" w:rsidP="000602A9">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El amplio margen de configuración del legislador en materia tributaria</w:t>
      </w:r>
      <w:r w:rsidRPr="00EE2FA1">
        <w:rPr>
          <w:rStyle w:val="Refdenotaalpie"/>
          <w:rFonts w:ascii="Times New Roman" w:eastAsia="Calibri" w:hAnsi="Times New Roman" w:cs="Times New Roman"/>
          <w:b/>
          <w:bCs/>
          <w:sz w:val="28"/>
          <w:szCs w:val="28"/>
          <w:lang w:eastAsia="es-ES"/>
        </w:rPr>
        <w:footnoteReference w:id="246"/>
      </w:r>
    </w:p>
    <w:p w:rsidR="00A27AB0" w:rsidRPr="00EE2FA1" w:rsidRDefault="00EE2FA1" w:rsidP="000602A9">
      <w:pPr>
        <w:pStyle w:val="Prrafodelista"/>
        <w:tabs>
          <w:tab w:val="left" w:pos="426"/>
          <w:tab w:val="left" w:pos="567"/>
        </w:tabs>
        <w:spacing w:line="0" w:lineRule="atLeast"/>
        <w:ind w:left="0"/>
        <w:jc w:val="both"/>
        <w:rPr>
          <w:rFonts w:ascii="Times New Roman" w:hAnsi="Times New Roman" w:cs="Times New Roman"/>
          <w:b/>
          <w:bCs/>
          <w:sz w:val="28"/>
          <w:szCs w:val="28"/>
          <w:shd w:val="clear" w:color="auto" w:fill="FFFFFF"/>
        </w:rPr>
      </w:pPr>
    </w:p>
    <w:p w:rsidR="00B512E2"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bCs/>
          <w:sz w:val="28"/>
          <w:szCs w:val="28"/>
        </w:rPr>
        <w:t>E</w:t>
      </w:r>
      <w:r w:rsidRPr="00EE2FA1">
        <w:rPr>
          <w:rFonts w:ascii="Times New Roman" w:hAnsi="Times New Roman" w:cs="Times New Roman"/>
          <w:bCs/>
          <w:sz w:val="28"/>
          <w:szCs w:val="28"/>
          <w:lang w:val="es-ES_tradnl"/>
        </w:rPr>
        <w:t xml:space="preserve">l artículo 150 de la </w:t>
      </w:r>
      <w:r w:rsidRPr="00EE2FA1">
        <w:rPr>
          <w:rFonts w:ascii="Times New Roman" w:hAnsi="Times New Roman" w:cs="Times New Roman"/>
          <w:bCs/>
          <w:sz w:val="28"/>
          <w:szCs w:val="28"/>
          <w:lang w:val="es-ES_tradnl"/>
        </w:rPr>
        <w:t>Constitución señala que le corresponde al Congreso hacer las leyes y por medio de estas “[e]stablecer contribuciones fiscales y, excepcionalmente, contribuciones parafiscales en los casos y bajo las condiciones que establezca la ley”.</w:t>
      </w:r>
      <w:r w:rsidRPr="00EE2FA1">
        <w:rPr>
          <w:rStyle w:val="Refdenotaalpie"/>
          <w:rFonts w:ascii="Times New Roman" w:hAnsi="Times New Roman" w:cs="Times New Roman"/>
          <w:bCs/>
          <w:sz w:val="28"/>
          <w:szCs w:val="28"/>
          <w:lang w:val="es-ES_tradnl"/>
        </w:rPr>
        <w:footnoteReference w:id="247"/>
      </w:r>
      <w:r w:rsidRPr="00EE2FA1">
        <w:rPr>
          <w:rFonts w:ascii="Times New Roman" w:hAnsi="Times New Roman" w:cs="Times New Roman"/>
          <w:bCs/>
          <w:i/>
          <w:iCs/>
          <w:sz w:val="28"/>
          <w:szCs w:val="28"/>
          <w:lang w:val="es-ES_tradnl"/>
        </w:rPr>
        <w:t xml:space="preserve"> </w:t>
      </w:r>
      <w:r w:rsidRPr="00EE2FA1">
        <w:rPr>
          <w:rFonts w:ascii="Times New Roman" w:hAnsi="Times New Roman" w:cs="Times New Roman"/>
          <w:bCs/>
          <w:sz w:val="28"/>
          <w:szCs w:val="28"/>
          <w:lang w:val="es-ES_tradnl"/>
        </w:rPr>
        <w:t>Así mismo, el artícu</w:t>
      </w:r>
      <w:r w:rsidRPr="00EE2FA1">
        <w:rPr>
          <w:rFonts w:ascii="Times New Roman" w:hAnsi="Times New Roman" w:cs="Times New Roman"/>
          <w:bCs/>
          <w:sz w:val="28"/>
          <w:szCs w:val="28"/>
          <w:lang w:val="es-ES_tradnl"/>
        </w:rPr>
        <w:t xml:space="preserve">lo 338 superior indica que, </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en tiempos de paz, solo el Congreso, las asambleas departamentales y los concejos distritales y municipales podrán imponer contribuciones fiscales o parafiscales. De igual modo, las leyes, ordenanzas y acuerdos deben fijar dire</w:t>
      </w:r>
      <w:r w:rsidRPr="00EE2FA1">
        <w:rPr>
          <w:rFonts w:ascii="Times New Roman" w:hAnsi="Times New Roman" w:cs="Times New Roman"/>
          <w:bCs/>
          <w:sz w:val="28"/>
          <w:szCs w:val="28"/>
          <w:lang w:val="es-ES_tradnl"/>
        </w:rPr>
        <w:t>ctamente los sujetos activos y pasivos, los hechos, las bases gravables y las tarifas de los impuestos</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w:t>
      </w:r>
    </w:p>
    <w:p w:rsidR="00B512E2" w:rsidRPr="00EE2FA1" w:rsidRDefault="00EE2FA1" w:rsidP="00B512E2">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bCs/>
          <w:sz w:val="28"/>
          <w:szCs w:val="28"/>
          <w:lang w:val="es-ES_tradnl"/>
        </w:rPr>
        <w:t>En consecuencia, el órgano legislativo tiene la potestad para imponer contribuciones e impuestos, fijar los elementos configurativos de las obligacio</w:t>
      </w:r>
      <w:r w:rsidRPr="00EE2FA1">
        <w:rPr>
          <w:rFonts w:ascii="Times New Roman" w:hAnsi="Times New Roman" w:cs="Times New Roman"/>
          <w:bCs/>
          <w:sz w:val="28"/>
          <w:szCs w:val="28"/>
          <w:lang w:val="es-ES_tradnl"/>
        </w:rPr>
        <w:t>nes tributarias y crear los controles y sanciones en caso de incumplimiento</w:t>
      </w:r>
      <w:r w:rsidRPr="00EE2FA1">
        <w:rPr>
          <w:rStyle w:val="Refdenotaalpie"/>
          <w:rFonts w:ascii="Times New Roman" w:hAnsi="Times New Roman" w:cs="Times New Roman"/>
          <w:bCs/>
          <w:sz w:val="28"/>
          <w:szCs w:val="28"/>
          <w:lang w:val="es-ES_tradnl"/>
        </w:rPr>
        <w:footnoteReference w:id="248"/>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Ello</w:t>
      </w:r>
      <w:r w:rsidRPr="00EE2FA1">
        <w:rPr>
          <w:rFonts w:ascii="Times New Roman" w:hAnsi="Times New Roman" w:cs="Times New Roman"/>
          <w:bCs/>
          <w:sz w:val="28"/>
          <w:szCs w:val="28"/>
          <w:lang w:val="es-ES_tradnl"/>
        </w:rPr>
        <w:t>,</w:t>
      </w:r>
      <w:r w:rsidRPr="00EE2FA1">
        <w:rPr>
          <w:rFonts w:ascii="Times New Roman" w:hAnsi="Times New Roman" w:cs="Times New Roman"/>
          <w:bCs/>
          <w:sz w:val="28"/>
          <w:szCs w:val="28"/>
          <w:lang w:val="es-ES_tradnl"/>
        </w:rPr>
        <w:t xml:space="preserve"> en concurrencia con las competencias que se reconocen constitucionalmente a las autoridades de las entidades territoriales, en ejercicio de su autonomía.</w:t>
      </w:r>
    </w:p>
    <w:p w:rsidR="000602A9" w:rsidRPr="00EE2FA1" w:rsidRDefault="00EE2FA1" w:rsidP="000602A9">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0602A9" w:rsidRPr="00EE2FA1" w:rsidRDefault="00EE2FA1" w:rsidP="000602A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bCs/>
          <w:sz w:val="28"/>
          <w:szCs w:val="28"/>
          <w:lang w:val="es-ES_tradnl"/>
        </w:rPr>
        <w:t xml:space="preserve">En reiteradas </w:t>
      </w:r>
      <w:r w:rsidRPr="00EE2FA1">
        <w:rPr>
          <w:rFonts w:ascii="Times New Roman" w:hAnsi="Times New Roman" w:cs="Times New Roman"/>
          <w:bCs/>
          <w:sz w:val="28"/>
          <w:szCs w:val="28"/>
          <w:lang w:val="es-ES_tradnl"/>
        </w:rPr>
        <w:t>oportunidades, esta corporación se ha pronunciado sobre la amplia configuración que le asiste al legislador en materia tributaria, como una expresión de la voluntad política de la colectividad. Por ejemplo, la Sentencia C-322 de 2022</w:t>
      </w:r>
      <w:r w:rsidRPr="00EE2FA1">
        <w:rPr>
          <w:rStyle w:val="Refdenotaalpie"/>
          <w:rFonts w:ascii="Times New Roman" w:hAnsi="Times New Roman" w:cs="Times New Roman"/>
          <w:bCs/>
          <w:sz w:val="28"/>
          <w:szCs w:val="28"/>
        </w:rPr>
        <w:footnoteReference w:id="249"/>
      </w:r>
      <w:r w:rsidRPr="00EE2FA1">
        <w:rPr>
          <w:rFonts w:ascii="Times New Roman" w:hAnsi="Times New Roman" w:cs="Times New Roman"/>
          <w:bCs/>
          <w:sz w:val="28"/>
          <w:szCs w:val="28"/>
        </w:rPr>
        <w:t xml:space="preserve"> recordó que la atribu</w:t>
      </w:r>
      <w:r w:rsidRPr="00EE2FA1">
        <w:rPr>
          <w:rFonts w:ascii="Times New Roman" w:hAnsi="Times New Roman" w:cs="Times New Roman"/>
          <w:bCs/>
          <w:sz w:val="28"/>
          <w:szCs w:val="28"/>
        </w:rPr>
        <w:t>ción de legislar en materia tributaria es suficientemente amplia para que el Congreso de la República fije los elementos básicos de cada tributo, conforme a su propia evaluación y sus orientaciones en torno a las mejores conveniencias de la economía y de l</w:t>
      </w:r>
      <w:r w:rsidRPr="00EE2FA1">
        <w:rPr>
          <w:rFonts w:ascii="Times New Roman" w:hAnsi="Times New Roman" w:cs="Times New Roman"/>
          <w:bCs/>
          <w:sz w:val="28"/>
          <w:szCs w:val="28"/>
        </w:rPr>
        <w:t>a actividad estatal.</w:t>
      </w:r>
      <w:r w:rsidRPr="00EE2FA1">
        <w:rPr>
          <w:rStyle w:val="Refdenotaalpie"/>
          <w:rFonts w:ascii="Times New Roman" w:hAnsi="Times New Roman" w:cs="Times New Roman"/>
          <w:bCs/>
          <w:sz w:val="28"/>
          <w:szCs w:val="28"/>
        </w:rPr>
        <w:footnoteReference w:id="250"/>
      </w:r>
      <w:r w:rsidRPr="00EE2FA1">
        <w:rPr>
          <w:rFonts w:ascii="Times New Roman" w:hAnsi="Times New Roman" w:cs="Times New Roman"/>
          <w:bCs/>
          <w:sz w:val="28"/>
          <w:szCs w:val="28"/>
        </w:rPr>
        <w:t xml:space="preserve"> De este modo, mientras las normas no se opongan a los mandatos constitucionales, el legislador es autónomo para </w:t>
      </w:r>
      <w:r w:rsidRPr="00EE2FA1">
        <w:rPr>
          <w:rFonts w:ascii="Times New Roman" w:hAnsi="Times New Roman" w:cs="Times New Roman"/>
          <w:sz w:val="28"/>
          <w:szCs w:val="28"/>
        </w:rPr>
        <w:t>crear, modificar y eliminar impuestos, tasas y contribuciones nacionales, así como para regular todo lo pertinente al tiem</w:t>
      </w:r>
      <w:r w:rsidRPr="00EE2FA1">
        <w:rPr>
          <w:rFonts w:ascii="Times New Roman" w:hAnsi="Times New Roman" w:cs="Times New Roman"/>
          <w:sz w:val="28"/>
          <w:szCs w:val="28"/>
        </w:rPr>
        <w:t>po de su vigencia, los sujetos activos y pasivos, los hechos y las bases gravables, las tarifas y las formas de cobro y recaudo.</w:t>
      </w:r>
      <w:r w:rsidRPr="00EE2FA1">
        <w:rPr>
          <w:rStyle w:val="Refdenotaalpie"/>
          <w:rFonts w:ascii="Times New Roman" w:hAnsi="Times New Roman" w:cs="Times New Roman"/>
          <w:sz w:val="28"/>
          <w:szCs w:val="28"/>
        </w:rPr>
        <w:footnoteReference w:id="251"/>
      </w:r>
      <w:r w:rsidRPr="00EE2FA1">
        <w:rPr>
          <w:rFonts w:ascii="Times New Roman" w:hAnsi="Times New Roman" w:cs="Times New Roman"/>
          <w:sz w:val="28"/>
          <w:szCs w:val="28"/>
        </w:rPr>
        <w:t xml:space="preserve"> </w:t>
      </w:r>
      <w:r w:rsidRPr="00EE2FA1">
        <w:rPr>
          <w:rFonts w:ascii="Times New Roman" w:hAnsi="Times New Roman" w:cs="Times New Roman"/>
          <w:sz w:val="28"/>
          <w:szCs w:val="28"/>
          <w:lang w:val="es-ES_tradnl"/>
        </w:rPr>
        <w:t>La definición de los elementos estructurales de los impuestos nacionales está a cargo del Congreso de la República. La ley med</w:t>
      </w:r>
      <w:r w:rsidRPr="00EE2FA1">
        <w:rPr>
          <w:rFonts w:ascii="Times New Roman" w:hAnsi="Times New Roman" w:cs="Times New Roman"/>
          <w:sz w:val="28"/>
          <w:szCs w:val="28"/>
          <w:lang w:val="es-ES_tradnl"/>
        </w:rPr>
        <w:t>iante la cual se crea un impuesto de carácter nacional</w:t>
      </w:r>
      <w:r w:rsidRPr="00EE2FA1">
        <w:rPr>
          <w:rStyle w:val="apple-converted-space"/>
          <w:rFonts w:ascii="Times New Roman" w:eastAsia="MS Gothic" w:hAnsi="Times New Roman" w:cs="Times New Roman"/>
          <w:sz w:val="28"/>
          <w:szCs w:val="28"/>
          <w:lang w:val="es-ES_tradnl"/>
        </w:rPr>
        <w:t xml:space="preserve"> </w:t>
      </w:r>
      <w:r w:rsidRPr="00EE2FA1">
        <w:rPr>
          <w:rFonts w:ascii="Times New Roman" w:hAnsi="Times New Roman" w:cs="Times New Roman"/>
          <w:sz w:val="28"/>
          <w:szCs w:val="28"/>
          <w:bdr w:val="none" w:sz="0" w:space="0" w:color="auto" w:frame="1"/>
          <w:lang w:val="es-ES_tradnl"/>
        </w:rPr>
        <w:t>debe establecer todos los elementos de la obligación tributaria de manera clara e inequívoca.</w:t>
      </w:r>
      <w:r w:rsidRPr="00EE2FA1">
        <w:rPr>
          <w:rStyle w:val="Refdenotaalpie"/>
          <w:rFonts w:ascii="Times New Roman" w:hAnsi="Times New Roman" w:cs="Times New Roman"/>
          <w:sz w:val="28"/>
          <w:szCs w:val="28"/>
          <w:bdr w:val="none" w:sz="0" w:space="0" w:color="auto" w:frame="1"/>
          <w:lang w:val="es-ES_tradnl"/>
        </w:rPr>
        <w:footnoteReference w:id="252"/>
      </w:r>
      <w:r w:rsidRPr="00EE2FA1">
        <w:rPr>
          <w:rFonts w:ascii="Times New Roman" w:hAnsi="Times New Roman" w:cs="Times New Roman"/>
          <w:sz w:val="28"/>
          <w:szCs w:val="28"/>
          <w:bdr w:val="none" w:sz="0" w:space="0" w:color="auto" w:frame="1"/>
          <w:lang w:val="es-ES_tradnl"/>
        </w:rPr>
        <w:t xml:space="preserve"> </w:t>
      </w:r>
    </w:p>
    <w:p w:rsidR="000602A9" w:rsidRPr="00EE2FA1" w:rsidRDefault="00EE2FA1" w:rsidP="007A0F65">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p>
    <w:p w:rsidR="007A0F65" w:rsidRPr="00EE2FA1" w:rsidRDefault="00EE2FA1" w:rsidP="007A0F65">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Referentes</w:t>
      </w:r>
      <w:r w:rsidRPr="00EE2FA1">
        <w:rPr>
          <w:rFonts w:ascii="Times New Roman" w:eastAsia="Calibri" w:hAnsi="Times New Roman" w:cs="Times New Roman"/>
          <w:b/>
          <w:bCs/>
          <w:sz w:val="28"/>
          <w:szCs w:val="28"/>
          <w:lang w:eastAsia="es-ES"/>
        </w:rPr>
        <w:t xml:space="preserve"> y precedentes</w:t>
      </w:r>
      <w:r w:rsidRPr="00EE2FA1">
        <w:rPr>
          <w:rFonts w:ascii="Times New Roman" w:eastAsia="Calibri" w:hAnsi="Times New Roman" w:cs="Times New Roman"/>
          <w:b/>
          <w:bCs/>
          <w:sz w:val="28"/>
          <w:szCs w:val="28"/>
          <w:lang w:eastAsia="es-ES"/>
        </w:rPr>
        <w:t xml:space="preserve"> jurisprudenciales</w:t>
      </w:r>
      <w:r w:rsidRPr="00EE2FA1">
        <w:rPr>
          <w:rFonts w:ascii="Times New Roman" w:eastAsia="Calibri" w:hAnsi="Times New Roman" w:cs="Times New Roman"/>
          <w:b/>
          <w:bCs/>
          <w:sz w:val="28"/>
          <w:szCs w:val="28"/>
          <w:lang w:eastAsia="es-ES"/>
        </w:rPr>
        <w:t xml:space="preserve"> en la materia</w:t>
      </w:r>
      <w:r w:rsidRPr="00EE2FA1">
        <w:rPr>
          <w:rFonts w:ascii="Times New Roman" w:eastAsia="Calibri" w:hAnsi="Times New Roman" w:cs="Times New Roman"/>
          <w:b/>
          <w:bCs/>
          <w:sz w:val="28"/>
          <w:szCs w:val="28"/>
          <w:lang w:eastAsia="es-ES"/>
        </w:rPr>
        <w:t xml:space="preserve"> analizada</w:t>
      </w:r>
    </w:p>
    <w:p w:rsidR="00876309" w:rsidRPr="00EE2FA1" w:rsidRDefault="00EE2FA1" w:rsidP="007A0F65">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p>
    <w:p w:rsidR="00876309" w:rsidRPr="00EE2FA1" w:rsidRDefault="00EE2FA1" w:rsidP="0087630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La</w:t>
      </w:r>
      <w:r w:rsidRPr="00EE2FA1">
        <w:rPr>
          <w:rFonts w:ascii="Times New Roman" w:hAnsi="Times New Roman" w:cs="Times New Roman"/>
          <w:sz w:val="28"/>
          <w:szCs w:val="28"/>
        </w:rPr>
        <w:t xml:space="preserve"> Corte</w:t>
      </w:r>
      <w:r w:rsidRPr="00EE2FA1">
        <w:rPr>
          <w:rFonts w:ascii="Times New Roman" w:hAnsi="Times New Roman" w:cs="Times New Roman"/>
          <w:sz w:val="28"/>
          <w:szCs w:val="28"/>
        </w:rPr>
        <w:t xml:space="preserve"> Constitucional</w:t>
      </w:r>
      <w:r w:rsidRPr="00EE2FA1">
        <w:rPr>
          <w:rFonts w:ascii="Times New Roman" w:hAnsi="Times New Roman" w:cs="Times New Roman"/>
          <w:sz w:val="28"/>
          <w:szCs w:val="28"/>
        </w:rPr>
        <w:t xml:space="preserve"> estudió el artículo 240, parágrafo 7.° del Estatuto Tributario, adicionado por el artículo 92 de la Ley 2010 de 2019 que establecía la sobretasa del impuesto sobre la renta a las instituciones financieras. Esta consiste en la fijación de puntos porcentual</w:t>
      </w:r>
      <w:r w:rsidRPr="00EE2FA1">
        <w:rPr>
          <w:rFonts w:ascii="Times New Roman" w:hAnsi="Times New Roman" w:cs="Times New Roman"/>
          <w:sz w:val="28"/>
          <w:szCs w:val="28"/>
        </w:rPr>
        <w:t>es adicionales a la tarifa general de los contribuyentes de ese tributo. La Sentencia C-057 de 2021</w:t>
      </w:r>
      <w:r w:rsidRPr="00EE2FA1">
        <w:rPr>
          <w:rStyle w:val="Refdenotaalpie"/>
          <w:rFonts w:ascii="Times New Roman" w:hAnsi="Times New Roman" w:cs="Times New Roman"/>
          <w:sz w:val="28"/>
          <w:szCs w:val="28"/>
        </w:rPr>
        <w:footnoteReference w:id="253"/>
      </w:r>
      <w:r w:rsidRPr="00EE2FA1">
        <w:rPr>
          <w:rFonts w:ascii="Times New Roman" w:hAnsi="Times New Roman" w:cs="Times New Roman"/>
          <w:sz w:val="28"/>
          <w:szCs w:val="28"/>
        </w:rPr>
        <w:t xml:space="preserve"> analizó si dicha sobretarifa desconocía los principios de equidad tributaria e igualdad. Al respecto, la Corte concluyó </w:t>
      </w:r>
      <w:r w:rsidRPr="00EE2FA1">
        <w:rPr>
          <w:rFonts w:ascii="Times New Roman" w:hAnsi="Times New Roman" w:cs="Times New Roman"/>
          <w:sz w:val="28"/>
          <w:szCs w:val="28"/>
          <w:shd w:val="clear" w:color="auto" w:fill="FFFFFF"/>
        </w:rPr>
        <w:t>que la norma cuestionada no vulneró</w:t>
      </w:r>
      <w:r w:rsidRPr="00EE2FA1">
        <w:rPr>
          <w:rFonts w:ascii="Times New Roman" w:hAnsi="Times New Roman" w:cs="Times New Roman"/>
          <w:sz w:val="28"/>
          <w:szCs w:val="28"/>
          <w:shd w:val="clear" w:color="auto" w:fill="FFFFFF"/>
        </w:rPr>
        <w:t xml:space="preserve"> dichos principios. Por una parte, determinó que al fijar la sobretarifa aludida, el legislador sí tuvo en cuenta la capacidad contributiva de las entidades obligadas, con lo cual descartó que se hubiera establecido en atención a la actividad económica de </w:t>
      </w:r>
      <w:r w:rsidRPr="00EE2FA1">
        <w:rPr>
          <w:rFonts w:ascii="Times New Roman" w:hAnsi="Times New Roman" w:cs="Times New Roman"/>
          <w:sz w:val="28"/>
          <w:szCs w:val="28"/>
          <w:shd w:val="clear" w:color="auto" w:fill="FFFFFF"/>
        </w:rPr>
        <w:t xml:space="preserve">estas o al crecimiento económico del sector financiero. </w:t>
      </w:r>
    </w:p>
    <w:p w:rsidR="00876309" w:rsidRPr="00EE2FA1" w:rsidRDefault="00EE2FA1" w:rsidP="00876309">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876309" w:rsidRPr="00EE2FA1" w:rsidRDefault="00EE2FA1" w:rsidP="0087630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shd w:val="clear" w:color="auto" w:fill="FFFFFF"/>
        </w:rPr>
        <w:t xml:space="preserve">En este sentido, la sobretasa se fijó con base en determinado umbral de renta gravable y no </w:t>
      </w:r>
      <w:r w:rsidRPr="00EE2FA1">
        <w:rPr>
          <w:rFonts w:ascii="Times New Roman" w:hAnsi="Times New Roman" w:cs="Times New Roman"/>
          <w:sz w:val="28"/>
          <w:szCs w:val="28"/>
          <w:shd w:val="clear" w:color="auto" w:fill="FFFFFF"/>
        </w:rPr>
        <w:t xml:space="preserve">en </w:t>
      </w:r>
      <w:r w:rsidRPr="00EE2FA1">
        <w:rPr>
          <w:rFonts w:ascii="Times New Roman" w:hAnsi="Times New Roman" w:cs="Times New Roman"/>
          <w:sz w:val="28"/>
          <w:szCs w:val="28"/>
          <w:shd w:val="clear" w:color="auto" w:fill="FFFFFF"/>
        </w:rPr>
        <w:t>otros parámetros no necesariamente indicativos de capacidad contributiva</w:t>
      </w:r>
      <w:r w:rsidRPr="00EE2FA1">
        <w:rPr>
          <w:rFonts w:ascii="Times New Roman" w:hAnsi="Times New Roman" w:cs="Times New Roman"/>
          <w:sz w:val="28"/>
          <w:szCs w:val="28"/>
          <w:shd w:val="clear" w:color="auto" w:fill="FFFFFF"/>
        </w:rPr>
        <w:t>,</w:t>
      </w:r>
      <w:r w:rsidRPr="00EE2FA1">
        <w:rPr>
          <w:rFonts w:ascii="Times New Roman" w:hAnsi="Times New Roman" w:cs="Times New Roman"/>
          <w:sz w:val="28"/>
          <w:szCs w:val="28"/>
          <w:shd w:val="clear" w:color="auto" w:fill="FFFFFF"/>
        </w:rPr>
        <w:t xml:space="preserve"> como los ingresos o la renta </w:t>
      </w:r>
      <w:r w:rsidRPr="00EE2FA1">
        <w:rPr>
          <w:rFonts w:ascii="Times New Roman" w:hAnsi="Times New Roman" w:cs="Times New Roman"/>
          <w:sz w:val="28"/>
          <w:szCs w:val="28"/>
          <w:shd w:val="clear" w:color="auto" w:fill="FFFFFF"/>
        </w:rPr>
        <w:t>bruta. Además, determinó que, para efectos tributarios, las entidades financieras gozan de algunos beneficios tributarios relacionados con rentas exentas, deducción por activos fijos reales y otros descuentos tributarios, con los que no cuentan o no usan e</w:t>
      </w:r>
      <w:r w:rsidRPr="00EE2FA1">
        <w:rPr>
          <w:rFonts w:ascii="Times New Roman" w:hAnsi="Times New Roman" w:cs="Times New Roman"/>
          <w:sz w:val="28"/>
          <w:szCs w:val="28"/>
          <w:shd w:val="clear" w:color="auto" w:fill="FFFFFF"/>
        </w:rPr>
        <w:t>n la misma proporción las demás sociedades comerciales, por lo que no son sujetos comparables. Por tal razón, la Corte declaró la exequibilidad de la disposición acusada.</w:t>
      </w:r>
    </w:p>
    <w:p w:rsidR="00876309" w:rsidRPr="00EE2FA1" w:rsidRDefault="00EE2FA1" w:rsidP="00876309">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B649FF" w:rsidRPr="00EE2FA1" w:rsidRDefault="00EE2FA1" w:rsidP="00B649F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i/>
          <w:iCs/>
          <w:sz w:val="28"/>
          <w:szCs w:val="28"/>
        </w:rPr>
        <w:t xml:space="preserve">La Sentencia C-036 de 2024 constituye </w:t>
      </w:r>
      <w:r w:rsidRPr="00EE2FA1">
        <w:rPr>
          <w:rFonts w:ascii="Times New Roman" w:hAnsi="Times New Roman" w:cs="Times New Roman"/>
          <w:i/>
          <w:iCs/>
          <w:sz w:val="28"/>
          <w:szCs w:val="28"/>
        </w:rPr>
        <w:t>precedente</w:t>
      </w:r>
      <w:r w:rsidRPr="00EE2FA1">
        <w:rPr>
          <w:rFonts w:ascii="Times New Roman" w:hAnsi="Times New Roman" w:cs="Times New Roman"/>
          <w:i/>
          <w:iCs/>
          <w:sz w:val="28"/>
          <w:szCs w:val="28"/>
        </w:rPr>
        <w:t xml:space="preserve"> jurisprudencial obligatorio</w:t>
      </w:r>
      <w:r w:rsidRPr="00EE2FA1">
        <w:rPr>
          <w:rFonts w:ascii="Times New Roman" w:hAnsi="Times New Roman" w:cs="Times New Roman"/>
          <w:i/>
          <w:iCs/>
          <w:sz w:val="28"/>
          <w:szCs w:val="28"/>
        </w:rPr>
        <w:t xml:space="preserve"> en el p</w:t>
      </w:r>
      <w:r w:rsidRPr="00EE2FA1">
        <w:rPr>
          <w:rFonts w:ascii="Times New Roman" w:hAnsi="Times New Roman" w:cs="Times New Roman"/>
          <w:i/>
          <w:iCs/>
          <w:sz w:val="28"/>
          <w:szCs w:val="28"/>
        </w:rPr>
        <w:t>resente asunto</w:t>
      </w:r>
      <w:r w:rsidRPr="00EE2FA1">
        <w:rPr>
          <w:rFonts w:ascii="Times New Roman" w:hAnsi="Times New Roman" w:cs="Times New Roman"/>
          <w:i/>
          <w:iCs/>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Por último, se reitera que el parágrafo 3.° del artículo 240, modificado por el artículo 10.° de la Ley 2277 de 2022, además, de la </w:t>
      </w:r>
      <w:r w:rsidRPr="00EE2FA1">
        <w:rPr>
          <w:rFonts w:ascii="Times New Roman" w:hAnsi="Times New Roman" w:cs="Times New Roman"/>
          <w:sz w:val="28"/>
          <w:szCs w:val="28"/>
        </w:rPr>
        <w:t xml:space="preserve">sobretarifa </w:t>
      </w:r>
      <w:r w:rsidRPr="00EE2FA1">
        <w:rPr>
          <w:rFonts w:ascii="Times New Roman" w:hAnsi="Times New Roman" w:cs="Times New Roman"/>
          <w:sz w:val="28"/>
          <w:szCs w:val="28"/>
        </w:rPr>
        <w:t>a quienes extraen petróleo crudo, también estableció otra dirigida a quienes se dedican a la ext</w:t>
      </w:r>
      <w:r w:rsidRPr="00EE2FA1">
        <w:rPr>
          <w:rFonts w:ascii="Times New Roman" w:hAnsi="Times New Roman" w:cs="Times New Roman"/>
          <w:sz w:val="28"/>
          <w:szCs w:val="28"/>
        </w:rPr>
        <w:t xml:space="preserve">racción de hulla (carbón de piedra) o de carbón de lignito. Ambas </w:t>
      </w:r>
      <w:r w:rsidRPr="00EE2FA1">
        <w:rPr>
          <w:rFonts w:ascii="Times New Roman" w:hAnsi="Times New Roman" w:cs="Times New Roman"/>
          <w:sz w:val="28"/>
          <w:szCs w:val="28"/>
        </w:rPr>
        <w:t xml:space="preserve">figuras </w:t>
      </w:r>
      <w:r w:rsidRPr="00EE2FA1">
        <w:rPr>
          <w:rFonts w:ascii="Times New Roman" w:hAnsi="Times New Roman" w:cs="Times New Roman"/>
          <w:sz w:val="28"/>
          <w:szCs w:val="28"/>
        </w:rPr>
        <w:t>son similares en varios de sus elementos. En primer lugar, definen unos puntos adicionales a la tarifa general del impuesto sobre la renta, los cuales serán aplicables según unos ran</w:t>
      </w:r>
      <w:r w:rsidRPr="00EE2FA1">
        <w:rPr>
          <w:rFonts w:ascii="Times New Roman" w:hAnsi="Times New Roman" w:cs="Times New Roman"/>
          <w:sz w:val="28"/>
          <w:szCs w:val="28"/>
        </w:rPr>
        <w:t xml:space="preserve">gos de percentiles </w:t>
      </w:r>
      <w:r w:rsidRPr="00EE2FA1">
        <w:rPr>
          <w:rFonts w:ascii="Times New Roman" w:hAnsi="Times New Roman" w:cs="Times New Roman"/>
          <w:sz w:val="28"/>
          <w:szCs w:val="28"/>
        </w:rPr>
        <w:t xml:space="preserve">respecto </w:t>
      </w:r>
      <w:r w:rsidRPr="00EE2FA1">
        <w:rPr>
          <w:rFonts w:ascii="Times New Roman" w:hAnsi="Times New Roman" w:cs="Times New Roman"/>
          <w:sz w:val="28"/>
          <w:szCs w:val="28"/>
        </w:rPr>
        <w:t>de los precios promedio mensuales. En segundo lugar, los precios de referencia de la respectiva materia prima son precios promedios internacionales. En tercer lugar, asignan a autoridades administrativas del sector respectivo (U</w:t>
      </w:r>
      <w:r w:rsidRPr="00EE2FA1">
        <w:rPr>
          <w:rFonts w:ascii="Times New Roman" w:hAnsi="Times New Roman" w:cs="Times New Roman"/>
          <w:sz w:val="28"/>
          <w:szCs w:val="28"/>
        </w:rPr>
        <w:t>nidad de Planeación Minero-Energética, para el caso de la sobretasa a la extracción de la hulla o carbón de lignito; y la ANH, en el caso del petróleo crudo) la competencia para expedir los actos administrativos que informen los precios promedio del año gr</w:t>
      </w:r>
      <w:r w:rsidRPr="00EE2FA1">
        <w:rPr>
          <w:rFonts w:ascii="Times New Roman" w:hAnsi="Times New Roman" w:cs="Times New Roman"/>
          <w:sz w:val="28"/>
          <w:szCs w:val="28"/>
        </w:rPr>
        <w:t xml:space="preserve">avable que corresponda y la tabla de percentiles que aplique la metodología definida en la </w:t>
      </w:r>
      <w:r w:rsidRPr="00EE2FA1">
        <w:rPr>
          <w:rFonts w:ascii="Times New Roman" w:hAnsi="Times New Roman" w:cs="Times New Roman"/>
          <w:sz w:val="28"/>
          <w:szCs w:val="28"/>
        </w:rPr>
        <w:t>ley</w:t>
      </w:r>
      <w:r w:rsidRPr="00EE2FA1">
        <w:rPr>
          <w:rFonts w:ascii="Times New Roman" w:hAnsi="Times New Roman" w:cs="Times New Roman"/>
          <w:sz w:val="28"/>
          <w:szCs w:val="28"/>
        </w:rPr>
        <w:t xml:space="preserve">. En cuarto lugar, prevén como condición para la aplicación de los puntos adicionales de </w:t>
      </w:r>
      <w:r w:rsidRPr="00EE2FA1">
        <w:rPr>
          <w:rFonts w:ascii="Times New Roman" w:hAnsi="Times New Roman" w:cs="Times New Roman"/>
          <w:sz w:val="28"/>
          <w:szCs w:val="28"/>
        </w:rPr>
        <w:t xml:space="preserve">sobretarifa </w:t>
      </w:r>
      <w:r w:rsidRPr="00EE2FA1">
        <w:rPr>
          <w:rFonts w:ascii="Times New Roman" w:hAnsi="Times New Roman" w:cs="Times New Roman"/>
          <w:sz w:val="28"/>
          <w:szCs w:val="28"/>
        </w:rPr>
        <w:t xml:space="preserve">que los contribuyentes tengan una renta gravable igual o </w:t>
      </w:r>
      <w:r w:rsidRPr="00EE2FA1">
        <w:rPr>
          <w:rFonts w:ascii="Times New Roman" w:hAnsi="Times New Roman" w:cs="Times New Roman"/>
          <w:sz w:val="28"/>
          <w:szCs w:val="28"/>
        </w:rPr>
        <w:t>superior a 50.000 UVT.</w:t>
      </w:r>
    </w:p>
    <w:p w:rsidR="00B649FF" w:rsidRPr="00EE2FA1" w:rsidRDefault="00EE2FA1" w:rsidP="00B649FF">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170650" w:rsidRPr="00EE2FA1" w:rsidRDefault="00EE2FA1" w:rsidP="005D0152">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Dada la semejanza entre las dos </w:t>
      </w:r>
      <w:r w:rsidRPr="00EE2FA1">
        <w:rPr>
          <w:rFonts w:ascii="Times New Roman" w:hAnsi="Times New Roman" w:cs="Times New Roman"/>
          <w:sz w:val="28"/>
          <w:szCs w:val="28"/>
        </w:rPr>
        <w:t xml:space="preserve">sobretarifas </w:t>
      </w:r>
      <w:r w:rsidRPr="00EE2FA1">
        <w:rPr>
          <w:rFonts w:ascii="Times New Roman" w:hAnsi="Times New Roman" w:cs="Times New Roman"/>
          <w:sz w:val="28"/>
          <w:szCs w:val="28"/>
        </w:rPr>
        <w:t>definidas en el parágrafo 3.° del artículo 240, modificado por el artículo 10.° de la Ley 2277 de 2022, la</w:t>
      </w:r>
      <w:r w:rsidRPr="00EE2FA1">
        <w:rPr>
          <w:rFonts w:ascii="Times New Roman" w:hAnsi="Times New Roman" w:cs="Times New Roman"/>
          <w:sz w:val="28"/>
          <w:szCs w:val="28"/>
        </w:rPr>
        <w:t xml:space="preserve"> Sala Plena considera que la</w:t>
      </w:r>
      <w:r w:rsidRPr="00EE2FA1">
        <w:rPr>
          <w:rFonts w:ascii="Times New Roman" w:hAnsi="Times New Roman" w:cs="Times New Roman"/>
          <w:sz w:val="28"/>
          <w:szCs w:val="28"/>
        </w:rPr>
        <w:t xml:space="preserve"> Sentencia C-036 de 2024</w:t>
      </w:r>
      <w:r w:rsidRPr="00EE2FA1">
        <w:rPr>
          <w:rStyle w:val="Refdenotaalpie"/>
          <w:rFonts w:ascii="Times New Roman" w:hAnsi="Times New Roman" w:cs="Times New Roman"/>
          <w:sz w:val="28"/>
          <w:szCs w:val="28"/>
        </w:rPr>
        <w:footnoteReference w:id="254"/>
      </w:r>
      <w:r w:rsidRPr="00EE2FA1">
        <w:rPr>
          <w:rFonts w:ascii="Times New Roman" w:hAnsi="Times New Roman" w:cs="Times New Roman"/>
          <w:sz w:val="28"/>
          <w:szCs w:val="28"/>
        </w:rPr>
        <w:t xml:space="preserve"> constituye un </w:t>
      </w:r>
      <w:r w:rsidRPr="00EE2FA1">
        <w:rPr>
          <w:rFonts w:ascii="Times New Roman" w:hAnsi="Times New Roman" w:cs="Times New Roman"/>
          <w:sz w:val="28"/>
          <w:szCs w:val="28"/>
        </w:rPr>
        <w:t>precedente</w:t>
      </w:r>
      <w:r w:rsidRPr="00EE2FA1">
        <w:rPr>
          <w:rFonts w:ascii="Times New Roman" w:hAnsi="Times New Roman" w:cs="Times New Roman"/>
          <w:sz w:val="28"/>
          <w:szCs w:val="28"/>
        </w:rPr>
        <w:t xml:space="preserve"> jurisprudencial obligatorio de cara al examen </w:t>
      </w:r>
      <w:r w:rsidRPr="00EE2FA1">
        <w:rPr>
          <w:rFonts w:ascii="Times New Roman" w:hAnsi="Times New Roman" w:cs="Times New Roman"/>
          <w:sz w:val="28"/>
          <w:szCs w:val="28"/>
        </w:rPr>
        <w:t xml:space="preserve">sobre </w:t>
      </w:r>
      <w:r w:rsidRPr="00EE2FA1">
        <w:rPr>
          <w:rFonts w:ascii="Times New Roman" w:hAnsi="Times New Roman" w:cs="Times New Roman"/>
          <w:sz w:val="28"/>
          <w:szCs w:val="28"/>
        </w:rPr>
        <w:t xml:space="preserve">la constitucionalidad de la </w:t>
      </w:r>
      <w:r w:rsidRPr="00EE2FA1">
        <w:rPr>
          <w:rFonts w:ascii="Times New Roman" w:hAnsi="Times New Roman" w:cs="Times New Roman"/>
          <w:sz w:val="28"/>
          <w:szCs w:val="28"/>
        </w:rPr>
        <w:t xml:space="preserve">medida </w:t>
      </w:r>
      <w:r w:rsidRPr="00EE2FA1">
        <w:rPr>
          <w:rFonts w:ascii="Times New Roman" w:hAnsi="Times New Roman" w:cs="Times New Roman"/>
          <w:sz w:val="28"/>
          <w:szCs w:val="28"/>
        </w:rPr>
        <w:t>impuesta a la extracción de petróleo crudo. A lo anterior, se suma que esa providencia analizó</w:t>
      </w:r>
      <w:r w:rsidRPr="00EE2FA1">
        <w:rPr>
          <w:rFonts w:ascii="Times New Roman" w:hAnsi="Times New Roman" w:cs="Times New Roman"/>
          <w:sz w:val="28"/>
          <w:szCs w:val="28"/>
        </w:rPr>
        <w:t xml:space="preserve"> un reproche sobre</w:t>
      </w:r>
      <w:r w:rsidRPr="00EE2FA1">
        <w:rPr>
          <w:rFonts w:ascii="Times New Roman" w:hAnsi="Times New Roman" w:cs="Times New Roman"/>
          <w:sz w:val="28"/>
          <w:szCs w:val="28"/>
        </w:rPr>
        <w:t xml:space="preserve"> equidad tributaria</w:t>
      </w:r>
      <w:r w:rsidRPr="00EE2FA1">
        <w:rPr>
          <w:rFonts w:ascii="Times New Roman" w:hAnsi="Times New Roman" w:cs="Times New Roman"/>
          <w:sz w:val="28"/>
          <w:szCs w:val="28"/>
        </w:rPr>
        <w:t xml:space="preserve">. </w:t>
      </w:r>
    </w:p>
    <w:p w:rsidR="00F54B64" w:rsidRPr="00EE2FA1" w:rsidRDefault="00EE2FA1" w:rsidP="00F54B64">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23253B" w:rsidRPr="00EE2FA1" w:rsidRDefault="00EE2FA1" w:rsidP="00170650">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hAnsi="Times New Roman" w:cs="Times New Roman"/>
          <w:sz w:val="28"/>
          <w:szCs w:val="28"/>
        </w:rPr>
        <w:t xml:space="preserve">Al resolver de fondo </w:t>
      </w:r>
      <w:r w:rsidRPr="00EE2FA1">
        <w:rPr>
          <w:rFonts w:ascii="Times New Roman" w:hAnsi="Times New Roman" w:cs="Times New Roman"/>
          <w:sz w:val="28"/>
          <w:szCs w:val="28"/>
        </w:rPr>
        <w:t xml:space="preserve">el cargo de </w:t>
      </w:r>
      <w:r w:rsidRPr="00EE2FA1">
        <w:rPr>
          <w:rFonts w:ascii="Times New Roman" w:hAnsi="Times New Roman" w:cs="Times New Roman"/>
          <w:sz w:val="28"/>
          <w:szCs w:val="28"/>
        </w:rPr>
        <w:t>equidad</w:t>
      </w:r>
      <w:r w:rsidRPr="00EE2FA1">
        <w:rPr>
          <w:rFonts w:ascii="Times New Roman" w:hAnsi="Times New Roman" w:cs="Times New Roman"/>
          <w:sz w:val="28"/>
          <w:szCs w:val="28"/>
        </w:rPr>
        <w:t xml:space="preserve">, la Corte Constitucional concluyó </w:t>
      </w:r>
      <w:r w:rsidRPr="00EE2FA1">
        <w:rPr>
          <w:rFonts w:ascii="Times New Roman" w:hAnsi="Times New Roman" w:cs="Times New Roman"/>
          <w:sz w:val="28"/>
          <w:szCs w:val="28"/>
        </w:rPr>
        <w:t xml:space="preserve">en ese caso </w:t>
      </w:r>
      <w:r w:rsidRPr="00EE2FA1">
        <w:rPr>
          <w:rFonts w:ascii="Times New Roman" w:hAnsi="Times New Roman" w:cs="Times New Roman"/>
          <w:sz w:val="28"/>
          <w:szCs w:val="28"/>
        </w:rPr>
        <w:t xml:space="preserve">lo siguiente: </w:t>
      </w:r>
    </w:p>
    <w:p w:rsidR="0023253B" w:rsidRPr="00EE2FA1" w:rsidRDefault="00EE2FA1" w:rsidP="0023253B">
      <w:pPr>
        <w:pStyle w:val="Prrafodelista"/>
        <w:ind w:left="567"/>
        <w:jc w:val="both"/>
        <w:rPr>
          <w:rFonts w:ascii="Times New Roman" w:eastAsia="Calibri" w:hAnsi="Times New Roman" w:cs="Times New Roman"/>
          <w:sz w:val="28"/>
          <w:szCs w:val="28"/>
          <w:lang w:eastAsia="es-ES"/>
        </w:rPr>
      </w:pPr>
    </w:p>
    <w:p w:rsidR="0023253B" w:rsidRPr="00EE2FA1" w:rsidRDefault="00EE2FA1" w:rsidP="00F54B64">
      <w:pPr>
        <w:pStyle w:val="NormalWeb"/>
        <w:ind w:left="567"/>
        <w:jc w:val="both"/>
        <w:rPr>
          <w:rFonts w:ascii="Times New Roman" w:hAnsi="Times New Roman" w:cs="Times New Roman"/>
          <w:sz w:val="28"/>
        </w:rPr>
      </w:pPr>
      <w:r w:rsidRPr="00EE2FA1">
        <w:rPr>
          <w:rFonts w:ascii="Times New Roman" w:hAnsi="Times New Roman" w:cs="Times New Roman"/>
          <w:sz w:val="28"/>
        </w:rPr>
        <w:t>“En cuanto al segundo cargo, la Sala Plena consideró que no hay violación del principio de equidad en lo atinente a la capacidad contributiva, por cuanto, contrario a lo expuesto por e</w:t>
      </w:r>
      <w:r w:rsidRPr="00EE2FA1">
        <w:rPr>
          <w:rFonts w:ascii="Times New Roman" w:hAnsi="Times New Roman" w:cs="Times New Roman"/>
          <w:sz w:val="28"/>
        </w:rPr>
        <w:t>l demandante, los diversos mecanismos que contempla la norma para ajustar la carga tributaria de los contribuyentes según la fluctuación de los precios en el mercado (como los percentiles contemplados en la disposición y las tarifas adicionales progresi</w:t>
      </w:r>
      <w:r w:rsidRPr="00EE2FA1">
        <w:rPr>
          <w:rFonts w:ascii="Times New Roman" w:hAnsi="Times New Roman" w:cs="Times New Roman"/>
          <w:sz w:val="28"/>
        </w:rPr>
        <w:t xml:space="preserve">vas que comienzan en 0%, entre otros), así como el umbral de 50.000 UVT de renta gravable en el respectivo periodo, son elementos razonables para consultar su capacidad contributiva como sujetos pasivos del impuesto sobre la renta. La Corte advirtió que </w:t>
      </w:r>
      <w:r w:rsidRPr="00EE2FA1">
        <w:rPr>
          <w:rFonts w:ascii="Times New Roman" w:hAnsi="Times New Roman" w:cs="Times New Roman"/>
          <w:sz w:val="28"/>
        </w:rPr>
        <w:t xml:space="preserve">los mecanismos contemplados en la disposición demandada excluyen de la sobre tarifa al 94% del total de empresas del sector de extracción de hulla (carbón de piedra) y de carbón lignito, y señaló que la acusación del demandante propone un estándar </w:t>
      </w:r>
      <w:r w:rsidRPr="00EE2FA1">
        <w:rPr>
          <w:rFonts w:ascii="Times New Roman" w:hAnsi="Times New Roman" w:cs="Times New Roman"/>
          <w:sz w:val="28"/>
        </w:rPr>
        <w:t>de juzgamiento de la capacidad contributiva que implicaría utilizar un método técnico en particular para la determinación de la capacidad contributiva que es ajeno al control de constitucionalidad y se ubica en el terreno de la conveniencia.”</w:t>
      </w:r>
      <w:r w:rsidRPr="00EE2FA1">
        <w:rPr>
          <w:rStyle w:val="Refdenotaalpie"/>
          <w:rFonts w:ascii="Times New Roman" w:hAnsi="Times New Roman" w:cs="Times New Roman"/>
          <w:sz w:val="28"/>
          <w:lang w:val="es-ES"/>
        </w:rPr>
        <w:t xml:space="preserve"> </w:t>
      </w:r>
      <w:r w:rsidRPr="00EE2FA1">
        <w:rPr>
          <w:rStyle w:val="Refdenotaalpie"/>
          <w:rFonts w:ascii="Times New Roman" w:hAnsi="Times New Roman" w:cs="Times New Roman"/>
          <w:sz w:val="28"/>
          <w:lang w:val="es-ES"/>
        </w:rPr>
        <w:footnoteReference w:id="255"/>
      </w:r>
    </w:p>
    <w:p w:rsidR="0023253B" w:rsidRPr="00EE2FA1" w:rsidRDefault="00EE2FA1" w:rsidP="0023253B">
      <w:pPr>
        <w:pStyle w:val="Prrafodelista"/>
        <w:rPr>
          <w:rFonts w:ascii="Times New Roman" w:eastAsia="Calibri" w:hAnsi="Times New Roman" w:cs="Times New Roman"/>
          <w:sz w:val="28"/>
          <w:szCs w:val="28"/>
          <w:lang w:eastAsia="es-ES"/>
        </w:rPr>
      </w:pPr>
    </w:p>
    <w:p w:rsidR="00D22E9F" w:rsidRPr="00EE2FA1" w:rsidRDefault="00EE2FA1" w:rsidP="00B9100B">
      <w:pPr>
        <w:pStyle w:val="Prrafodelista"/>
        <w:tabs>
          <w:tab w:val="left" w:pos="426"/>
          <w:tab w:val="left" w:pos="567"/>
        </w:tabs>
        <w:spacing w:line="0" w:lineRule="atLeast"/>
        <w:ind w:left="0"/>
        <w:jc w:val="both"/>
        <w:rPr>
          <w:rFonts w:ascii="Times New Roman" w:eastAsia="Calibri" w:hAnsi="Times New Roman" w:cs="Times New Roman"/>
          <w:b/>
          <w:bCs/>
          <w:sz w:val="28"/>
          <w:szCs w:val="28"/>
          <w:lang w:eastAsia="es-ES"/>
        </w:rPr>
      </w:pPr>
      <w:r w:rsidRPr="00EE2FA1">
        <w:rPr>
          <w:rFonts w:ascii="Times New Roman" w:eastAsia="Calibri" w:hAnsi="Times New Roman" w:cs="Times New Roman"/>
          <w:b/>
          <w:bCs/>
          <w:sz w:val="28"/>
          <w:szCs w:val="28"/>
          <w:lang w:eastAsia="es-ES"/>
        </w:rPr>
        <w:t xml:space="preserve">Caso </w:t>
      </w:r>
      <w:r w:rsidRPr="00EE2FA1">
        <w:rPr>
          <w:rFonts w:ascii="Times New Roman" w:eastAsia="Calibri" w:hAnsi="Times New Roman" w:cs="Times New Roman"/>
          <w:b/>
          <w:bCs/>
          <w:sz w:val="28"/>
          <w:szCs w:val="28"/>
          <w:lang w:eastAsia="es-ES"/>
        </w:rPr>
        <w:t>concreto</w:t>
      </w:r>
      <w:r w:rsidRPr="00EE2FA1">
        <w:rPr>
          <w:rFonts w:ascii="Times New Roman" w:eastAsia="Calibri" w:hAnsi="Times New Roman" w:cs="Times New Roman"/>
          <w:b/>
          <w:bCs/>
          <w:sz w:val="28"/>
          <w:szCs w:val="28"/>
          <w:lang w:eastAsia="es-ES"/>
        </w:rPr>
        <w:t>.</w:t>
      </w:r>
      <w:r w:rsidRPr="00EE2FA1">
        <w:rPr>
          <w:rFonts w:ascii="Times New Roman" w:eastAsia="Calibri" w:hAnsi="Times New Roman" w:cs="Times New Roman"/>
          <w:b/>
          <w:bCs/>
          <w:sz w:val="28"/>
          <w:szCs w:val="28"/>
          <w:lang w:eastAsia="es-ES"/>
        </w:rPr>
        <w:t xml:space="preserve"> Solución del quinto cargo</w:t>
      </w:r>
      <w:r w:rsidRPr="00EE2FA1">
        <w:rPr>
          <w:rFonts w:ascii="Times New Roman" w:eastAsia="Calibri" w:hAnsi="Times New Roman" w:cs="Times New Roman"/>
          <w:b/>
          <w:bCs/>
          <w:sz w:val="28"/>
          <w:szCs w:val="28"/>
          <w:lang w:eastAsia="es-ES"/>
        </w:rPr>
        <w:t>: e</w:t>
      </w:r>
      <w:r w:rsidRPr="00EE2FA1">
        <w:rPr>
          <w:rFonts w:ascii="Times New Roman" w:eastAsia="Calibri" w:hAnsi="Times New Roman" w:cs="Times New Roman"/>
          <w:b/>
          <w:bCs/>
          <w:sz w:val="28"/>
          <w:szCs w:val="28"/>
          <w:lang w:eastAsia="es-ES"/>
        </w:rPr>
        <w:t>l parágrafo 3º (parcial) del artículo 10 de la Ley 2277 de 2022 no desconoce los principio</w:t>
      </w:r>
      <w:r w:rsidRPr="00EE2FA1">
        <w:rPr>
          <w:rFonts w:ascii="Times New Roman" w:eastAsia="Calibri" w:hAnsi="Times New Roman" w:cs="Times New Roman"/>
          <w:b/>
          <w:bCs/>
          <w:sz w:val="28"/>
          <w:szCs w:val="28"/>
          <w:lang w:eastAsia="es-ES"/>
        </w:rPr>
        <w:t>s</w:t>
      </w:r>
      <w:r w:rsidRPr="00EE2FA1">
        <w:rPr>
          <w:rFonts w:ascii="Times New Roman" w:eastAsia="Calibri" w:hAnsi="Times New Roman" w:cs="Times New Roman"/>
          <w:b/>
          <w:bCs/>
          <w:sz w:val="28"/>
          <w:szCs w:val="28"/>
          <w:lang w:eastAsia="es-ES"/>
        </w:rPr>
        <w:t xml:space="preserve"> de justicia y equidad tributaria</w:t>
      </w:r>
    </w:p>
    <w:p w:rsidR="00ED1484" w:rsidRPr="00EE2FA1" w:rsidRDefault="00EE2FA1" w:rsidP="00B9100B">
      <w:pPr>
        <w:tabs>
          <w:tab w:val="left" w:pos="426"/>
          <w:tab w:val="left" w:pos="567"/>
        </w:tabs>
        <w:spacing w:line="0" w:lineRule="atLeast"/>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i/>
          <w:iCs/>
          <w:sz w:val="28"/>
          <w:szCs w:val="28"/>
          <w:lang w:eastAsia="es-ES"/>
        </w:rPr>
      </w:pPr>
      <w:r w:rsidRPr="00EE2FA1">
        <w:rPr>
          <w:rFonts w:ascii="Times New Roman" w:eastAsia="Calibri" w:hAnsi="Times New Roman" w:cs="Times New Roman"/>
          <w:i/>
          <w:iCs/>
          <w:sz w:val="28"/>
          <w:szCs w:val="28"/>
          <w:lang w:eastAsia="es-ES"/>
        </w:rPr>
        <w:t>La norma acusada no desconoció los principios de justicia y equidad tributaria.</w:t>
      </w:r>
      <w:r w:rsidRPr="00EE2FA1">
        <w:rPr>
          <w:rFonts w:ascii="Times New Roman" w:eastAsia="Calibri" w:hAnsi="Times New Roman" w:cs="Times New Roman"/>
          <w:sz w:val="28"/>
          <w:szCs w:val="28"/>
          <w:lang w:eastAsia="es-ES"/>
        </w:rPr>
        <w:t xml:space="preserve"> La Sala cons</w:t>
      </w:r>
      <w:r w:rsidRPr="00EE2FA1">
        <w:rPr>
          <w:rFonts w:ascii="Times New Roman" w:eastAsia="Calibri" w:hAnsi="Times New Roman" w:cs="Times New Roman"/>
          <w:sz w:val="28"/>
          <w:szCs w:val="28"/>
          <w:lang w:eastAsia="es-ES"/>
        </w:rPr>
        <w:t>idera que la medida estudiada s</w:t>
      </w:r>
      <w:r w:rsidRPr="00EE2FA1">
        <w:rPr>
          <w:rFonts w:ascii="Times New Roman" w:eastAsia="Calibri" w:hAnsi="Times New Roman" w:cs="Times New Roman"/>
          <w:sz w:val="28"/>
          <w:szCs w:val="28"/>
          <w:lang w:eastAsia="es-ES"/>
        </w:rPr>
        <w:t>í</w:t>
      </w:r>
      <w:r w:rsidRPr="00EE2FA1">
        <w:rPr>
          <w:rFonts w:ascii="Times New Roman" w:eastAsia="Calibri" w:hAnsi="Times New Roman" w:cs="Times New Roman"/>
          <w:sz w:val="28"/>
          <w:szCs w:val="28"/>
          <w:lang w:eastAsia="es-ES"/>
        </w:rPr>
        <w:t xml:space="preserve"> tuvo en cuenta la capacidad </w:t>
      </w:r>
      <w:r w:rsidRPr="00EE2FA1">
        <w:rPr>
          <w:rFonts w:ascii="Times New Roman" w:eastAsia="Calibri" w:hAnsi="Times New Roman" w:cs="Times New Roman"/>
          <w:sz w:val="28"/>
          <w:szCs w:val="28"/>
          <w:lang w:eastAsia="es-ES"/>
        </w:rPr>
        <w:t>contributiva</w:t>
      </w:r>
      <w:r w:rsidRPr="00EE2FA1">
        <w:rPr>
          <w:rFonts w:ascii="Times New Roman" w:eastAsia="Calibri" w:hAnsi="Times New Roman" w:cs="Times New Roman"/>
          <w:sz w:val="28"/>
          <w:szCs w:val="28"/>
          <w:lang w:eastAsia="es-ES"/>
        </w:rPr>
        <w:t xml:space="preserve"> de los sujetos pasivos </w:t>
      </w:r>
      <w:r w:rsidRPr="00EE2FA1">
        <w:rPr>
          <w:rFonts w:ascii="Times New Roman" w:eastAsia="Calibri" w:hAnsi="Times New Roman" w:cs="Times New Roman"/>
          <w:sz w:val="28"/>
          <w:szCs w:val="28"/>
          <w:lang w:eastAsia="es-ES"/>
        </w:rPr>
        <w:t>de aquella</w:t>
      </w:r>
      <w:r w:rsidRPr="00EE2FA1">
        <w:rPr>
          <w:rFonts w:ascii="Times New Roman" w:eastAsia="Calibri" w:hAnsi="Times New Roman" w:cs="Times New Roman"/>
          <w:sz w:val="28"/>
          <w:szCs w:val="28"/>
          <w:lang w:eastAsia="es-ES"/>
        </w:rPr>
        <w:t xml:space="preserve"> y garantizó</w:t>
      </w:r>
      <w:r w:rsidRPr="00EE2FA1">
        <w:rPr>
          <w:rFonts w:ascii="Times New Roman" w:eastAsia="Calibri" w:hAnsi="Times New Roman" w:cs="Times New Roman"/>
          <w:sz w:val="28"/>
          <w:szCs w:val="28"/>
          <w:lang w:eastAsia="es-ES"/>
        </w:rPr>
        <w:t xml:space="preserve"> la justicia y</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la equidad</w:t>
      </w:r>
      <w:r w:rsidRPr="00EE2FA1">
        <w:rPr>
          <w:rFonts w:ascii="Times New Roman" w:eastAsia="Calibri" w:hAnsi="Times New Roman" w:cs="Times New Roman"/>
          <w:sz w:val="28"/>
          <w:szCs w:val="28"/>
          <w:lang w:eastAsia="es-ES"/>
        </w:rPr>
        <w:t xml:space="preserve"> tributaria</w:t>
      </w:r>
      <w:r w:rsidRPr="00EE2FA1">
        <w:rPr>
          <w:rFonts w:ascii="Times New Roman" w:eastAsia="Calibri" w:hAnsi="Times New Roman" w:cs="Times New Roman"/>
          <w:sz w:val="28"/>
          <w:szCs w:val="28"/>
          <w:lang w:eastAsia="es-ES"/>
        </w:rPr>
        <w:t>. La Sentencia C-293 de 2020 precis</w:t>
      </w:r>
      <w:r w:rsidRPr="00EE2FA1">
        <w:rPr>
          <w:rFonts w:ascii="Times New Roman" w:eastAsia="Calibri" w:hAnsi="Times New Roman" w:cs="Times New Roman"/>
          <w:sz w:val="28"/>
          <w:szCs w:val="28"/>
          <w:lang w:eastAsia="es-ES"/>
        </w:rPr>
        <w:t>ó</w:t>
      </w:r>
      <w:r w:rsidRPr="00EE2FA1">
        <w:rPr>
          <w:rFonts w:ascii="Times New Roman" w:eastAsia="Calibri" w:hAnsi="Times New Roman" w:cs="Times New Roman"/>
          <w:sz w:val="28"/>
          <w:szCs w:val="28"/>
          <w:lang w:eastAsia="es-ES"/>
        </w:rPr>
        <w:t xml:space="preserve"> que el concepto de capacidad contributiva se deriva del deber de solidaridad y configura un principio autónomo entendido como la condición individual y concreta para pagar tributos. De igual manera, se trata de una capacidad relativa y debe basarse en índ</w:t>
      </w:r>
      <w:r w:rsidRPr="00EE2FA1">
        <w:rPr>
          <w:rFonts w:ascii="Times New Roman" w:eastAsia="Calibri" w:hAnsi="Times New Roman" w:cs="Times New Roman"/>
          <w:sz w:val="28"/>
          <w:szCs w:val="28"/>
          <w:lang w:eastAsia="es-ES"/>
        </w:rPr>
        <w:t xml:space="preserve">ices reveladores de riqueza. Por tal razón, aquella es entendida como la posibilidad económica de tributar y no se agota en la simple verificación del ingreso del sujeto pasivo. En otras palabras, </w:t>
      </w:r>
      <w:r w:rsidRPr="00EE2FA1">
        <w:rPr>
          <w:rFonts w:ascii="Times New Roman" w:hAnsi="Times New Roman" w:cs="Times New Roman"/>
          <w:sz w:val="28"/>
          <w:szCs w:val="28"/>
          <w:shd w:val="clear" w:color="auto" w:fill="FFFFFF"/>
        </w:rPr>
        <w:t>se trata de </w:t>
      </w:r>
      <w:r w:rsidRPr="00EE2FA1">
        <w:rPr>
          <w:rFonts w:ascii="Times New Roman" w:hAnsi="Times New Roman" w:cs="Times New Roman"/>
          <w:sz w:val="28"/>
          <w:szCs w:val="28"/>
          <w:shd w:val="clear" w:color="auto" w:fill="FFFFFF"/>
          <w:lang w:val="es-ES_tradnl"/>
        </w:rPr>
        <w:t>“(…) ‘la idoneidad subjetiva, no teórica sino r</w:t>
      </w:r>
      <w:r w:rsidRPr="00EE2FA1">
        <w:rPr>
          <w:rFonts w:ascii="Times New Roman" w:hAnsi="Times New Roman" w:cs="Times New Roman"/>
          <w:sz w:val="28"/>
          <w:szCs w:val="28"/>
          <w:shd w:val="clear" w:color="auto" w:fill="FFFFFF"/>
          <w:lang w:val="es-ES_tradnl"/>
        </w:rPr>
        <w:t>eal, en cuanto depende de la fuerza económica del sujeto, para ser llamado a cumplir con el deber de pagar tributos’. Por tal razón, el establecimiento justo y proporcionado de un impuesto debe observar</w:t>
      </w:r>
      <w:r w:rsidRPr="00EE2FA1">
        <w:rPr>
          <w:rStyle w:val="apple-converted-space"/>
          <w:rFonts w:ascii="Times New Roman" w:hAnsi="Times New Roman" w:cs="Times New Roman"/>
          <w:sz w:val="28"/>
          <w:szCs w:val="28"/>
          <w:shd w:val="clear" w:color="auto" w:fill="FFFFFF"/>
          <w:lang w:val="es-ES_tradnl"/>
        </w:rPr>
        <w:t> </w:t>
      </w:r>
      <w:r w:rsidRPr="00EE2FA1">
        <w:rPr>
          <w:rFonts w:ascii="Times New Roman" w:hAnsi="Times New Roman" w:cs="Times New Roman"/>
          <w:sz w:val="28"/>
          <w:szCs w:val="28"/>
          <w:shd w:val="clear" w:color="auto" w:fill="FFFFFF"/>
        </w:rPr>
        <w:t>la capacidad económica del obligado. Bajo esta perspe</w:t>
      </w:r>
      <w:r w:rsidRPr="00EE2FA1">
        <w:rPr>
          <w:rFonts w:ascii="Times New Roman" w:hAnsi="Times New Roman" w:cs="Times New Roman"/>
          <w:sz w:val="28"/>
          <w:szCs w:val="28"/>
          <w:shd w:val="clear" w:color="auto" w:fill="FFFFFF"/>
        </w:rPr>
        <w:t>ctiva, si bien es un postulado que no está expresamente establecido en la Constitución, se deriva de los principios de igualdad, solidaridad, equidad, progresividad y no confiscatoriedad.”</w:t>
      </w:r>
      <w:r w:rsidRPr="00EE2FA1">
        <w:rPr>
          <w:rStyle w:val="Refdenotaalpie"/>
          <w:rFonts w:ascii="Times New Roman" w:hAnsi="Times New Roman" w:cs="Times New Roman"/>
          <w:sz w:val="28"/>
          <w:szCs w:val="28"/>
          <w:shd w:val="clear" w:color="auto" w:fill="FFFFFF"/>
        </w:rPr>
        <w:footnoteReference w:id="256"/>
      </w:r>
    </w:p>
    <w:p w:rsidR="00037983" w:rsidRPr="00EE2FA1" w:rsidRDefault="00EE2FA1" w:rsidP="00334466">
      <w:pPr>
        <w:pStyle w:val="Prrafodelista"/>
        <w:tabs>
          <w:tab w:val="left" w:pos="426"/>
          <w:tab w:val="left" w:pos="567"/>
        </w:tabs>
        <w:spacing w:line="0" w:lineRule="atLeast"/>
        <w:ind w:left="0"/>
        <w:jc w:val="both"/>
        <w:rPr>
          <w:rFonts w:ascii="Times New Roman" w:eastAsia="Calibri" w:hAnsi="Times New Roman" w:cs="Times New Roman"/>
          <w:i/>
          <w:iCs/>
          <w:sz w:val="28"/>
          <w:szCs w:val="28"/>
          <w:lang w:eastAsia="es-ES"/>
        </w:rPr>
      </w:pPr>
    </w:p>
    <w:p w:rsidR="003C247F" w:rsidRPr="00EE2FA1" w:rsidRDefault="00EE2FA1" w:rsidP="003C247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Contrario a lo expresado por la demanda, la sobretarifa </w:t>
      </w:r>
      <w:r w:rsidRPr="00EE2FA1">
        <w:rPr>
          <w:rFonts w:ascii="Times New Roman" w:eastAsia="Calibri" w:hAnsi="Times New Roman" w:cs="Times New Roman"/>
          <w:sz w:val="28"/>
          <w:szCs w:val="28"/>
          <w:lang w:eastAsia="es-ES"/>
        </w:rPr>
        <w:t xml:space="preserve">garantiza </w:t>
      </w:r>
      <w:r w:rsidRPr="00EE2FA1">
        <w:rPr>
          <w:rFonts w:ascii="Times New Roman" w:eastAsia="Calibri" w:hAnsi="Times New Roman" w:cs="Times New Roman"/>
          <w:sz w:val="28"/>
          <w:szCs w:val="28"/>
          <w:lang w:eastAsia="es-ES"/>
        </w:rPr>
        <w:t>los</w:t>
      </w:r>
      <w:r w:rsidRPr="00EE2FA1">
        <w:rPr>
          <w:rFonts w:ascii="Times New Roman" w:eastAsia="Calibri" w:hAnsi="Times New Roman" w:cs="Times New Roman"/>
          <w:sz w:val="28"/>
          <w:szCs w:val="28"/>
          <w:lang w:eastAsia="es-ES"/>
        </w:rPr>
        <w:t xml:space="preserve"> principio</w:t>
      </w:r>
      <w:r w:rsidRPr="00EE2FA1">
        <w:rPr>
          <w:rFonts w:ascii="Times New Roman" w:eastAsia="Calibri" w:hAnsi="Times New Roman" w:cs="Times New Roman"/>
          <w:sz w:val="28"/>
          <w:szCs w:val="28"/>
          <w:lang w:eastAsia="es-ES"/>
        </w:rPr>
        <w:t>s</w:t>
      </w:r>
      <w:r w:rsidRPr="00EE2FA1">
        <w:rPr>
          <w:rFonts w:ascii="Times New Roman" w:eastAsia="Calibri" w:hAnsi="Times New Roman" w:cs="Times New Roman"/>
          <w:sz w:val="28"/>
          <w:szCs w:val="28"/>
          <w:lang w:eastAsia="es-ES"/>
        </w:rPr>
        <w:t xml:space="preserve"> de </w:t>
      </w:r>
      <w:r w:rsidRPr="00EE2FA1">
        <w:rPr>
          <w:rFonts w:ascii="Times New Roman" w:eastAsia="Calibri" w:hAnsi="Times New Roman" w:cs="Times New Roman"/>
          <w:i/>
          <w:iCs/>
          <w:sz w:val="28"/>
          <w:szCs w:val="28"/>
          <w:lang w:eastAsia="es-ES"/>
        </w:rPr>
        <w:t>justicia</w:t>
      </w:r>
      <w:r w:rsidRPr="00EE2FA1">
        <w:rPr>
          <w:rFonts w:ascii="Times New Roman" w:eastAsia="Calibri" w:hAnsi="Times New Roman" w:cs="Times New Roman"/>
          <w:i/>
          <w:iCs/>
          <w:sz w:val="28"/>
          <w:szCs w:val="28"/>
          <w:lang w:eastAsia="es-ES"/>
        </w:rPr>
        <w:t xml:space="preserve"> y equidad</w:t>
      </w:r>
      <w:r w:rsidRPr="00EE2FA1">
        <w:rPr>
          <w:rFonts w:ascii="Times New Roman" w:eastAsia="Calibri" w:hAnsi="Times New Roman" w:cs="Times New Roman"/>
          <w:i/>
          <w:iCs/>
          <w:sz w:val="28"/>
          <w:szCs w:val="28"/>
          <w:lang w:eastAsia="es-ES"/>
        </w:rPr>
        <w:t xml:space="preserve"> tributaria</w:t>
      </w:r>
      <w:r w:rsidRPr="00EE2FA1">
        <w:rPr>
          <w:rFonts w:ascii="Times New Roman" w:eastAsia="Calibri" w:hAnsi="Times New Roman" w:cs="Times New Roman"/>
          <w:i/>
          <w:iCs/>
          <w:sz w:val="28"/>
          <w:szCs w:val="28"/>
          <w:lang w:eastAsia="es-ES"/>
        </w:rPr>
        <w:t xml:space="preserve"> </w:t>
      </w:r>
      <w:r w:rsidRPr="00EE2FA1">
        <w:rPr>
          <w:rFonts w:ascii="Times New Roman" w:eastAsia="Calibri" w:hAnsi="Times New Roman" w:cs="Times New Roman"/>
          <w:sz w:val="28"/>
          <w:szCs w:val="28"/>
          <w:lang w:eastAsia="es-ES"/>
        </w:rPr>
        <w:t xml:space="preserve">porque </w:t>
      </w:r>
      <w:r w:rsidRPr="00EE2FA1">
        <w:rPr>
          <w:rFonts w:ascii="Times New Roman" w:eastAsia="Calibri" w:hAnsi="Times New Roman" w:cs="Times New Roman"/>
          <w:sz w:val="28"/>
          <w:szCs w:val="28"/>
          <w:lang w:eastAsia="es-ES"/>
        </w:rPr>
        <w:t xml:space="preserve">fue fijada con base en la capacidad contributiva del grupo destinatario de la medida. La Corte Constitucional arriba a dicha conclusión con fundamento en que: </w:t>
      </w:r>
    </w:p>
    <w:p w:rsidR="003C247F" w:rsidRPr="00EE2FA1" w:rsidRDefault="00EE2FA1" w:rsidP="003C247F">
      <w:pPr>
        <w:pStyle w:val="Prrafodelista"/>
        <w:spacing w:line="0" w:lineRule="atLeast"/>
        <w:ind w:left="0"/>
        <w:jc w:val="both"/>
        <w:rPr>
          <w:rFonts w:ascii="Times New Roman" w:eastAsia="Calibri" w:hAnsi="Times New Roman" w:cs="Times New Roman"/>
          <w:sz w:val="28"/>
          <w:szCs w:val="28"/>
          <w:lang w:eastAsia="es-ES"/>
        </w:rPr>
      </w:pPr>
    </w:p>
    <w:p w:rsidR="003C247F" w:rsidRPr="00EE2FA1" w:rsidRDefault="00EE2FA1" w:rsidP="002B28E2">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La medida sí considera la rent</w:t>
      </w:r>
      <w:r w:rsidRPr="00EE2FA1">
        <w:rPr>
          <w:rFonts w:ascii="Times New Roman" w:eastAsia="Calibri" w:hAnsi="Times New Roman" w:cs="Times New Roman"/>
          <w:sz w:val="28"/>
          <w:szCs w:val="28"/>
          <w:lang w:eastAsia="es-ES"/>
        </w:rPr>
        <w:t>a líquida o neta susceptible de ser gravada impositivamente. La Sala reitera que la medida analizada no es un tributo independiente o autónomo</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sino que se trata de una sobretarifa al impuesto de renta</w:t>
      </w:r>
      <w:r w:rsidRPr="00EE2FA1">
        <w:rPr>
          <w:rFonts w:ascii="Times New Roman" w:eastAsia="Calibri" w:hAnsi="Times New Roman" w:cs="Times New Roman"/>
          <w:sz w:val="28"/>
          <w:szCs w:val="28"/>
        </w:rPr>
        <w:t>. De esta manera, los puntos adicionales sobre la tarif</w:t>
      </w:r>
      <w:r w:rsidRPr="00EE2FA1">
        <w:rPr>
          <w:rFonts w:ascii="Times New Roman" w:eastAsia="Calibri" w:hAnsi="Times New Roman" w:cs="Times New Roman"/>
          <w:sz w:val="28"/>
          <w:szCs w:val="28"/>
        </w:rPr>
        <w:t xml:space="preserve">a del impuesto sobre la renta solo son aplicables a los contribuyentes -empresas dedicadas a la extracción de petróleo- que en el año gravable correspondiente tengan una renta gravable igual o superior a 50.000 UVT. </w:t>
      </w:r>
    </w:p>
    <w:p w:rsidR="003C247F" w:rsidRPr="00EE2FA1" w:rsidRDefault="00EE2FA1" w:rsidP="003C247F">
      <w:pPr>
        <w:pStyle w:val="Prrafodelista"/>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El parámetro que prevé la norma acusad</w:t>
      </w:r>
      <w:r w:rsidRPr="00EE2FA1">
        <w:rPr>
          <w:rFonts w:ascii="Times New Roman" w:eastAsia="Calibri" w:hAnsi="Times New Roman" w:cs="Times New Roman"/>
          <w:sz w:val="28"/>
          <w:szCs w:val="28"/>
          <w:lang w:eastAsia="es-ES"/>
        </w:rPr>
        <w:t xml:space="preserve">a para que surja la obligación de asumir esos puntos adicionales en el impuesto sobre la renta evidencia que esa capacidad de tributar corresponde con su realidad económica. En primer lugar, no se trata de una imposición sobre ingresos o renta bruta, sino </w:t>
      </w:r>
      <w:r w:rsidRPr="00EE2FA1">
        <w:rPr>
          <w:rFonts w:ascii="Times New Roman" w:eastAsia="Calibri" w:hAnsi="Times New Roman" w:cs="Times New Roman"/>
          <w:sz w:val="28"/>
          <w:szCs w:val="28"/>
          <w:lang w:eastAsia="es-ES"/>
        </w:rPr>
        <w:t>que su base es la renta gravable, como se puede observar del texto de la norma demandada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Además, solo a las empresas que alcanzan </w:t>
      </w:r>
      <w:r w:rsidRPr="00EE2FA1">
        <w:rPr>
          <w:rFonts w:ascii="Times New Roman" w:eastAsia="Calibri" w:hAnsi="Times New Roman" w:cs="Times New Roman"/>
          <w:sz w:val="28"/>
          <w:szCs w:val="28"/>
          <w:lang w:eastAsia="es-ES"/>
        </w:rPr>
        <w:t xml:space="preserve">el citado </w:t>
      </w:r>
      <w:r w:rsidRPr="00EE2FA1">
        <w:rPr>
          <w:rFonts w:ascii="Times New Roman" w:eastAsia="Calibri" w:hAnsi="Times New Roman" w:cs="Times New Roman"/>
          <w:sz w:val="28"/>
          <w:szCs w:val="28"/>
          <w:lang w:eastAsia="es-ES"/>
        </w:rPr>
        <w:t>umbral de renta gravable se les impone la obligación de asumir los puntos adicionales en el tributo.</w:t>
      </w:r>
      <w:r w:rsidRPr="00EE2FA1">
        <w:rPr>
          <w:rFonts w:ascii="Times New Roman" w:eastAsia="Calibri" w:hAnsi="Times New Roman" w:cs="Times New Roman"/>
          <w:sz w:val="28"/>
          <w:szCs w:val="28"/>
          <w:lang w:eastAsia="es-ES"/>
        </w:rPr>
        <w:t xml:space="preserve"> </w:t>
      </w:r>
    </w:p>
    <w:p w:rsidR="003C247F" w:rsidRPr="00EE2FA1" w:rsidRDefault="00EE2FA1" w:rsidP="003C247F">
      <w:pPr>
        <w:pStyle w:val="Prrafodelista"/>
        <w:tabs>
          <w:tab w:val="left" w:pos="426"/>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DD7859">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rPr>
      </w:pPr>
      <w:r w:rsidRPr="00EE2FA1">
        <w:rPr>
          <w:rFonts w:ascii="Times New Roman" w:eastAsia="Calibri" w:hAnsi="Times New Roman" w:cs="Times New Roman"/>
          <w:sz w:val="28"/>
          <w:szCs w:val="28"/>
          <w:lang w:eastAsia="es-ES"/>
        </w:rPr>
        <w:t>La constatac</w:t>
      </w:r>
      <w:r w:rsidRPr="00EE2FA1">
        <w:rPr>
          <w:rFonts w:ascii="Times New Roman" w:eastAsia="Calibri" w:hAnsi="Times New Roman" w:cs="Times New Roman"/>
          <w:sz w:val="28"/>
          <w:szCs w:val="28"/>
          <w:lang w:eastAsia="es-ES"/>
        </w:rPr>
        <w:t xml:space="preserve">ión de que es la renta gravable, es decir, </w:t>
      </w:r>
      <w:r w:rsidRPr="00EE2FA1">
        <w:rPr>
          <w:rFonts w:ascii="Times New Roman" w:hAnsi="Times New Roman" w:cs="Times New Roman"/>
          <w:sz w:val="28"/>
          <w:szCs w:val="28"/>
          <w:shd w:val="clear" w:color="auto" w:fill="FFFFFF"/>
        </w:rPr>
        <w:t>la renta luego de haber tenido en cuenta deducciones, exenciones y otros beneficios tributarios y no la renta bruta, es relevante para descartar el argumento presentado por uno de los intervinientes para sustentar</w:t>
      </w:r>
      <w:r w:rsidRPr="00EE2FA1">
        <w:rPr>
          <w:rFonts w:ascii="Times New Roman" w:hAnsi="Times New Roman" w:cs="Times New Roman"/>
          <w:sz w:val="28"/>
          <w:szCs w:val="28"/>
          <w:shd w:val="clear" w:color="auto" w:fill="FFFFFF"/>
        </w:rPr>
        <w:t xml:space="preserve"> la presunta violación de los principios de justicia y equidad tributarias.</w:t>
      </w:r>
      <w:r w:rsidRPr="00EE2FA1">
        <w:rPr>
          <w:rFonts w:ascii="Times New Roman" w:hAnsi="Times New Roman" w:cs="Times New Roman"/>
          <w:sz w:val="28"/>
          <w:szCs w:val="28"/>
          <w:shd w:val="clear" w:color="auto" w:fill="FFFFFF"/>
        </w:rPr>
        <w:t xml:space="preserve"> </w:t>
      </w:r>
      <w:r w:rsidRPr="00EE2FA1">
        <w:rPr>
          <w:rFonts w:ascii="Times New Roman" w:hAnsi="Times New Roman" w:cs="Times New Roman"/>
          <w:sz w:val="28"/>
          <w:szCs w:val="28"/>
          <w:shd w:val="clear" w:color="auto" w:fill="FFFFFF"/>
        </w:rPr>
        <w:t xml:space="preserve">En particular, el ICDT cuestionó que considerar únicamente los ingresos brutos desconoce el proceso de depuración de la renta y esto no demuestra en forma directa mayor capacidad </w:t>
      </w:r>
      <w:r w:rsidRPr="00EE2FA1">
        <w:rPr>
          <w:rFonts w:ascii="Times New Roman" w:hAnsi="Times New Roman" w:cs="Times New Roman"/>
          <w:sz w:val="28"/>
          <w:szCs w:val="28"/>
          <w:shd w:val="clear" w:color="auto" w:fill="FFFFFF"/>
        </w:rPr>
        <w:t>contributiva</w:t>
      </w:r>
      <w:r w:rsidRPr="00EE2FA1">
        <w:rPr>
          <w:rStyle w:val="Refdenotaalpie"/>
          <w:rFonts w:ascii="Times New Roman" w:hAnsi="Times New Roman" w:cs="Times New Roman"/>
          <w:sz w:val="28"/>
          <w:szCs w:val="28"/>
          <w:shd w:val="clear" w:color="auto" w:fill="FFFFFF"/>
        </w:rPr>
        <w:footnoteReference w:id="257"/>
      </w:r>
      <w:r w:rsidRPr="00EE2FA1">
        <w:rPr>
          <w:rFonts w:ascii="Times New Roman" w:hAnsi="Times New Roman" w:cs="Times New Roman"/>
          <w:sz w:val="28"/>
          <w:szCs w:val="28"/>
          <w:shd w:val="clear" w:color="auto" w:fill="FFFFFF"/>
        </w:rPr>
        <w:t>. La apreciación del interviniente no corresponde con el tenor literal de la norma acusada que se refiere explícitamente a determinado monto de la renta gravable</w:t>
      </w:r>
      <w:r w:rsidRPr="00EE2FA1">
        <w:rPr>
          <w:rFonts w:ascii="Times New Roman" w:hAnsi="Times New Roman" w:cs="Times New Roman"/>
          <w:i/>
          <w:iCs/>
          <w:sz w:val="28"/>
          <w:szCs w:val="28"/>
          <w:shd w:val="clear" w:color="auto" w:fill="FFFFFF"/>
        </w:rPr>
        <w:t>,</w:t>
      </w:r>
      <w:r w:rsidRPr="00EE2FA1">
        <w:rPr>
          <w:rFonts w:ascii="Times New Roman" w:hAnsi="Times New Roman" w:cs="Times New Roman"/>
          <w:sz w:val="28"/>
          <w:szCs w:val="28"/>
          <w:shd w:val="clear" w:color="auto" w:fill="FFFFFF"/>
        </w:rPr>
        <w:t xml:space="preserve"> como condición para que deban asumirse determinados puntos adicionales en el imp</w:t>
      </w:r>
      <w:r w:rsidRPr="00EE2FA1">
        <w:rPr>
          <w:rFonts w:ascii="Times New Roman" w:hAnsi="Times New Roman" w:cs="Times New Roman"/>
          <w:sz w:val="28"/>
          <w:szCs w:val="28"/>
          <w:shd w:val="clear" w:color="auto" w:fill="FFFFFF"/>
        </w:rPr>
        <w:t>uesto sobre la renta. Este es un criterio que, por demás, es indicativo de la capacidad contributiva del contribuyente y se relaciona directamente con el hecho generador de este gravamen.</w:t>
      </w:r>
    </w:p>
    <w:p w:rsidR="003C247F" w:rsidRPr="00EE2FA1" w:rsidRDefault="00EE2FA1" w:rsidP="003C247F">
      <w:pPr>
        <w:tabs>
          <w:tab w:val="left" w:pos="426"/>
        </w:tabs>
        <w:spacing w:line="0" w:lineRule="atLeast"/>
        <w:jc w:val="both"/>
        <w:rPr>
          <w:rFonts w:ascii="Times New Roman" w:eastAsia="Calibri" w:hAnsi="Times New Roman" w:cs="Times New Roman"/>
          <w:sz w:val="28"/>
          <w:szCs w:val="28"/>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rPr>
      </w:pPr>
      <w:r w:rsidRPr="00EE2FA1">
        <w:rPr>
          <w:rFonts w:ascii="Times New Roman" w:eastAsia="Calibri" w:hAnsi="Times New Roman" w:cs="Times New Roman"/>
          <w:sz w:val="28"/>
          <w:szCs w:val="28"/>
        </w:rPr>
        <w:t xml:space="preserve">En respaldo de lo anterior, valga resaltar que la Corte </w:t>
      </w:r>
      <w:r w:rsidRPr="00EE2FA1">
        <w:rPr>
          <w:rFonts w:ascii="Times New Roman" w:eastAsia="Calibri" w:hAnsi="Times New Roman" w:cs="Times New Roman"/>
          <w:sz w:val="28"/>
          <w:szCs w:val="28"/>
        </w:rPr>
        <w:t xml:space="preserve">Constitucional ya ha concluido que sobretasas del impuesto sobre la renta que se basan en la renta gravable de los sujetos obligados son acordes con el criterio de capacidad contributiva y, por eso, no son contrarias a los principios de justicia y equidad </w:t>
      </w:r>
      <w:r w:rsidRPr="00EE2FA1">
        <w:rPr>
          <w:rFonts w:ascii="Times New Roman" w:eastAsia="Calibri" w:hAnsi="Times New Roman" w:cs="Times New Roman"/>
          <w:sz w:val="28"/>
          <w:szCs w:val="28"/>
        </w:rPr>
        <w:t>tributarias. En este sentido, la Sentencia C-057 de 2021</w:t>
      </w:r>
      <w:r w:rsidRPr="00EE2FA1">
        <w:rPr>
          <w:rStyle w:val="Refdenotaalpie"/>
          <w:rFonts w:ascii="Times New Roman" w:eastAsia="Calibri" w:hAnsi="Times New Roman" w:cs="Times New Roman"/>
          <w:sz w:val="28"/>
          <w:szCs w:val="28"/>
        </w:rPr>
        <w:footnoteReference w:id="258"/>
      </w:r>
      <w:r w:rsidRPr="00EE2FA1">
        <w:rPr>
          <w:rFonts w:ascii="Times New Roman" w:eastAsia="Calibri" w:hAnsi="Times New Roman" w:cs="Times New Roman"/>
          <w:sz w:val="28"/>
          <w:szCs w:val="28"/>
        </w:rPr>
        <w:t xml:space="preserve"> analizó una sobretarifa del impuesto de renta de las entidades financieras que tuvieran una renta gravable igual o superior a 120.000 UVT. Al respecto, la Corte sostuvo que ese umbral de renta es un</w:t>
      </w:r>
      <w:r w:rsidRPr="00EE2FA1">
        <w:rPr>
          <w:rFonts w:ascii="Times New Roman" w:eastAsia="Calibri" w:hAnsi="Times New Roman" w:cs="Times New Roman"/>
          <w:sz w:val="28"/>
          <w:szCs w:val="28"/>
        </w:rPr>
        <w:t xml:space="preserve">a exigencia material y objetiva, y que refleja la realidad económica de los obligados a esa sobretasa como evidencia de la capacidad para afrontar el pago del tributo. </w:t>
      </w:r>
    </w:p>
    <w:p w:rsidR="003C247F" w:rsidRPr="00EE2FA1" w:rsidRDefault="00EE2FA1" w:rsidP="003C247F">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De igual forma, la definición de la tarifa mediante referentes de precios internaciona</w:t>
      </w:r>
      <w:r w:rsidRPr="00EE2FA1">
        <w:rPr>
          <w:rFonts w:ascii="Times New Roman" w:eastAsia="Calibri" w:hAnsi="Times New Roman" w:cs="Times New Roman"/>
          <w:sz w:val="28"/>
          <w:szCs w:val="28"/>
          <w:lang w:eastAsia="es-ES"/>
        </w:rPr>
        <w:t xml:space="preserve">les del petróleo crudo no es irrazonable para establecer la capacidad contributiva de los obligados. </w:t>
      </w:r>
      <w:r w:rsidRPr="00EE2FA1">
        <w:rPr>
          <w:rFonts w:ascii="Times New Roman" w:eastAsia="Calibri" w:hAnsi="Times New Roman" w:cs="Times New Roman"/>
          <w:sz w:val="28"/>
          <w:szCs w:val="28"/>
          <w:lang w:eastAsia="es-ES"/>
        </w:rPr>
        <w:t>L</w:t>
      </w:r>
      <w:r w:rsidRPr="00EE2FA1">
        <w:rPr>
          <w:rFonts w:ascii="Times New Roman" w:eastAsia="Calibri" w:hAnsi="Times New Roman" w:cs="Times New Roman"/>
          <w:sz w:val="28"/>
          <w:szCs w:val="28"/>
          <w:lang w:eastAsia="es-ES"/>
        </w:rPr>
        <w:t xml:space="preserve">a norma acusada </w:t>
      </w:r>
      <w:r w:rsidRPr="00EE2FA1">
        <w:rPr>
          <w:rFonts w:ascii="Times New Roman" w:eastAsia="Calibri" w:hAnsi="Times New Roman" w:cs="Times New Roman"/>
          <w:sz w:val="28"/>
          <w:szCs w:val="28"/>
          <w:lang w:eastAsia="es-ES"/>
        </w:rPr>
        <w:t xml:space="preserve">consagra </w:t>
      </w:r>
      <w:r w:rsidRPr="00EE2FA1">
        <w:rPr>
          <w:rFonts w:ascii="Times New Roman" w:eastAsia="Calibri" w:hAnsi="Times New Roman" w:cs="Times New Roman"/>
          <w:sz w:val="28"/>
          <w:szCs w:val="28"/>
          <w:lang w:eastAsia="es-ES"/>
        </w:rPr>
        <w:t xml:space="preserve">una sobretarifa que consolida una </w:t>
      </w:r>
      <w:r w:rsidRPr="00EE2FA1">
        <w:rPr>
          <w:rFonts w:ascii="Times New Roman" w:eastAsia="Calibri" w:hAnsi="Times New Roman" w:cs="Times New Roman"/>
          <w:sz w:val="28"/>
          <w:szCs w:val="28"/>
          <w:lang w:eastAsia="es-ES"/>
        </w:rPr>
        <w:t>medida tributaria</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respecto de </w:t>
      </w:r>
      <w:r w:rsidRPr="00EE2FA1">
        <w:rPr>
          <w:rFonts w:ascii="Times New Roman" w:eastAsia="Calibri" w:hAnsi="Times New Roman" w:cs="Times New Roman"/>
          <w:sz w:val="28"/>
          <w:szCs w:val="28"/>
          <w:lang w:eastAsia="es-ES"/>
        </w:rPr>
        <w:t>las ganancias extraordinarias</w:t>
      </w:r>
      <w:r w:rsidRPr="00EE2FA1">
        <w:rPr>
          <w:rFonts w:ascii="Times New Roman" w:eastAsia="Calibri" w:hAnsi="Times New Roman" w:cs="Times New Roman"/>
          <w:sz w:val="28"/>
          <w:szCs w:val="28"/>
          <w:lang w:eastAsia="es-ES"/>
        </w:rPr>
        <w:t xml:space="preserve"> de un sector económico específico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De esta manera, la Sala insiste en que no se trata de un impuesto nuevo, sino que se </w:t>
      </w:r>
      <w:r w:rsidRPr="00EE2FA1">
        <w:rPr>
          <w:rFonts w:ascii="Times New Roman" w:eastAsia="Calibri" w:hAnsi="Times New Roman" w:cs="Times New Roman"/>
          <w:sz w:val="28"/>
          <w:szCs w:val="28"/>
          <w:lang w:eastAsia="es-ES"/>
        </w:rPr>
        <w:t>refiere a</w:t>
      </w:r>
      <w:r w:rsidRPr="00EE2FA1">
        <w:rPr>
          <w:rFonts w:ascii="Times New Roman" w:eastAsia="Calibri" w:hAnsi="Times New Roman" w:cs="Times New Roman"/>
          <w:sz w:val="28"/>
          <w:szCs w:val="28"/>
          <w:lang w:eastAsia="es-ES"/>
        </w:rPr>
        <w:t xml:space="preserve"> un aumento condicionado en la tarifa del impuesto de renta a cargo de </w:t>
      </w:r>
      <w:r w:rsidRPr="00EE2FA1">
        <w:rPr>
          <w:rFonts w:ascii="Times New Roman" w:eastAsia="Calibri" w:hAnsi="Times New Roman" w:cs="Times New Roman"/>
          <w:sz w:val="28"/>
          <w:szCs w:val="28"/>
          <w:lang w:eastAsia="es-ES"/>
        </w:rPr>
        <w:t xml:space="preserve">ciertos </w:t>
      </w:r>
      <w:r w:rsidRPr="00EE2FA1">
        <w:rPr>
          <w:rFonts w:ascii="Times New Roman" w:eastAsia="Calibri" w:hAnsi="Times New Roman" w:cs="Times New Roman"/>
          <w:sz w:val="28"/>
          <w:szCs w:val="28"/>
          <w:lang w:eastAsia="es-ES"/>
        </w:rPr>
        <w:t xml:space="preserve">sujetos pasivos de dicho tributo. </w:t>
      </w:r>
    </w:p>
    <w:p w:rsidR="003C247F" w:rsidRPr="00EE2FA1" w:rsidRDefault="00EE2FA1" w:rsidP="003C247F">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 la consolidación de dicha tarifa concurre un mecanismo que comprende variables de precios internacionales de petróleo crudo. La Corte ya había analizado previamente estructuras tributarias que contemplan variables o precios de referencia internacional. </w:t>
      </w:r>
      <w:r w:rsidRPr="00EE2FA1">
        <w:rPr>
          <w:rFonts w:ascii="Times New Roman" w:eastAsia="Calibri" w:hAnsi="Times New Roman" w:cs="Times New Roman"/>
          <w:sz w:val="28"/>
          <w:szCs w:val="28"/>
          <w:lang w:eastAsia="es-ES"/>
        </w:rPr>
        <w:t>P</w:t>
      </w:r>
      <w:r w:rsidRPr="00EE2FA1">
        <w:rPr>
          <w:rFonts w:ascii="Times New Roman" w:eastAsia="Calibri" w:hAnsi="Times New Roman" w:cs="Times New Roman"/>
          <w:sz w:val="28"/>
          <w:szCs w:val="28"/>
          <w:lang w:eastAsia="es-ES"/>
        </w:rPr>
        <w:t>or ejemplo, l</w:t>
      </w:r>
      <w:r w:rsidRPr="00EE2FA1">
        <w:rPr>
          <w:rFonts w:ascii="Times New Roman" w:eastAsia="Calibri" w:hAnsi="Times New Roman" w:cs="Times New Roman"/>
          <w:sz w:val="28"/>
          <w:szCs w:val="28"/>
          <w:lang w:eastAsia="es-ES"/>
        </w:rPr>
        <w:t>a Sentencia C-585 de 2015</w:t>
      </w:r>
      <w:r w:rsidRPr="00EE2FA1">
        <w:rPr>
          <w:rStyle w:val="Refdenotaalpie"/>
          <w:rFonts w:ascii="Times New Roman" w:eastAsia="Calibri" w:hAnsi="Times New Roman" w:cs="Times New Roman"/>
          <w:sz w:val="28"/>
          <w:szCs w:val="28"/>
          <w:lang w:eastAsia="es-ES"/>
        </w:rPr>
        <w:footnoteReference w:id="259"/>
      </w:r>
      <w:r w:rsidRPr="00EE2FA1">
        <w:rPr>
          <w:rFonts w:ascii="Times New Roman" w:eastAsia="Calibri" w:hAnsi="Times New Roman" w:cs="Times New Roman"/>
          <w:sz w:val="28"/>
          <w:szCs w:val="28"/>
          <w:lang w:eastAsia="es-ES"/>
        </w:rPr>
        <w:t xml:space="preserve"> declaró exequible los artículos 69</w:t>
      </w:r>
      <w:r w:rsidRPr="00EE2FA1">
        <w:rPr>
          <w:rStyle w:val="Refdenotaalpie"/>
          <w:rFonts w:ascii="Times New Roman" w:eastAsia="Calibri" w:hAnsi="Times New Roman" w:cs="Times New Roman"/>
          <w:sz w:val="28"/>
          <w:szCs w:val="28"/>
          <w:lang w:eastAsia="es-ES"/>
        </w:rPr>
        <w:footnoteReference w:id="260"/>
      </w:r>
      <w:r w:rsidRPr="00EE2FA1">
        <w:rPr>
          <w:rFonts w:ascii="Times New Roman" w:eastAsia="Calibri" w:hAnsi="Times New Roman" w:cs="Times New Roman"/>
          <w:sz w:val="28"/>
          <w:szCs w:val="28"/>
          <w:lang w:eastAsia="es-ES"/>
        </w:rPr>
        <w:t xml:space="preserve"> y 70</w:t>
      </w:r>
      <w:r w:rsidRPr="00EE2FA1">
        <w:rPr>
          <w:rStyle w:val="Refdenotaalpie"/>
          <w:rFonts w:ascii="Times New Roman" w:eastAsia="Calibri" w:hAnsi="Times New Roman" w:cs="Times New Roman"/>
          <w:sz w:val="28"/>
          <w:szCs w:val="28"/>
          <w:lang w:eastAsia="es-ES"/>
        </w:rPr>
        <w:footnoteReference w:id="261"/>
      </w:r>
      <w:r w:rsidRPr="00EE2FA1">
        <w:rPr>
          <w:rFonts w:ascii="Times New Roman" w:eastAsia="Calibri" w:hAnsi="Times New Roman" w:cs="Times New Roman"/>
          <w:sz w:val="28"/>
          <w:szCs w:val="28"/>
          <w:lang w:eastAsia="es-ES"/>
        </w:rPr>
        <w:t xml:space="preserve"> de la Ley 1739 de 2014 que regulaban la contribución parafiscal a</w:t>
      </w:r>
      <w:r w:rsidRPr="00EE2FA1">
        <w:rPr>
          <w:rFonts w:ascii="Times New Roman" w:eastAsia="Calibri" w:hAnsi="Times New Roman" w:cs="Times New Roman"/>
          <w:sz w:val="28"/>
          <w:szCs w:val="28"/>
          <w:lang w:eastAsia="es-ES"/>
        </w:rPr>
        <w:t>l</w:t>
      </w:r>
      <w:r w:rsidRPr="00EE2FA1">
        <w:rPr>
          <w:rFonts w:ascii="Times New Roman" w:eastAsia="Calibri" w:hAnsi="Times New Roman" w:cs="Times New Roman"/>
          <w:sz w:val="28"/>
          <w:szCs w:val="28"/>
          <w:lang w:eastAsia="es-ES"/>
        </w:rPr>
        <w:t xml:space="preserve"> combustible y sus elementos. La base gravable resultaba de multiplicar la diferencia </w:t>
      </w:r>
      <w:r w:rsidRPr="00EE2FA1">
        <w:rPr>
          <w:rFonts w:ascii="Times New Roman" w:eastAsia="Calibri" w:hAnsi="Times New Roman" w:cs="Times New Roman"/>
          <w:sz w:val="28"/>
          <w:szCs w:val="28"/>
          <w:lang w:eastAsia="es-ES"/>
        </w:rPr>
        <w:t xml:space="preserve">entre </w:t>
      </w:r>
      <w:r w:rsidRPr="00EE2FA1">
        <w:rPr>
          <w:rFonts w:ascii="Times New Roman" w:hAnsi="Times New Roman" w:cs="Times New Roman"/>
          <w:sz w:val="28"/>
          <w:szCs w:val="28"/>
          <w:shd w:val="clear" w:color="auto" w:fill="FFFFFF"/>
        </w:rPr>
        <w:t>el precio de ref</w:t>
      </w:r>
      <w:r w:rsidRPr="00EE2FA1">
        <w:rPr>
          <w:rFonts w:ascii="Times New Roman" w:hAnsi="Times New Roman" w:cs="Times New Roman"/>
          <w:sz w:val="28"/>
          <w:szCs w:val="28"/>
          <w:shd w:val="clear" w:color="auto" w:fill="FFFFFF"/>
        </w:rPr>
        <w:t xml:space="preserve">erencia y el precio de paridad internacional, cuando esta sea positiva, por el volumen de combustible reportado en el momento de venta, retiro o importación. En aquella oportunidad, la Corte indicó lo siguiente: </w:t>
      </w:r>
    </w:p>
    <w:p w:rsidR="003C247F" w:rsidRPr="00EE2FA1" w:rsidRDefault="00EE2FA1" w:rsidP="003C247F">
      <w:pPr>
        <w:spacing w:line="0" w:lineRule="atLeast"/>
        <w:ind w:left="567"/>
        <w:jc w:val="both"/>
        <w:rPr>
          <w:rFonts w:ascii="Times New Roman" w:eastAsia="Calibri" w:hAnsi="Times New Roman" w:cs="Times New Roman"/>
          <w:sz w:val="28"/>
          <w:szCs w:val="28"/>
          <w:lang w:eastAsia="es-ES"/>
        </w:rPr>
      </w:pPr>
    </w:p>
    <w:p w:rsidR="003C247F" w:rsidRPr="00EE2FA1" w:rsidRDefault="00EE2FA1" w:rsidP="003C247F">
      <w:pPr>
        <w:ind w:left="567"/>
        <w:jc w:val="both"/>
        <w:rPr>
          <w:rFonts w:ascii="Times New Roman" w:hAnsi="Times New Roman" w:cs="Times New Roman"/>
          <w:sz w:val="28"/>
        </w:rPr>
      </w:pPr>
      <w:r w:rsidRPr="00EE2FA1">
        <w:rPr>
          <w:rFonts w:ascii="Times New Roman" w:eastAsia="Calibri" w:hAnsi="Times New Roman" w:cs="Times New Roman"/>
          <w:sz w:val="28"/>
          <w:lang w:eastAsia="es-ES"/>
        </w:rPr>
        <w:t>“</w:t>
      </w:r>
      <w:r w:rsidRPr="00EE2FA1">
        <w:rPr>
          <w:rFonts w:ascii="Times New Roman" w:hAnsi="Times New Roman" w:cs="Times New Roman"/>
          <w:sz w:val="28"/>
          <w:lang w:val="es-ES_tradnl"/>
        </w:rPr>
        <w:t>La obligación tributaria se activa entonc</w:t>
      </w:r>
      <w:r w:rsidRPr="00EE2FA1">
        <w:rPr>
          <w:rFonts w:ascii="Times New Roman" w:hAnsi="Times New Roman" w:cs="Times New Roman"/>
          <w:sz w:val="28"/>
          <w:lang w:val="es-ES_tradnl"/>
        </w:rPr>
        <w:t>es cuando se da ese hecho, si además el precio de paridad internacional, “para el día en que el refinador y/o importador” lo realice, es inferior al de referencia.</w:t>
      </w:r>
      <w:r w:rsidRPr="00EE2FA1">
        <w:rPr>
          <w:rStyle w:val="apple-converted-space"/>
          <w:rFonts w:ascii="Times New Roman" w:hAnsi="Times New Roman" w:cs="Times New Roman"/>
          <w:sz w:val="28"/>
          <w:lang w:val="es-ES_tradnl"/>
        </w:rPr>
        <w:t> </w:t>
      </w:r>
      <w:r w:rsidRPr="00EE2FA1">
        <w:rPr>
          <w:rFonts w:ascii="Times New Roman" w:hAnsi="Times New Roman" w:cs="Times New Roman"/>
          <w:sz w:val="28"/>
          <w:shd w:val="clear" w:color="auto" w:fill="FFFFFF"/>
          <w:lang w:val="es-ES_tradnl"/>
        </w:rPr>
        <w:t>Ahora bien, la Ley expresamente define el precio de referencia como el ‘Ingreso al productor</w:t>
      </w:r>
      <w:r w:rsidRPr="00EE2FA1">
        <w:rPr>
          <w:rFonts w:ascii="Times New Roman" w:hAnsi="Times New Roman" w:cs="Times New Roman"/>
          <w:sz w:val="28"/>
          <w:shd w:val="clear" w:color="auto" w:fill="FFFFFF"/>
          <w:lang w:val="es-ES_tradnl"/>
        </w:rPr>
        <w:t>’; es decir, como “la remuneración a refinadores e importadores por galón de combustible gasolina motor corriente y/o ACPM para el mercado nacional”. Así, queda entonces claro que el hecho generador se produce cuando se den las hipótesis previstas en el ar</w:t>
      </w:r>
      <w:r w:rsidRPr="00EE2FA1">
        <w:rPr>
          <w:rFonts w:ascii="Times New Roman" w:hAnsi="Times New Roman" w:cs="Times New Roman"/>
          <w:sz w:val="28"/>
          <w:shd w:val="clear" w:color="auto" w:fill="FFFFFF"/>
          <w:lang w:val="es-ES_tradnl"/>
        </w:rPr>
        <w:t>tículo 49 de la Ley 1739 de 2014, si además el precio de paridad internacional es inferior, “para el día en que el refinador y/o importador realice el hecho”, al precio que se paga para el mercado nacional a refinadores e importadores por galón de gasolina</w:t>
      </w:r>
      <w:r w:rsidRPr="00EE2FA1">
        <w:rPr>
          <w:rFonts w:ascii="Times New Roman" w:hAnsi="Times New Roman" w:cs="Times New Roman"/>
          <w:sz w:val="28"/>
          <w:shd w:val="clear" w:color="auto" w:fill="FFFFFF"/>
          <w:lang w:val="es-ES_tradnl"/>
        </w:rPr>
        <w:t xml:space="preserve"> corriente y/o ACPM. </w:t>
      </w:r>
      <w:r w:rsidRPr="00EE2FA1">
        <w:rPr>
          <w:rStyle w:val="apple-converted-space"/>
          <w:rFonts w:ascii="Times New Roman" w:hAnsi="Times New Roman" w:cs="Times New Roman"/>
          <w:sz w:val="28"/>
          <w:shd w:val="clear" w:color="auto" w:fill="FFFFFF"/>
          <w:lang w:val="es-ES_tradnl"/>
        </w:rPr>
        <w:t> </w:t>
      </w:r>
    </w:p>
    <w:p w:rsidR="003C247F" w:rsidRPr="00EE2FA1" w:rsidRDefault="00EE2FA1" w:rsidP="003C247F">
      <w:pPr>
        <w:ind w:left="567"/>
        <w:jc w:val="both"/>
        <w:rPr>
          <w:rFonts w:ascii="Times New Roman" w:hAnsi="Times New Roman" w:cs="Times New Roman"/>
          <w:sz w:val="28"/>
        </w:rPr>
      </w:pPr>
      <w:r w:rsidRPr="00EE2FA1">
        <w:rPr>
          <w:rFonts w:ascii="Times New Roman" w:hAnsi="Times New Roman" w:cs="Times New Roman"/>
          <w:sz w:val="28"/>
          <w:lang w:val="es-ES_tradnl"/>
        </w:rPr>
        <w:t> </w:t>
      </w:r>
      <w:r w:rsidRPr="00EE2FA1">
        <w:rPr>
          <w:rStyle w:val="apple-converted-space"/>
          <w:rFonts w:ascii="Times New Roman" w:hAnsi="Times New Roman" w:cs="Times New Roman"/>
          <w:sz w:val="28"/>
          <w:lang w:val="es-ES_tradnl"/>
        </w:rPr>
        <w:t> </w:t>
      </w:r>
    </w:p>
    <w:p w:rsidR="003C247F" w:rsidRPr="00EE2FA1" w:rsidRDefault="00EE2FA1" w:rsidP="003C247F">
      <w:pPr>
        <w:ind w:left="567"/>
        <w:jc w:val="both"/>
        <w:rPr>
          <w:rFonts w:ascii="Times New Roman" w:hAnsi="Times New Roman" w:cs="Times New Roman"/>
          <w:sz w:val="28"/>
        </w:rPr>
      </w:pPr>
      <w:r w:rsidRPr="00EE2FA1">
        <w:rPr>
          <w:rFonts w:ascii="Times New Roman" w:hAnsi="Times New Roman" w:cs="Times New Roman"/>
          <w:sz w:val="28"/>
        </w:rPr>
        <w:t>27.2. En lo que respecta a la base gravable, esta es definida igualmente en el numeral 2 del artículo 70 acusado parcialmente, como el producto de multiplicar la diferencia entre el precio de referencia y el de paridad internacion</w:t>
      </w:r>
      <w:r w:rsidRPr="00EE2FA1">
        <w:rPr>
          <w:rFonts w:ascii="Times New Roman" w:hAnsi="Times New Roman" w:cs="Times New Roman"/>
          <w:sz w:val="28"/>
        </w:rPr>
        <w:t>al, cuando esta sea positiva (es decir, cuando el de paridad sea inferior al de referencia), por el volumen de combustible reportado en el momento de la venta, retiro o importación. El volumen que debe reportarse, según el literal a) del numeral 2 en comen</w:t>
      </w:r>
      <w:r w:rsidRPr="00EE2FA1">
        <w:rPr>
          <w:rFonts w:ascii="Times New Roman" w:hAnsi="Times New Roman" w:cs="Times New Roman"/>
          <w:sz w:val="28"/>
        </w:rPr>
        <w:t>to, es el de la “gasolina motor corriente nacional o importada y el ACPM nacional o importado reportado por el refinador y/o importador de combustible”. Esta definición implica entonces que la magnitud a la cual se aplica la tarifa del 100% está conformada</w:t>
      </w:r>
      <w:r w:rsidRPr="00EE2FA1">
        <w:rPr>
          <w:rFonts w:ascii="Times New Roman" w:hAnsi="Times New Roman" w:cs="Times New Roman"/>
          <w:sz w:val="28"/>
        </w:rPr>
        <w:t xml:space="preserve"> por la diferencia entre los precios de paridad y de referencia, la cual se multiplica por el volumen de combustible reportado en el momento definido expresamente en la ley.”</w:t>
      </w:r>
    </w:p>
    <w:p w:rsidR="003C247F" w:rsidRPr="00EE2FA1" w:rsidRDefault="00EE2FA1" w:rsidP="003C247F">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Por su parte, se reitera que la Sentencia C-036 de 2024, referida con antelación</w:t>
      </w:r>
      <w:r w:rsidRPr="00EE2FA1">
        <w:rPr>
          <w:rFonts w:ascii="Times New Roman" w:eastAsia="Calibri" w:hAnsi="Times New Roman" w:cs="Times New Roman"/>
          <w:sz w:val="28"/>
          <w:szCs w:val="28"/>
          <w:lang w:eastAsia="es-ES"/>
        </w:rPr>
        <w:t xml:space="preserve">, sobre la capacidad contributiva de la norma analizada estableció que: </w:t>
      </w:r>
    </w:p>
    <w:p w:rsidR="003C247F" w:rsidRPr="00EE2FA1" w:rsidRDefault="00EE2FA1" w:rsidP="003C247F">
      <w:pPr>
        <w:rPr>
          <w:rFonts w:ascii="Times New Roman" w:hAnsi="Times New Roman" w:cs="Times New Roman"/>
          <w:sz w:val="28"/>
          <w:szCs w:val="28"/>
          <w:lang w:val="es-ES"/>
        </w:rPr>
      </w:pPr>
    </w:p>
    <w:p w:rsidR="003C247F" w:rsidRPr="00EE2FA1" w:rsidRDefault="00EE2FA1" w:rsidP="003C247F">
      <w:pPr>
        <w:spacing w:line="0" w:lineRule="atLeast"/>
        <w:ind w:left="567"/>
        <w:jc w:val="both"/>
        <w:rPr>
          <w:rFonts w:ascii="Times New Roman" w:eastAsia="Calibri" w:hAnsi="Times New Roman" w:cs="Times New Roman"/>
          <w:sz w:val="28"/>
          <w:lang w:eastAsia="es-ES"/>
        </w:rPr>
      </w:pPr>
      <w:r w:rsidRPr="00EE2FA1">
        <w:rPr>
          <w:rFonts w:ascii="Times New Roman" w:hAnsi="Times New Roman" w:cs="Times New Roman"/>
          <w:sz w:val="28"/>
          <w:lang w:val="es-ES"/>
        </w:rPr>
        <w:t xml:space="preserve">“los diversos mecanismos que contempla la norma para ajustar la carga tributaria de los contribuyentes según la fluctuación de los precios en el mercado (como los percentiles </w:t>
      </w:r>
      <w:r w:rsidRPr="00EE2FA1">
        <w:rPr>
          <w:rFonts w:ascii="Times New Roman" w:hAnsi="Times New Roman" w:cs="Times New Roman"/>
          <w:sz w:val="28"/>
          <w:lang w:val="es-ES"/>
        </w:rPr>
        <w:t>contemplados en la disposición y las tarifas adicionales progresivas que comienzan en 0%, entre otros), así como el umbral de 50.000 UVT de renta gravable en el respectivo periodo, son elementos razonables para consultar su capacidad contributiva como suje</w:t>
      </w:r>
      <w:r w:rsidRPr="00EE2FA1">
        <w:rPr>
          <w:rFonts w:ascii="Times New Roman" w:hAnsi="Times New Roman" w:cs="Times New Roman"/>
          <w:sz w:val="28"/>
          <w:lang w:val="es-ES"/>
        </w:rPr>
        <w:t>tos pasivos del impuesto sobre la renta”</w:t>
      </w:r>
      <w:r w:rsidRPr="00EE2FA1">
        <w:rPr>
          <w:rStyle w:val="Refdenotaalpie"/>
          <w:rFonts w:ascii="Times New Roman" w:hAnsi="Times New Roman" w:cs="Times New Roman"/>
          <w:sz w:val="28"/>
          <w:lang w:val="es-ES"/>
        </w:rPr>
        <w:footnoteReference w:id="262"/>
      </w:r>
      <w:r w:rsidRPr="00EE2FA1">
        <w:rPr>
          <w:rFonts w:ascii="Times New Roman" w:hAnsi="Times New Roman" w:cs="Times New Roman"/>
          <w:sz w:val="28"/>
          <w:lang w:val="es-ES"/>
        </w:rPr>
        <w:t>.</w:t>
      </w:r>
    </w:p>
    <w:p w:rsidR="003C247F" w:rsidRPr="00EE2FA1" w:rsidRDefault="00EE2FA1" w:rsidP="003C247F">
      <w:pPr>
        <w:spacing w:line="0" w:lineRule="atLeast"/>
        <w:jc w:val="both"/>
        <w:rPr>
          <w:rFonts w:ascii="Times New Roman" w:eastAsia="Calibri" w:hAnsi="Times New Roman" w:cs="Times New Roman"/>
          <w:sz w:val="28"/>
          <w:szCs w:val="28"/>
          <w:lang w:eastAsia="es-ES"/>
        </w:rPr>
      </w:pPr>
    </w:p>
    <w:p w:rsidR="008B6C5B" w:rsidRPr="00EE2FA1" w:rsidRDefault="00EE2FA1" w:rsidP="008B6C5B">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De acuerdo a lo anterior, la Sala considera que, en el ámbito de la concreción del poder tributario del Estado </w:t>
      </w:r>
      <w:r w:rsidRPr="00EE2FA1">
        <w:rPr>
          <w:rFonts w:ascii="Times New Roman" w:eastAsia="Calibri" w:hAnsi="Times New Roman" w:cs="Times New Roman"/>
          <w:sz w:val="28"/>
          <w:szCs w:val="28"/>
          <w:lang w:eastAsia="es-ES"/>
        </w:rPr>
        <w:t xml:space="preserve">sobre </w:t>
      </w:r>
      <w:r w:rsidRPr="00EE2FA1">
        <w:rPr>
          <w:rFonts w:ascii="Times New Roman" w:eastAsia="Calibri" w:hAnsi="Times New Roman" w:cs="Times New Roman"/>
          <w:sz w:val="28"/>
          <w:szCs w:val="28"/>
          <w:lang w:eastAsia="es-ES"/>
        </w:rPr>
        <w:t>las ganancias extraordinarias, la fijación de la tarifa</w:t>
      </w:r>
      <w:r w:rsidRPr="00EE2FA1">
        <w:rPr>
          <w:rFonts w:ascii="Times New Roman" w:eastAsia="Calibri" w:hAnsi="Times New Roman" w:cs="Times New Roman"/>
          <w:sz w:val="28"/>
          <w:szCs w:val="28"/>
          <w:lang w:eastAsia="es-ES"/>
        </w:rPr>
        <w:t xml:space="preserve"> de </w:t>
      </w:r>
      <w:r w:rsidRPr="00EE2FA1">
        <w:rPr>
          <w:rFonts w:ascii="Times New Roman" w:eastAsia="Calibri" w:hAnsi="Times New Roman" w:cs="Times New Roman"/>
          <w:sz w:val="28"/>
          <w:szCs w:val="28"/>
          <w:lang w:eastAsia="es-ES"/>
        </w:rPr>
        <w:t>un sobrecargo</w:t>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basado </w:t>
      </w:r>
      <w:r w:rsidRPr="00EE2FA1">
        <w:rPr>
          <w:rFonts w:ascii="Times New Roman" w:eastAsia="Calibri" w:hAnsi="Times New Roman" w:cs="Times New Roman"/>
          <w:sz w:val="28"/>
          <w:szCs w:val="28"/>
          <w:lang w:eastAsia="es-ES"/>
        </w:rPr>
        <w:t>en precios inte</w:t>
      </w:r>
      <w:r w:rsidRPr="00EE2FA1">
        <w:rPr>
          <w:rFonts w:ascii="Times New Roman" w:eastAsia="Calibri" w:hAnsi="Times New Roman" w:cs="Times New Roman"/>
          <w:sz w:val="28"/>
          <w:szCs w:val="28"/>
          <w:lang w:eastAsia="es-ES"/>
        </w:rPr>
        <w:t xml:space="preserve">rnacionales del petróleo crudo es una medida razonable que permite identificar la capacidad contributiva del obligado por </w:t>
      </w:r>
      <w:r w:rsidRPr="00EE2FA1">
        <w:rPr>
          <w:rFonts w:ascii="Times New Roman" w:eastAsia="Calibri" w:hAnsi="Times New Roman" w:cs="Times New Roman"/>
          <w:sz w:val="28"/>
          <w:szCs w:val="28"/>
          <w:lang w:eastAsia="es-ES"/>
        </w:rPr>
        <w:t>la medida</w:t>
      </w:r>
      <w:r w:rsidRPr="00EE2FA1">
        <w:rPr>
          <w:rFonts w:ascii="Times New Roman" w:eastAsia="Calibri" w:hAnsi="Times New Roman" w:cs="Times New Roman"/>
          <w:sz w:val="28"/>
          <w:szCs w:val="28"/>
          <w:lang w:eastAsia="es-ES"/>
        </w:rPr>
        <w:t>. Lo anterior, porque constituye un parámetro objetivo y aceptado</w:t>
      </w:r>
      <w:r w:rsidRPr="00EE2FA1">
        <w:rPr>
          <w:rFonts w:ascii="Times New Roman" w:eastAsia="Calibri" w:hAnsi="Times New Roman" w:cs="Times New Roman"/>
          <w:sz w:val="28"/>
          <w:szCs w:val="28"/>
          <w:lang w:eastAsia="es-ES"/>
        </w:rPr>
        <w:t xml:space="preserve"> por los agentes económicos de dicho sector altamente especi</w:t>
      </w:r>
      <w:r w:rsidRPr="00EE2FA1">
        <w:rPr>
          <w:rFonts w:ascii="Times New Roman" w:eastAsia="Calibri" w:hAnsi="Times New Roman" w:cs="Times New Roman"/>
          <w:sz w:val="28"/>
          <w:szCs w:val="28"/>
          <w:lang w:eastAsia="es-ES"/>
        </w:rPr>
        <w:t>alizado</w:t>
      </w:r>
      <w:r w:rsidRPr="00EE2FA1">
        <w:rPr>
          <w:rFonts w:ascii="Times New Roman" w:eastAsia="Calibri" w:hAnsi="Times New Roman" w:cs="Times New Roman"/>
          <w:sz w:val="28"/>
          <w:szCs w:val="28"/>
          <w:lang w:eastAsia="es-ES"/>
        </w:rPr>
        <w:t xml:space="preserve"> para establecer la ocurrencia de ganancias extraordinarias</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mediante transacciones que superan el precio promedio y ordinario que perciben </w:t>
      </w:r>
      <w:r w:rsidRPr="00EE2FA1">
        <w:rPr>
          <w:rFonts w:ascii="Times New Roman" w:eastAsia="Calibri" w:hAnsi="Times New Roman" w:cs="Times New Roman"/>
          <w:sz w:val="28"/>
          <w:szCs w:val="28"/>
          <w:lang w:eastAsia="es-ES"/>
        </w:rPr>
        <w:t>aquellos</w:t>
      </w:r>
      <w:r w:rsidRPr="00EE2FA1">
        <w:rPr>
          <w:rFonts w:ascii="Times New Roman" w:eastAsia="Calibri" w:hAnsi="Times New Roman" w:cs="Times New Roman"/>
          <w:sz w:val="28"/>
          <w:szCs w:val="28"/>
          <w:lang w:eastAsia="es-ES"/>
        </w:rPr>
        <w:t>. De esta manera, los precios, tanto los históricos como los observados en el respectivo periodo grav</w:t>
      </w:r>
      <w:r w:rsidRPr="00EE2FA1">
        <w:rPr>
          <w:rFonts w:ascii="Times New Roman" w:eastAsia="Calibri" w:hAnsi="Times New Roman" w:cs="Times New Roman"/>
          <w:sz w:val="28"/>
          <w:szCs w:val="28"/>
          <w:lang w:eastAsia="es-ES"/>
        </w:rPr>
        <w:t>able, expresan una realidad económica variable y altamente tecnificada inherente al mercado del petróleo crudo</w:t>
      </w:r>
      <w:r w:rsidRPr="00EE2FA1">
        <w:rPr>
          <w:rStyle w:val="Refdenotaalpie"/>
          <w:rFonts w:ascii="Times New Roman" w:eastAsia="Calibri" w:hAnsi="Times New Roman" w:cs="Times New Roman"/>
          <w:sz w:val="28"/>
          <w:szCs w:val="28"/>
          <w:lang w:eastAsia="es-ES"/>
        </w:rPr>
        <w:footnoteReference w:id="263"/>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En otras palabras, </w:t>
      </w:r>
      <w:r w:rsidRPr="00EE2FA1">
        <w:rPr>
          <w:rFonts w:ascii="Times New Roman" w:hAnsi="Times New Roman" w:cs="Times New Roman"/>
          <w:sz w:val="28"/>
          <w:szCs w:val="28"/>
        </w:rPr>
        <w:t xml:space="preserve">los índices económicos internacionales escogidos por el </w:t>
      </w:r>
      <w:r w:rsidRPr="00EE2FA1">
        <w:rPr>
          <w:rFonts w:ascii="Times New Roman" w:hAnsi="Times New Roman" w:cs="Times New Roman"/>
          <w:sz w:val="28"/>
          <w:szCs w:val="28"/>
        </w:rPr>
        <w:t xml:space="preserve">legislador </w:t>
      </w:r>
      <w:r w:rsidRPr="00EE2FA1">
        <w:rPr>
          <w:rFonts w:ascii="Times New Roman" w:hAnsi="Times New Roman" w:cs="Times New Roman"/>
          <w:sz w:val="28"/>
          <w:szCs w:val="28"/>
        </w:rPr>
        <w:t xml:space="preserve">en el presente caso son razonables porque (i) el </w:t>
      </w:r>
      <w:r w:rsidRPr="00EE2FA1">
        <w:rPr>
          <w:rFonts w:ascii="Times New Roman" w:hAnsi="Times New Roman" w:cs="Times New Roman"/>
          <w:iCs/>
          <w:sz w:val="28"/>
          <w:szCs w:val="28"/>
        </w:rPr>
        <w:t xml:space="preserve">precio </w:t>
      </w:r>
      <w:r w:rsidRPr="00EE2FA1">
        <w:rPr>
          <w:rFonts w:ascii="Times New Roman" w:hAnsi="Times New Roman" w:cs="Times New Roman"/>
          <w:iCs/>
          <w:sz w:val="28"/>
          <w:szCs w:val="28"/>
        </w:rPr>
        <w:t>promedio internacional del petróleo crudo de referencia Brent</w:t>
      </w:r>
      <w:r w:rsidRPr="00EE2FA1">
        <w:rPr>
          <w:rFonts w:ascii="Times New Roman" w:hAnsi="Times New Roman" w:cs="Times New Roman"/>
          <w:sz w:val="28"/>
          <w:szCs w:val="28"/>
        </w:rPr>
        <w:t xml:space="preserve"> </w:t>
      </w:r>
      <w:r w:rsidRPr="00EE2FA1">
        <w:rPr>
          <w:rFonts w:ascii="Times New Roman" w:hAnsi="Times New Roman" w:cs="Times New Roman"/>
          <w:iCs/>
          <w:sz w:val="28"/>
          <w:szCs w:val="28"/>
        </w:rPr>
        <w:t>es un indicador ampliamente aceptado en el mercado internacional; (ii) dicho precio es utilizado en la metodología para establecer el precio de base de liquidación de las regalías por la explota</w:t>
      </w:r>
      <w:r w:rsidRPr="00EE2FA1">
        <w:rPr>
          <w:rFonts w:ascii="Times New Roman" w:hAnsi="Times New Roman" w:cs="Times New Roman"/>
          <w:iCs/>
          <w:sz w:val="28"/>
          <w:szCs w:val="28"/>
        </w:rPr>
        <w:t>ción de petróleo, que se pagan en especie</w:t>
      </w:r>
      <w:r w:rsidRPr="00EE2FA1">
        <w:rPr>
          <w:rStyle w:val="Refdenotaalpie"/>
          <w:rFonts w:ascii="Times New Roman" w:hAnsi="Times New Roman" w:cs="Times New Roman"/>
          <w:iCs/>
          <w:sz w:val="28"/>
          <w:szCs w:val="28"/>
        </w:rPr>
        <w:footnoteReference w:id="264"/>
      </w:r>
      <w:r w:rsidRPr="00EE2FA1">
        <w:rPr>
          <w:rFonts w:ascii="Times New Roman" w:hAnsi="Times New Roman" w:cs="Times New Roman"/>
          <w:iCs/>
          <w:sz w:val="28"/>
          <w:szCs w:val="28"/>
        </w:rPr>
        <w:t xml:space="preserve"> y, por consiguiente, es un índice que ya se encuentra incorporado al ordenamiento jurídico por otras disposiciones aplicables al sector; y (iii) la deflactación con el Índice de Precios al Consumidor para todos lo</w:t>
      </w:r>
      <w:r w:rsidRPr="00EE2FA1">
        <w:rPr>
          <w:rFonts w:ascii="Times New Roman" w:hAnsi="Times New Roman" w:cs="Times New Roman"/>
          <w:iCs/>
          <w:sz w:val="28"/>
          <w:szCs w:val="28"/>
        </w:rPr>
        <w:t>s consumidores urbanos de Estados Unidos es necesaria para que el precio quede expresado en un valor que refleje el poder adquisitivo constante del dólar.</w:t>
      </w:r>
    </w:p>
    <w:p w:rsidR="003C247F" w:rsidRPr="00EE2FA1" w:rsidRDefault="00EE2FA1" w:rsidP="003C247F">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el presente caso, los sujetos obligados tienen la particularidad que se dedican a la extracción </w:t>
      </w:r>
      <w:r w:rsidRPr="00EE2FA1">
        <w:rPr>
          <w:rFonts w:ascii="Times New Roman" w:eastAsia="Calibri" w:hAnsi="Times New Roman" w:cs="Times New Roman"/>
          <w:sz w:val="28"/>
          <w:szCs w:val="28"/>
          <w:lang w:eastAsia="es-ES"/>
        </w:rPr>
        <w:t>de una materia prima dependiente de los precios internacionales</w:t>
      </w:r>
      <w:r w:rsidRPr="00EE2FA1">
        <w:rPr>
          <w:rStyle w:val="Refdenotaalpie"/>
          <w:rFonts w:ascii="Times New Roman" w:eastAsia="Calibri" w:hAnsi="Times New Roman" w:cs="Times New Roman"/>
          <w:sz w:val="28"/>
          <w:szCs w:val="28"/>
          <w:lang w:eastAsia="es-ES"/>
        </w:rPr>
        <w:footnoteReference w:id="265"/>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 xml:space="preserve">Ello </w:t>
      </w:r>
      <w:r w:rsidRPr="00EE2FA1">
        <w:rPr>
          <w:rFonts w:ascii="Times New Roman" w:eastAsia="Calibri" w:hAnsi="Times New Roman" w:cs="Times New Roman"/>
          <w:sz w:val="28"/>
          <w:szCs w:val="28"/>
          <w:lang w:eastAsia="es-ES"/>
        </w:rPr>
        <w:t xml:space="preserve">implica que la fluctuación de esos precios es un factor relevante </w:t>
      </w:r>
      <w:r w:rsidRPr="00EE2FA1">
        <w:rPr>
          <w:rFonts w:ascii="Times New Roman" w:eastAsia="Calibri" w:hAnsi="Times New Roman" w:cs="Times New Roman"/>
          <w:sz w:val="28"/>
          <w:szCs w:val="28"/>
          <w:lang w:eastAsia="es-ES"/>
        </w:rPr>
        <w:t xml:space="preserve">respecto de </w:t>
      </w:r>
      <w:r w:rsidRPr="00EE2FA1">
        <w:rPr>
          <w:rFonts w:ascii="Times New Roman" w:eastAsia="Calibri" w:hAnsi="Times New Roman" w:cs="Times New Roman"/>
          <w:sz w:val="28"/>
          <w:szCs w:val="28"/>
          <w:lang w:eastAsia="es-ES"/>
        </w:rPr>
        <w:t>su capacidad contributiva</w:t>
      </w:r>
      <w:r w:rsidRPr="00EE2FA1">
        <w:rPr>
          <w:rFonts w:ascii="Times New Roman" w:eastAsia="Calibri" w:hAnsi="Times New Roman" w:cs="Times New Roman"/>
          <w:sz w:val="28"/>
          <w:szCs w:val="28"/>
          <w:lang w:eastAsia="es-ES"/>
        </w:rPr>
        <w:t xml:space="preserve"> y no constituye un hecho ajeno o del cual no pueda objetivamente evidenciarse cap</w:t>
      </w:r>
      <w:r w:rsidRPr="00EE2FA1">
        <w:rPr>
          <w:rFonts w:ascii="Times New Roman" w:eastAsia="Calibri" w:hAnsi="Times New Roman" w:cs="Times New Roman"/>
          <w:sz w:val="28"/>
          <w:szCs w:val="28"/>
          <w:lang w:eastAsia="es-ES"/>
        </w:rPr>
        <w:t>acidad económica real de los obligados</w:t>
      </w:r>
      <w:r w:rsidRPr="00EE2FA1">
        <w:rPr>
          <w:rFonts w:ascii="Times New Roman" w:eastAsia="Calibri" w:hAnsi="Times New Roman" w:cs="Times New Roman"/>
          <w:sz w:val="28"/>
          <w:szCs w:val="28"/>
          <w:lang w:eastAsia="es-ES"/>
        </w:rPr>
        <w:t>. En este sentido, como lo indicó la intervención del Ministerio de Hacienda y Crédito Público, existe una correlación positiva entre las referencias de los precios internacionales y los ingresos de los sujetos obligad</w:t>
      </w:r>
      <w:r w:rsidRPr="00EE2FA1">
        <w:rPr>
          <w:rFonts w:ascii="Times New Roman" w:eastAsia="Calibri" w:hAnsi="Times New Roman" w:cs="Times New Roman"/>
          <w:sz w:val="28"/>
          <w:szCs w:val="28"/>
          <w:lang w:eastAsia="es-ES"/>
        </w:rPr>
        <w:t>os a la sobretasa</w:t>
      </w:r>
      <w:r w:rsidRPr="00EE2FA1">
        <w:rPr>
          <w:rStyle w:val="Refdenotaalpie"/>
          <w:rFonts w:ascii="Times New Roman" w:eastAsia="Calibri" w:hAnsi="Times New Roman" w:cs="Times New Roman"/>
          <w:sz w:val="28"/>
          <w:szCs w:val="28"/>
          <w:lang w:eastAsia="es-ES"/>
        </w:rPr>
        <w:footnoteReference w:id="266"/>
      </w:r>
      <w:r w:rsidRPr="00EE2FA1">
        <w:rPr>
          <w:rFonts w:ascii="Times New Roman" w:eastAsia="Calibri" w:hAnsi="Times New Roman" w:cs="Times New Roman"/>
          <w:sz w:val="28"/>
          <w:szCs w:val="28"/>
          <w:lang w:eastAsia="es-ES"/>
        </w:rPr>
        <w:t xml:space="preserve">. Además, </w:t>
      </w:r>
      <w:r w:rsidRPr="00EE2FA1">
        <w:rPr>
          <w:rFonts w:ascii="Times New Roman" w:hAnsi="Times New Roman" w:cs="Times New Roman"/>
          <w:sz w:val="28"/>
          <w:szCs w:val="28"/>
        </w:rPr>
        <w:t>la actividad de extracción de petróleo crudo tiene “menos costos operacionales, por lo que, ante un incremento sustancial en el precio del petróleo, los márgenes operacionales aumentan considerablemente más”</w:t>
      </w:r>
      <w:r w:rsidRPr="00EE2FA1">
        <w:rPr>
          <w:rStyle w:val="Refdenotaalpie"/>
          <w:rFonts w:ascii="Times New Roman" w:hAnsi="Times New Roman" w:cs="Times New Roman"/>
          <w:sz w:val="28"/>
          <w:szCs w:val="28"/>
        </w:rPr>
        <w:footnoteReference w:id="267"/>
      </w:r>
      <w:r w:rsidRPr="00EE2FA1">
        <w:rPr>
          <w:rFonts w:ascii="Times New Roman" w:hAnsi="Times New Roman" w:cs="Times New Roman"/>
          <w:sz w:val="28"/>
          <w:szCs w:val="28"/>
        </w:rPr>
        <w:t xml:space="preserve">. </w:t>
      </w:r>
      <w:r w:rsidRPr="00EE2FA1">
        <w:rPr>
          <w:rFonts w:ascii="Times New Roman" w:eastAsia="Calibri" w:hAnsi="Times New Roman" w:cs="Times New Roman"/>
          <w:sz w:val="28"/>
          <w:szCs w:val="28"/>
          <w:lang w:eastAsia="es-ES"/>
        </w:rPr>
        <w:t xml:space="preserve">Por consiguiente, </w:t>
      </w:r>
      <w:r w:rsidRPr="00EE2FA1">
        <w:rPr>
          <w:rFonts w:ascii="Times New Roman" w:eastAsia="Calibri" w:hAnsi="Times New Roman" w:cs="Times New Roman"/>
          <w:sz w:val="28"/>
          <w:szCs w:val="28"/>
          <w:lang w:eastAsia="es-ES"/>
        </w:rPr>
        <w:t xml:space="preserve">la </w:t>
      </w:r>
      <w:r w:rsidRPr="00EE2FA1">
        <w:rPr>
          <w:rFonts w:ascii="Times New Roman" w:eastAsia="Calibri" w:hAnsi="Times New Roman" w:cs="Times New Roman"/>
          <w:sz w:val="28"/>
          <w:szCs w:val="28"/>
          <w:lang w:eastAsia="es-ES"/>
        </w:rPr>
        <w:t xml:space="preserve">sobretarifa </w:t>
      </w:r>
      <w:r w:rsidRPr="00EE2FA1">
        <w:rPr>
          <w:rFonts w:ascii="Times New Roman" w:eastAsia="Calibri" w:hAnsi="Times New Roman" w:cs="Times New Roman"/>
          <w:sz w:val="28"/>
          <w:szCs w:val="28"/>
          <w:lang w:eastAsia="es-ES"/>
        </w:rPr>
        <w:t>basada en una diferencia positiva de esos precios con aquellos de referencia utilizados en la norma acusada serían indicativos de la capacidad contributiva de las empresas que extraen petróleo.</w:t>
      </w:r>
    </w:p>
    <w:p w:rsidR="003C247F" w:rsidRPr="00EE2FA1" w:rsidRDefault="00EE2FA1" w:rsidP="003C247F">
      <w:pPr>
        <w:tabs>
          <w:tab w:val="left" w:pos="426"/>
        </w:tabs>
        <w:spacing w:line="0" w:lineRule="atLeast"/>
        <w:jc w:val="both"/>
        <w:rPr>
          <w:rFonts w:ascii="Times New Roman" w:eastAsia="Calibri" w:hAnsi="Times New Roman" w:cs="Times New Roman"/>
          <w:sz w:val="28"/>
          <w:szCs w:val="28"/>
          <w:lang w:eastAsia="es-ES"/>
        </w:rPr>
      </w:pPr>
    </w:p>
    <w:p w:rsidR="00F770CE" w:rsidRPr="00EE2FA1" w:rsidRDefault="00EE2FA1" w:rsidP="00F770CE">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Adicionalmente, se advierte que la norma </w:t>
      </w:r>
      <w:r w:rsidRPr="00EE2FA1">
        <w:rPr>
          <w:rFonts w:ascii="Times New Roman" w:eastAsia="Calibri" w:hAnsi="Times New Roman" w:cs="Times New Roman"/>
          <w:sz w:val="28"/>
          <w:szCs w:val="28"/>
          <w:lang w:eastAsia="es-ES"/>
        </w:rPr>
        <w:t>acusada atiende al criterio de capacidad económica pues la forma en que está diseñada la imposición de los puntos porcentuales adicionales en la tarifa, parte de que se cumplan los supuestos relacionados con ciclos de altos precios internacionales del crud</w:t>
      </w:r>
      <w:r w:rsidRPr="00EE2FA1">
        <w:rPr>
          <w:rFonts w:ascii="Times New Roman" w:eastAsia="Calibri" w:hAnsi="Times New Roman" w:cs="Times New Roman"/>
          <w:sz w:val="28"/>
          <w:szCs w:val="28"/>
          <w:lang w:eastAsia="es-ES"/>
        </w:rPr>
        <w:t>o. En ese sentido, solo habrá lugar a que se adicionen a la tarifa del impuesto</w:t>
      </w:r>
      <w:r w:rsidRPr="00EE2FA1">
        <w:rPr>
          <w:rFonts w:ascii="Times New Roman" w:eastAsia="Calibri" w:hAnsi="Times New Roman" w:cs="Times New Roman"/>
          <w:sz w:val="28"/>
          <w:szCs w:val="28"/>
          <w:lang w:eastAsia="es-ES"/>
        </w:rPr>
        <w:t xml:space="preserve"> de renta</w:t>
      </w:r>
      <w:r w:rsidRPr="00EE2FA1">
        <w:rPr>
          <w:rFonts w:ascii="Times New Roman" w:eastAsia="Calibri" w:hAnsi="Times New Roman" w:cs="Times New Roman"/>
          <w:sz w:val="28"/>
          <w:szCs w:val="28"/>
          <w:lang w:eastAsia="es-ES"/>
        </w:rPr>
        <w:t xml:space="preserve"> los puntos porcentuales de la </w:t>
      </w:r>
      <w:r w:rsidRPr="00EE2FA1">
        <w:rPr>
          <w:rFonts w:ascii="Times New Roman" w:eastAsia="Calibri" w:hAnsi="Times New Roman" w:cs="Times New Roman"/>
          <w:sz w:val="28"/>
          <w:szCs w:val="28"/>
          <w:lang w:eastAsia="es-ES"/>
        </w:rPr>
        <w:t>sobretarifa</w:t>
      </w:r>
      <w:r w:rsidRPr="00EE2FA1">
        <w:rPr>
          <w:rFonts w:ascii="Times New Roman" w:eastAsia="Calibri" w:hAnsi="Times New Roman" w:cs="Times New Roman"/>
          <w:sz w:val="28"/>
          <w:szCs w:val="28"/>
          <w:lang w:eastAsia="es-ES"/>
        </w:rPr>
        <w:t>,</w:t>
      </w:r>
      <w:r w:rsidRPr="00EE2FA1">
        <w:rPr>
          <w:rFonts w:ascii="Times New Roman" w:eastAsia="Calibri" w:hAnsi="Times New Roman" w:cs="Times New Roman"/>
          <w:sz w:val="28"/>
          <w:szCs w:val="28"/>
          <w:lang w:eastAsia="es-ES"/>
        </w:rPr>
        <w:t xml:space="preserve"> en el entendido que el precio promedio del año gravable esté ubicado entre los percentiles descritos en el numeral 2.° del p</w:t>
      </w:r>
      <w:r w:rsidRPr="00EE2FA1">
        <w:rPr>
          <w:rFonts w:ascii="Times New Roman" w:eastAsia="Calibri" w:hAnsi="Times New Roman" w:cs="Times New Roman"/>
          <w:sz w:val="28"/>
          <w:szCs w:val="28"/>
          <w:lang w:eastAsia="es-ES"/>
        </w:rPr>
        <w:t>arágrafo 3.° del artículo 240 del Estatuto Tributario.</w:t>
      </w:r>
    </w:p>
    <w:p w:rsidR="003B1043" w:rsidRPr="00EE2FA1" w:rsidRDefault="00EE2FA1" w:rsidP="005574E0">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la misma línea de argumentación, </w:t>
      </w:r>
      <w:r w:rsidRPr="00EE2FA1">
        <w:rPr>
          <w:rFonts w:ascii="Times New Roman" w:eastAsia="Calibri" w:hAnsi="Times New Roman" w:cs="Times New Roman"/>
          <w:sz w:val="28"/>
          <w:szCs w:val="28"/>
          <w:lang w:eastAsia="es-ES"/>
        </w:rPr>
        <w:t>la Sala encuentra que el impacto de la medida es diferenciado debido a que la sobretarifa es progresiva. En concreto, como quedó expuesto a lo largo de esta provide</w:t>
      </w:r>
      <w:r w:rsidRPr="00EE2FA1">
        <w:rPr>
          <w:rFonts w:ascii="Times New Roman" w:eastAsia="Calibri" w:hAnsi="Times New Roman" w:cs="Times New Roman"/>
          <w:sz w:val="28"/>
          <w:szCs w:val="28"/>
          <w:lang w:eastAsia="es-ES"/>
        </w:rPr>
        <w:t xml:space="preserve">ncia, la medida tributaria aplica un porcentaje </w:t>
      </w:r>
      <w:r w:rsidRPr="00EE2FA1">
        <w:rPr>
          <w:rFonts w:ascii="Times New Roman" w:eastAsia="Calibri" w:hAnsi="Times New Roman" w:cs="Times New Roman"/>
          <w:sz w:val="28"/>
          <w:szCs w:val="28"/>
          <w:lang w:eastAsia="es-ES"/>
        </w:rPr>
        <w:t>cuya base</w:t>
      </w:r>
      <w:r w:rsidRPr="00EE2FA1">
        <w:rPr>
          <w:rFonts w:ascii="Times New Roman" w:eastAsia="Calibri" w:hAnsi="Times New Roman" w:cs="Times New Roman"/>
          <w:sz w:val="28"/>
          <w:szCs w:val="28"/>
          <w:lang w:eastAsia="es-ES"/>
        </w:rPr>
        <w:t xml:space="preserve"> es 0% y </w:t>
      </w:r>
      <w:r w:rsidRPr="00EE2FA1">
        <w:rPr>
          <w:rFonts w:ascii="Times New Roman" w:eastAsia="Calibri" w:hAnsi="Times New Roman" w:cs="Times New Roman"/>
          <w:sz w:val="28"/>
          <w:szCs w:val="28"/>
          <w:lang w:eastAsia="es-ES"/>
        </w:rPr>
        <w:t xml:space="preserve">aplica </w:t>
      </w:r>
      <w:r w:rsidRPr="00EE2FA1">
        <w:rPr>
          <w:rFonts w:ascii="Times New Roman" w:eastAsia="Calibri" w:hAnsi="Times New Roman" w:cs="Times New Roman"/>
          <w:sz w:val="28"/>
          <w:szCs w:val="28"/>
          <w:lang w:eastAsia="es-ES"/>
        </w:rPr>
        <w:t xml:space="preserve">un máximo </w:t>
      </w:r>
      <w:r w:rsidRPr="00EE2FA1">
        <w:rPr>
          <w:rFonts w:ascii="Times New Roman" w:eastAsia="Calibri" w:hAnsi="Times New Roman" w:cs="Times New Roman"/>
          <w:sz w:val="28"/>
          <w:szCs w:val="28"/>
          <w:lang w:eastAsia="es-ES"/>
        </w:rPr>
        <w:t>que</w:t>
      </w:r>
      <w:r w:rsidRPr="00EE2FA1">
        <w:rPr>
          <w:rFonts w:ascii="Times New Roman" w:eastAsia="Calibri" w:hAnsi="Times New Roman" w:cs="Times New Roman"/>
          <w:sz w:val="28"/>
          <w:szCs w:val="28"/>
          <w:lang w:eastAsia="es-ES"/>
        </w:rPr>
        <w:t xml:space="preserve"> corresponde al 15%</w:t>
      </w:r>
      <w:r w:rsidRPr="00EE2FA1">
        <w:rPr>
          <w:rFonts w:ascii="Times New Roman" w:eastAsia="Calibri" w:hAnsi="Times New Roman" w:cs="Times New Roman"/>
          <w:sz w:val="28"/>
          <w:szCs w:val="28"/>
          <w:lang w:eastAsia="es-ES"/>
        </w:rPr>
        <w:t xml:space="preserve">, lo que garantiza la justicia tributaria. </w:t>
      </w:r>
    </w:p>
    <w:p w:rsidR="006418FB" w:rsidRPr="00EE2FA1" w:rsidRDefault="00EE2FA1" w:rsidP="006418FB">
      <w:pPr>
        <w:pStyle w:val="Prrafodelista"/>
        <w:spacing w:line="0" w:lineRule="atLeast"/>
        <w:ind w:left="0"/>
        <w:jc w:val="both"/>
        <w:rPr>
          <w:rFonts w:ascii="Times New Roman" w:eastAsia="Calibri" w:hAnsi="Times New Roman" w:cs="Times New Roman"/>
          <w:sz w:val="28"/>
          <w:szCs w:val="28"/>
          <w:lang w:eastAsia="es-ES"/>
        </w:rPr>
      </w:pPr>
    </w:p>
    <w:p w:rsidR="006418FB" w:rsidRPr="00EE2FA1" w:rsidRDefault="00EE2FA1" w:rsidP="003C247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De otra parte, </w:t>
      </w:r>
      <w:r w:rsidRPr="00EE2FA1">
        <w:rPr>
          <w:rFonts w:ascii="Times New Roman" w:eastAsia="Calibri" w:hAnsi="Times New Roman" w:cs="Times New Roman"/>
          <w:sz w:val="28"/>
          <w:szCs w:val="28"/>
          <w:lang w:eastAsia="es-ES"/>
        </w:rPr>
        <w:t>la estructura del tributo permite que opere plenamente y en su máxima tarifa, cuando se con</w:t>
      </w:r>
      <w:r w:rsidRPr="00EE2FA1">
        <w:rPr>
          <w:rFonts w:ascii="Times New Roman" w:eastAsia="Calibri" w:hAnsi="Times New Roman" w:cs="Times New Roman"/>
          <w:sz w:val="28"/>
          <w:szCs w:val="28"/>
          <w:lang w:eastAsia="es-ES"/>
        </w:rPr>
        <w:t xml:space="preserve">figura un precio internacional del petróleo superior al percentil 60. De igual forma, los puntos serán igual a 0 cuando el precio internacional es inferior al percentil 30. Tal aspecto responde de manera razonable a las fluctuaciones del mercado y refleja </w:t>
      </w:r>
      <w:r w:rsidRPr="00EE2FA1">
        <w:rPr>
          <w:rFonts w:ascii="Times New Roman" w:eastAsia="Calibri" w:hAnsi="Times New Roman" w:cs="Times New Roman"/>
          <w:sz w:val="28"/>
          <w:szCs w:val="28"/>
          <w:lang w:eastAsia="es-ES"/>
        </w:rPr>
        <w:t xml:space="preserve">de forma idónea la capacidad económica de los contribuyentes durante el ejercicio económico, dependiendo del precio internacional del producto. </w:t>
      </w:r>
      <w:r w:rsidRPr="00EE2FA1">
        <w:rPr>
          <w:rFonts w:ascii="Times New Roman" w:eastAsia="Calibri" w:hAnsi="Times New Roman" w:cs="Times New Roman"/>
          <w:sz w:val="28"/>
          <w:szCs w:val="28"/>
          <w:lang w:eastAsia="es-ES"/>
        </w:rPr>
        <w:t xml:space="preserve">Dicho </w:t>
      </w:r>
      <w:r w:rsidRPr="00EE2FA1">
        <w:rPr>
          <w:rFonts w:ascii="Times New Roman" w:eastAsia="Calibri" w:hAnsi="Times New Roman" w:cs="Times New Roman"/>
          <w:sz w:val="28"/>
          <w:szCs w:val="28"/>
          <w:lang w:eastAsia="es-ES"/>
        </w:rPr>
        <w:t>aspecto implica que la sobretarifa cuenta con garantías tributarias contra la confiscación</w:t>
      </w:r>
      <w:r w:rsidRPr="00EE2FA1">
        <w:rPr>
          <w:rStyle w:val="Refdenotaalpie"/>
          <w:rFonts w:ascii="Times New Roman" w:eastAsia="Calibri" w:hAnsi="Times New Roman" w:cs="Times New Roman"/>
          <w:sz w:val="28"/>
          <w:szCs w:val="28"/>
          <w:lang w:eastAsia="es-ES"/>
        </w:rPr>
        <w:footnoteReference w:id="268"/>
      </w:r>
      <w:r w:rsidRPr="00EE2FA1">
        <w:rPr>
          <w:rFonts w:ascii="Times New Roman" w:eastAsia="Calibri" w:hAnsi="Times New Roman" w:cs="Times New Roman"/>
          <w:sz w:val="28"/>
          <w:szCs w:val="28"/>
          <w:lang w:eastAsia="es-ES"/>
        </w:rPr>
        <w:t xml:space="preserve">, </w:t>
      </w:r>
      <w:r w:rsidRPr="00EE2FA1">
        <w:rPr>
          <w:rFonts w:ascii="Times New Roman" w:eastAsia="Calibri" w:hAnsi="Times New Roman" w:cs="Times New Roman"/>
          <w:sz w:val="28"/>
          <w:szCs w:val="28"/>
          <w:lang w:eastAsia="es-ES"/>
        </w:rPr>
        <w:t>porque es sen</w:t>
      </w:r>
      <w:r w:rsidRPr="00EE2FA1">
        <w:rPr>
          <w:rFonts w:ascii="Times New Roman" w:eastAsia="Calibri" w:hAnsi="Times New Roman" w:cs="Times New Roman"/>
          <w:sz w:val="28"/>
          <w:szCs w:val="28"/>
          <w:lang w:eastAsia="es-ES"/>
        </w:rPr>
        <w:t>sible a las fluctuaciones de los precios internacionales mediante tarifas de 0 puntos o de 15 puntos, según corresponda</w:t>
      </w:r>
      <w:r w:rsidRPr="00EE2FA1">
        <w:rPr>
          <w:rFonts w:ascii="Times New Roman" w:eastAsia="Calibri" w:hAnsi="Times New Roman" w:cs="Times New Roman"/>
          <w:sz w:val="28"/>
          <w:szCs w:val="28"/>
          <w:lang w:eastAsia="es-ES"/>
        </w:rPr>
        <w:t xml:space="preserve"> y que no puede entendérsele como una medida que asfixia al contribuyente, pues, en este caso, la arquitectura del tributo aplica adecuad</w:t>
      </w:r>
      <w:r w:rsidRPr="00EE2FA1">
        <w:rPr>
          <w:rFonts w:ascii="Times New Roman" w:eastAsia="Calibri" w:hAnsi="Times New Roman" w:cs="Times New Roman"/>
          <w:sz w:val="28"/>
          <w:szCs w:val="28"/>
          <w:lang w:eastAsia="es-ES"/>
        </w:rPr>
        <w:t>as medidas para reconocer la capacidad contributiva del sujeto pasivo y las condiciones económicas del mercado</w:t>
      </w:r>
      <w:r w:rsidRPr="00EE2FA1">
        <w:rPr>
          <w:rFonts w:ascii="Times New Roman" w:eastAsia="Calibri" w:hAnsi="Times New Roman" w:cs="Times New Roman"/>
          <w:sz w:val="28"/>
          <w:szCs w:val="28"/>
          <w:lang w:eastAsia="es-ES"/>
        </w:rPr>
        <w:t>, sin que se base simplemente en la adscripción de aquel a un grupo</w:t>
      </w:r>
      <w:r w:rsidRPr="00EE2FA1">
        <w:rPr>
          <w:rFonts w:ascii="Times New Roman" w:eastAsia="Calibri" w:hAnsi="Times New Roman" w:cs="Times New Roman"/>
          <w:sz w:val="28"/>
          <w:szCs w:val="28"/>
          <w:lang w:eastAsia="es-ES"/>
        </w:rPr>
        <w:t xml:space="preserve">. </w:t>
      </w:r>
    </w:p>
    <w:p w:rsidR="006418FB" w:rsidRPr="00EE2FA1" w:rsidRDefault="00EE2FA1" w:rsidP="006418FB">
      <w:pPr>
        <w:pStyle w:val="Prrafodelista"/>
        <w:rPr>
          <w:rFonts w:ascii="Times New Roman" w:eastAsia="Calibri" w:hAnsi="Times New Roman" w:cs="Times New Roman"/>
          <w:sz w:val="28"/>
          <w:szCs w:val="28"/>
          <w:lang w:eastAsia="es-ES"/>
        </w:rPr>
      </w:pPr>
    </w:p>
    <w:p w:rsidR="003C247F" w:rsidRPr="00EE2FA1" w:rsidRDefault="00EE2FA1" w:rsidP="003C247F">
      <w:pPr>
        <w:pStyle w:val="Prrafodelista"/>
        <w:numPr>
          <w:ilvl w:val="0"/>
          <w:numId w:val="1"/>
        </w:numPr>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De igual manera, en la Sentencia C-036 de 2024, la Corte Constitucional enc</w:t>
      </w:r>
      <w:r w:rsidRPr="00EE2FA1">
        <w:rPr>
          <w:rFonts w:ascii="Times New Roman" w:eastAsia="Calibri" w:hAnsi="Times New Roman" w:cs="Times New Roman"/>
          <w:sz w:val="28"/>
          <w:szCs w:val="28"/>
          <w:lang w:eastAsia="es-ES"/>
        </w:rPr>
        <w:t xml:space="preserve">ontró que la sobretarifa al sector de hulla – carbón de piedra, que tiene una estructura tributaria similar a la estudiada en esta oportunidad, no desconocía el principio de equidad tributaria en los siguientes términos: </w:t>
      </w:r>
    </w:p>
    <w:p w:rsidR="003C247F" w:rsidRPr="00EE2FA1" w:rsidRDefault="00EE2FA1" w:rsidP="003C247F">
      <w:pPr>
        <w:pStyle w:val="Prrafodelista"/>
        <w:spacing w:line="0" w:lineRule="atLeast"/>
        <w:ind w:left="0"/>
        <w:jc w:val="both"/>
        <w:rPr>
          <w:rFonts w:ascii="Times New Roman" w:eastAsia="Calibri" w:hAnsi="Times New Roman" w:cs="Times New Roman"/>
          <w:sz w:val="28"/>
          <w:szCs w:val="28"/>
          <w:lang w:eastAsia="es-ES"/>
        </w:rPr>
      </w:pPr>
    </w:p>
    <w:p w:rsidR="003C247F" w:rsidRPr="00EE2FA1" w:rsidRDefault="00EE2FA1" w:rsidP="003C247F">
      <w:pPr>
        <w:pStyle w:val="Prrafodelista"/>
        <w:spacing w:line="0" w:lineRule="atLeast"/>
        <w:ind w:left="567"/>
        <w:jc w:val="both"/>
        <w:rPr>
          <w:rFonts w:ascii="Times New Roman" w:eastAsia="Calibri" w:hAnsi="Times New Roman" w:cs="Times New Roman"/>
          <w:sz w:val="28"/>
          <w:lang w:eastAsia="es-ES"/>
        </w:rPr>
      </w:pPr>
      <w:r w:rsidRPr="00EE2FA1">
        <w:rPr>
          <w:rFonts w:ascii="Times New Roman" w:eastAsia="Calibri" w:hAnsi="Times New Roman" w:cs="Times New Roman"/>
          <w:sz w:val="28"/>
          <w:lang w:eastAsia="es-ES"/>
        </w:rPr>
        <w:t>“</w:t>
      </w:r>
      <w:r w:rsidRPr="00EE2FA1">
        <w:rPr>
          <w:rFonts w:ascii="Times New Roman" w:hAnsi="Times New Roman" w:cs="Times New Roman"/>
          <w:sz w:val="28"/>
        </w:rPr>
        <w:t xml:space="preserve">En cuanto al segundo cargo, la </w:t>
      </w:r>
      <w:r w:rsidRPr="00EE2FA1">
        <w:rPr>
          <w:rFonts w:ascii="Times New Roman" w:hAnsi="Times New Roman" w:cs="Times New Roman"/>
          <w:sz w:val="28"/>
        </w:rPr>
        <w:t>Sala Plena consideró que no hay violación del principio de equidad en lo atinente a la capacidad contributiva, por cuanto, contrario a lo expuesto por el demandante, los diversos mecanismos que contempla la norma para ajustar la carga tributaria de los c</w:t>
      </w:r>
      <w:r w:rsidRPr="00EE2FA1">
        <w:rPr>
          <w:rFonts w:ascii="Times New Roman" w:hAnsi="Times New Roman" w:cs="Times New Roman"/>
          <w:sz w:val="28"/>
        </w:rPr>
        <w:t>ontribuyentes según la fluctuación de los precios en el mercado (como los percentiles contemplados en la disposición y las tarifas adicionales progresivas que comienzan en 0%, entre otros), así como el umbral de 50.000 UVT de renta gravable en el respe</w:t>
      </w:r>
      <w:r w:rsidRPr="00EE2FA1">
        <w:rPr>
          <w:rFonts w:ascii="Times New Roman" w:hAnsi="Times New Roman" w:cs="Times New Roman"/>
          <w:sz w:val="28"/>
        </w:rPr>
        <w:t>ctivo periodo, son elementos razonables para consultar su capacidad contributiva como sujetos pasivos del impuesto sobre la renta. y se ubica en el terreno de la conveniencia.”</w:t>
      </w:r>
      <w:r w:rsidRPr="00EE2FA1">
        <w:rPr>
          <w:rStyle w:val="Refdenotaalpie"/>
          <w:rFonts w:ascii="Times New Roman" w:hAnsi="Times New Roman" w:cs="Times New Roman"/>
          <w:sz w:val="28"/>
        </w:rPr>
        <w:footnoteReference w:id="269"/>
      </w:r>
    </w:p>
    <w:p w:rsidR="003C247F" w:rsidRPr="00EE2FA1" w:rsidRDefault="00EE2FA1" w:rsidP="003C247F">
      <w:pPr>
        <w:tabs>
          <w:tab w:val="left" w:pos="426"/>
          <w:tab w:val="left" w:pos="567"/>
        </w:tabs>
        <w:spacing w:line="0" w:lineRule="atLeast"/>
        <w:jc w:val="both"/>
        <w:rPr>
          <w:rFonts w:ascii="Times New Roman" w:eastAsia="Calibri" w:hAnsi="Times New Roman" w:cs="Times New Roman"/>
          <w:sz w:val="28"/>
          <w:szCs w:val="28"/>
          <w:lang w:eastAsia="es-ES"/>
        </w:rPr>
      </w:pPr>
    </w:p>
    <w:p w:rsidR="003C247F" w:rsidRPr="00EE2FA1" w:rsidRDefault="00EE2FA1" w:rsidP="00C560DF">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A partir de lo </w:t>
      </w:r>
      <w:r w:rsidRPr="00EE2FA1">
        <w:rPr>
          <w:rFonts w:ascii="Times New Roman" w:eastAsia="Calibri" w:hAnsi="Times New Roman" w:cs="Times New Roman"/>
          <w:sz w:val="28"/>
          <w:szCs w:val="28"/>
          <w:lang w:eastAsia="es-ES"/>
        </w:rPr>
        <w:t>anterior</w:t>
      </w:r>
      <w:r w:rsidRPr="00EE2FA1">
        <w:rPr>
          <w:rFonts w:ascii="Times New Roman" w:eastAsia="Calibri" w:hAnsi="Times New Roman" w:cs="Times New Roman"/>
          <w:sz w:val="28"/>
          <w:szCs w:val="28"/>
          <w:lang w:eastAsia="es-ES"/>
        </w:rPr>
        <w:t xml:space="preserve">, la Sala concluye que </w:t>
      </w:r>
      <w:r w:rsidRPr="00EE2FA1">
        <w:rPr>
          <w:rFonts w:ascii="Times New Roman" w:eastAsia="Calibri" w:hAnsi="Times New Roman" w:cs="Times New Roman"/>
          <w:sz w:val="28"/>
          <w:szCs w:val="28"/>
          <w:lang w:eastAsia="es-ES"/>
        </w:rPr>
        <w:t>la censura autónoma estudiada d</w:t>
      </w:r>
      <w:r w:rsidRPr="00EE2FA1">
        <w:rPr>
          <w:rFonts w:ascii="Times New Roman" w:eastAsia="Calibri" w:hAnsi="Times New Roman" w:cs="Times New Roman"/>
          <w:sz w:val="28"/>
          <w:szCs w:val="28"/>
          <w:lang w:eastAsia="es-ES"/>
        </w:rPr>
        <w:t xml:space="preserve">e fondo, basada en la faceta de la capacidad contributiva de la justicia y equidad tributaria no está llamada a prosperar. </w:t>
      </w:r>
      <w:r w:rsidRPr="00EE2FA1">
        <w:rPr>
          <w:rFonts w:ascii="Times New Roman" w:eastAsia="Calibri" w:hAnsi="Times New Roman" w:cs="Times New Roman"/>
          <w:sz w:val="28"/>
          <w:szCs w:val="28"/>
          <w:lang w:eastAsia="es-ES"/>
        </w:rPr>
        <w:t xml:space="preserve">Efectivamente, la estructura de la medida permite una aplicación acorde </w:t>
      </w:r>
      <w:r w:rsidRPr="00EE2FA1">
        <w:rPr>
          <w:rFonts w:ascii="Times New Roman" w:eastAsia="Calibri" w:hAnsi="Times New Roman" w:cs="Times New Roman"/>
          <w:sz w:val="28"/>
          <w:szCs w:val="28"/>
          <w:lang w:eastAsia="es-ES"/>
        </w:rPr>
        <w:t xml:space="preserve">con </w:t>
      </w:r>
      <w:r w:rsidRPr="00EE2FA1">
        <w:rPr>
          <w:rFonts w:ascii="Times New Roman" w:eastAsia="Calibri" w:hAnsi="Times New Roman" w:cs="Times New Roman"/>
          <w:sz w:val="28"/>
          <w:szCs w:val="28"/>
          <w:lang w:eastAsia="es-ES"/>
        </w:rPr>
        <w:t>la capacidad contributiva de los sujetos pasivos, pues la</w:t>
      </w:r>
      <w:r w:rsidRPr="00EE2FA1">
        <w:rPr>
          <w:rFonts w:ascii="Times New Roman" w:eastAsia="Calibri" w:hAnsi="Times New Roman" w:cs="Times New Roman"/>
          <w:sz w:val="28"/>
          <w:szCs w:val="28"/>
          <w:lang w:eastAsia="es-ES"/>
        </w:rPr>
        <w:t xml:space="preserve"> carga tributaria es progresiva conforme aumentan </w:t>
      </w:r>
      <w:r w:rsidRPr="00EE2FA1">
        <w:rPr>
          <w:rFonts w:ascii="Times New Roman" w:eastAsia="Calibri" w:hAnsi="Times New Roman" w:cs="Times New Roman"/>
          <w:sz w:val="28"/>
          <w:szCs w:val="28"/>
          <w:lang w:eastAsia="es-ES"/>
        </w:rPr>
        <w:t xml:space="preserve">comparativamente </w:t>
      </w:r>
      <w:r w:rsidRPr="00EE2FA1">
        <w:rPr>
          <w:rFonts w:ascii="Times New Roman" w:eastAsia="Calibri" w:hAnsi="Times New Roman" w:cs="Times New Roman"/>
          <w:sz w:val="28"/>
          <w:szCs w:val="28"/>
          <w:lang w:eastAsia="es-ES"/>
        </w:rPr>
        <w:t>los precios en el mercado</w:t>
      </w:r>
      <w:r w:rsidRPr="00EE2FA1">
        <w:rPr>
          <w:rFonts w:ascii="Times New Roman" w:eastAsia="Calibri" w:hAnsi="Times New Roman" w:cs="Times New Roman"/>
          <w:sz w:val="28"/>
          <w:szCs w:val="28"/>
          <w:lang w:eastAsia="es-ES"/>
        </w:rPr>
        <w:t>.</w:t>
      </w:r>
    </w:p>
    <w:p w:rsidR="003470E4" w:rsidRPr="00EE2FA1" w:rsidRDefault="00EE2FA1" w:rsidP="003470E4">
      <w:pPr>
        <w:pStyle w:val="Prrafodelista"/>
        <w:tabs>
          <w:tab w:val="left" w:pos="426"/>
          <w:tab w:val="left" w:pos="567"/>
        </w:tabs>
        <w:spacing w:line="0" w:lineRule="atLeast"/>
        <w:ind w:left="0"/>
        <w:jc w:val="both"/>
        <w:rPr>
          <w:rFonts w:ascii="Times New Roman" w:eastAsia="Calibri" w:hAnsi="Times New Roman" w:cs="Times New Roman"/>
          <w:sz w:val="28"/>
          <w:szCs w:val="28"/>
          <w:lang w:eastAsia="es-ES"/>
        </w:rPr>
      </w:pPr>
    </w:p>
    <w:p w:rsidR="003470E4" w:rsidRPr="00EE2FA1" w:rsidRDefault="00EE2FA1" w:rsidP="006418FB">
      <w:pPr>
        <w:pStyle w:val="Prrafodelista"/>
        <w:numPr>
          <w:ilvl w:val="0"/>
          <w:numId w:val="1"/>
        </w:numPr>
        <w:tabs>
          <w:tab w:val="left" w:pos="426"/>
          <w:tab w:val="left" w:pos="567"/>
        </w:tabs>
        <w:spacing w:line="0" w:lineRule="atLeast"/>
        <w:ind w:left="0" w:firstLine="0"/>
        <w:jc w:val="both"/>
        <w:rPr>
          <w:rFonts w:ascii="Times New Roman" w:eastAsia="Calibri" w:hAnsi="Times New Roman" w:cs="Times New Roman"/>
          <w:sz w:val="28"/>
          <w:szCs w:val="28"/>
          <w:lang w:eastAsia="es-ES"/>
        </w:rPr>
      </w:pPr>
      <w:r w:rsidRPr="00EE2FA1">
        <w:rPr>
          <w:rFonts w:ascii="Times New Roman" w:eastAsia="Calibri" w:hAnsi="Times New Roman" w:cs="Times New Roman"/>
          <w:sz w:val="28"/>
          <w:szCs w:val="28"/>
          <w:lang w:eastAsia="es-ES"/>
        </w:rPr>
        <w:t xml:space="preserve">En atención </w:t>
      </w:r>
      <w:r w:rsidRPr="00EE2FA1">
        <w:rPr>
          <w:rFonts w:ascii="Times New Roman" w:eastAsia="Calibri" w:hAnsi="Times New Roman" w:cs="Times New Roman"/>
          <w:sz w:val="28"/>
          <w:szCs w:val="28"/>
          <w:lang w:eastAsia="es-ES"/>
        </w:rPr>
        <w:t>a lo expuesto, la Sala declarar</w:t>
      </w:r>
      <w:r w:rsidRPr="00EE2FA1">
        <w:rPr>
          <w:rFonts w:ascii="Times New Roman" w:eastAsia="Calibri" w:hAnsi="Times New Roman" w:cs="Times New Roman"/>
          <w:sz w:val="28"/>
          <w:szCs w:val="28"/>
          <w:lang w:eastAsia="es-ES"/>
        </w:rPr>
        <w:t>á</w:t>
      </w:r>
      <w:r w:rsidRPr="00EE2FA1">
        <w:rPr>
          <w:rFonts w:ascii="Times New Roman" w:eastAsia="Calibri" w:hAnsi="Times New Roman" w:cs="Times New Roman"/>
          <w:sz w:val="28"/>
          <w:szCs w:val="28"/>
          <w:lang w:eastAsia="es-ES"/>
        </w:rPr>
        <w:t xml:space="preserve"> la exequibilidad de la norma acusada </w:t>
      </w:r>
      <w:r w:rsidRPr="00EE2FA1">
        <w:rPr>
          <w:rFonts w:ascii="Times New Roman" w:eastAsia="Calibri" w:hAnsi="Times New Roman" w:cs="Times New Roman"/>
          <w:sz w:val="28"/>
          <w:szCs w:val="28"/>
          <w:lang w:eastAsia="es-ES"/>
        </w:rPr>
        <w:t xml:space="preserve">y la decisión recae sobre </w:t>
      </w:r>
      <w:r w:rsidRPr="00EE2FA1">
        <w:rPr>
          <w:rFonts w:ascii="Times New Roman" w:eastAsia="Calibri" w:hAnsi="Times New Roman" w:cs="Times New Roman"/>
          <w:sz w:val="28"/>
          <w:szCs w:val="28"/>
          <w:lang w:eastAsia="es-ES"/>
        </w:rPr>
        <w:t xml:space="preserve">la censura </w:t>
      </w:r>
      <w:r w:rsidRPr="00EE2FA1">
        <w:rPr>
          <w:rFonts w:ascii="Times New Roman" w:eastAsia="Calibri" w:hAnsi="Times New Roman" w:cs="Times New Roman"/>
          <w:sz w:val="28"/>
          <w:szCs w:val="28"/>
          <w:lang w:eastAsia="es-ES"/>
        </w:rPr>
        <w:t xml:space="preserve">basada en el desconocimiento de la faceta </w:t>
      </w:r>
      <w:r w:rsidRPr="00EE2FA1">
        <w:rPr>
          <w:rFonts w:ascii="Times New Roman" w:eastAsia="Calibri" w:hAnsi="Times New Roman" w:cs="Times New Roman"/>
          <w:sz w:val="28"/>
          <w:szCs w:val="28"/>
          <w:lang w:eastAsia="es-ES"/>
        </w:rPr>
        <w:t xml:space="preserve">de la capacidad contributiva </w:t>
      </w:r>
      <w:r w:rsidRPr="00EE2FA1">
        <w:rPr>
          <w:rFonts w:ascii="Times New Roman" w:eastAsia="Calibri" w:hAnsi="Times New Roman" w:cs="Times New Roman"/>
          <w:sz w:val="28"/>
          <w:szCs w:val="28"/>
          <w:lang w:eastAsia="es-ES"/>
        </w:rPr>
        <w:t>de la justicia y la equidad tributaria.</w:t>
      </w:r>
    </w:p>
    <w:p w:rsidR="00D72301" w:rsidRPr="00EE2FA1" w:rsidRDefault="00EE2FA1" w:rsidP="00D72301">
      <w:pPr>
        <w:pStyle w:val="Prrafodelista"/>
        <w:tabs>
          <w:tab w:val="left" w:pos="426"/>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0" w:lineRule="atLeast"/>
        <w:ind w:left="0"/>
        <w:jc w:val="both"/>
        <w:rPr>
          <w:rFonts w:ascii="Times New Roman" w:eastAsia="Calibri" w:hAnsi="Times New Roman" w:cs="Times New Roman"/>
          <w:sz w:val="28"/>
          <w:szCs w:val="28"/>
          <w:lang w:eastAsia="es-ES"/>
        </w:rPr>
      </w:pPr>
    </w:p>
    <w:p w:rsidR="008E3681" w:rsidRPr="00EE2FA1" w:rsidRDefault="00EE2FA1" w:rsidP="00C833B9">
      <w:pPr>
        <w:pStyle w:val="Prrafodelista"/>
        <w:tabs>
          <w:tab w:val="left" w:pos="426"/>
        </w:tabs>
        <w:spacing w:line="0" w:lineRule="atLeast"/>
        <w:ind w:left="0"/>
        <w:jc w:val="both"/>
        <w:rPr>
          <w:rFonts w:ascii="Times New Roman" w:eastAsia="Calibri" w:hAnsi="Times New Roman" w:cs="Times New Roman"/>
          <w:sz w:val="28"/>
          <w:szCs w:val="28"/>
          <w:lang w:eastAsia="es-ES"/>
        </w:rPr>
      </w:pPr>
      <w:r w:rsidRPr="00EE2FA1">
        <w:rPr>
          <w:rFonts w:ascii="Times New Roman" w:eastAsia="Calibri" w:hAnsi="Times New Roman" w:cs="Times New Roman"/>
          <w:b/>
          <w:sz w:val="28"/>
          <w:szCs w:val="28"/>
          <w:lang w:eastAsia="es-ES"/>
        </w:rPr>
        <w:t>VIII</w:t>
      </w:r>
      <w:r w:rsidRPr="00EE2FA1">
        <w:rPr>
          <w:rFonts w:ascii="Times New Roman" w:eastAsia="Calibri" w:hAnsi="Times New Roman" w:cs="Times New Roman"/>
          <w:b/>
          <w:sz w:val="28"/>
          <w:szCs w:val="28"/>
          <w:lang w:eastAsia="es-ES"/>
        </w:rPr>
        <w:t>. Decisión</w:t>
      </w:r>
    </w:p>
    <w:p w:rsidR="004D0E08"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8E3681"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En mérito de lo expuesto, la Sala Plena de la Corte Constitucional, administrando justicia en nombre del pueblo y por mandato de la Constitución,</w:t>
      </w:r>
    </w:p>
    <w:p w:rsidR="001E614C"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8E3681" w:rsidRPr="00EE2FA1" w:rsidRDefault="00EE2FA1" w:rsidP="00662539">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
          <w:sz w:val="28"/>
          <w:szCs w:val="28"/>
          <w:lang w:eastAsia="es-ES"/>
        </w:rPr>
        <w:t>RESUELVE</w:t>
      </w:r>
    </w:p>
    <w:p w:rsidR="001203B9" w:rsidRPr="00EE2FA1" w:rsidRDefault="00EE2FA1" w:rsidP="00662539">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664A19" w:rsidRPr="00EE2FA1" w:rsidRDefault="00EE2FA1" w:rsidP="00CD4E54">
      <w:pPr>
        <w:pStyle w:val="Prrafodelista"/>
        <w:tabs>
          <w:tab w:val="left" w:pos="426"/>
        </w:tabs>
        <w:spacing w:line="0" w:lineRule="atLeast"/>
        <w:ind w:left="0"/>
        <w:jc w:val="both"/>
        <w:rPr>
          <w:rFonts w:ascii="Times New Roman" w:hAnsi="Times New Roman" w:cs="Times New Roman"/>
          <w:sz w:val="28"/>
          <w:szCs w:val="28"/>
        </w:rPr>
      </w:pPr>
      <w:r w:rsidRPr="00EE2FA1">
        <w:rPr>
          <w:rFonts w:ascii="Times New Roman" w:hAnsi="Times New Roman" w:cs="Times New Roman"/>
          <w:b/>
          <w:bCs/>
          <w:sz w:val="28"/>
          <w:szCs w:val="28"/>
        </w:rPr>
        <w:t xml:space="preserve">PRIMERO. </w:t>
      </w:r>
      <w:r w:rsidRPr="00EE2FA1">
        <w:rPr>
          <w:rFonts w:ascii="Times New Roman" w:hAnsi="Times New Roman" w:cs="Times New Roman"/>
          <w:sz w:val="28"/>
          <w:szCs w:val="28"/>
        </w:rPr>
        <w:t>Declararse</w:t>
      </w:r>
      <w:r w:rsidRPr="00EE2FA1">
        <w:rPr>
          <w:rFonts w:ascii="Times New Roman" w:hAnsi="Times New Roman" w:cs="Times New Roman"/>
          <w:b/>
          <w:bCs/>
          <w:sz w:val="28"/>
          <w:szCs w:val="28"/>
        </w:rPr>
        <w:t xml:space="preserve"> INHIBIDA </w:t>
      </w:r>
      <w:r w:rsidRPr="00EE2FA1">
        <w:rPr>
          <w:rFonts w:ascii="Times New Roman" w:hAnsi="Times New Roman" w:cs="Times New Roman"/>
          <w:sz w:val="28"/>
          <w:szCs w:val="28"/>
        </w:rPr>
        <w:t xml:space="preserve">para fallar respecto de las censuras por violación de la retrospectividad tributaria y </w:t>
      </w:r>
      <w:r w:rsidRPr="00EE2FA1">
        <w:rPr>
          <w:rFonts w:ascii="Times New Roman" w:hAnsi="Times New Roman" w:cs="Times New Roman"/>
          <w:sz w:val="28"/>
          <w:szCs w:val="28"/>
        </w:rPr>
        <w:t xml:space="preserve">por </w:t>
      </w:r>
      <w:r w:rsidRPr="00EE2FA1">
        <w:rPr>
          <w:rFonts w:ascii="Times New Roman" w:hAnsi="Times New Roman" w:cs="Times New Roman"/>
          <w:sz w:val="28"/>
          <w:szCs w:val="28"/>
        </w:rPr>
        <w:t>el desconocimiento de la igualdad y la equidad tributaria</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contra </w:t>
      </w:r>
      <w:r w:rsidRPr="00EE2FA1">
        <w:rPr>
          <w:rFonts w:ascii="Times New Roman" w:hAnsi="Times New Roman" w:cs="Times New Roman"/>
          <w:sz w:val="28"/>
          <w:szCs w:val="28"/>
        </w:rPr>
        <w:t xml:space="preserve">el parágrafo 3.° (parcial) del artículo 240 del Estatuto Tributario, modificado por </w:t>
      </w:r>
      <w:r w:rsidRPr="00EE2FA1">
        <w:rPr>
          <w:rFonts w:ascii="Times New Roman" w:hAnsi="Times New Roman" w:cs="Times New Roman"/>
          <w:sz w:val="28"/>
          <w:szCs w:val="28"/>
        </w:rPr>
        <w:t xml:space="preserve">el </w:t>
      </w:r>
      <w:r w:rsidRPr="00EE2FA1">
        <w:rPr>
          <w:rFonts w:ascii="Times New Roman" w:hAnsi="Times New Roman" w:cs="Times New Roman"/>
          <w:sz w:val="28"/>
          <w:szCs w:val="28"/>
        </w:rPr>
        <w:t xml:space="preserve">artículo 10° de la Ley 2277 de 2022 </w:t>
      </w:r>
      <w:r w:rsidRPr="00EE2FA1">
        <w:rPr>
          <w:rFonts w:ascii="Times New Roman" w:hAnsi="Times New Roman" w:cs="Times New Roman"/>
          <w:bCs/>
          <w:sz w:val="28"/>
          <w:szCs w:val="28"/>
        </w:rPr>
        <w:t>“</w:t>
      </w:r>
      <w:r w:rsidRPr="00EE2FA1">
        <w:rPr>
          <w:rFonts w:ascii="Times New Roman" w:hAnsi="Times New Roman" w:cs="Times New Roman"/>
          <w:sz w:val="28"/>
          <w:szCs w:val="28"/>
        </w:rPr>
        <w:t>por medio de la cual se adopta una reforma tributaria para la igualdad y la justicia social y se dictan otras disposiciones”</w:t>
      </w:r>
      <w:r w:rsidRPr="00EE2FA1">
        <w:rPr>
          <w:rFonts w:ascii="Times New Roman" w:hAnsi="Times New Roman" w:cs="Times New Roman"/>
          <w:sz w:val="28"/>
          <w:szCs w:val="28"/>
        </w:rPr>
        <w:t>,</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por la</w:t>
      </w:r>
      <w:r w:rsidRPr="00EE2FA1">
        <w:rPr>
          <w:rFonts w:ascii="Times New Roman" w:hAnsi="Times New Roman" w:cs="Times New Roman"/>
          <w:sz w:val="28"/>
          <w:szCs w:val="28"/>
        </w:rPr>
        <w:t xml:space="preserve">s razones expuestas en esta providencia. </w:t>
      </w:r>
    </w:p>
    <w:p w:rsidR="00CD4E54"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p>
    <w:p w:rsidR="00D75F21" w:rsidRPr="00EE2FA1" w:rsidRDefault="00EE2FA1" w:rsidP="00B97241">
      <w:pPr>
        <w:pStyle w:val="Prrafodelista"/>
        <w:tabs>
          <w:tab w:val="left" w:pos="426"/>
        </w:tabs>
        <w:spacing w:line="0" w:lineRule="atLeast"/>
        <w:ind w:left="0"/>
        <w:jc w:val="both"/>
        <w:rPr>
          <w:rFonts w:ascii="Times New Roman" w:hAnsi="Times New Roman" w:cs="Times New Roman"/>
          <w:sz w:val="28"/>
          <w:szCs w:val="28"/>
        </w:rPr>
      </w:pPr>
      <w:r w:rsidRPr="00EE2FA1">
        <w:rPr>
          <w:rFonts w:ascii="Times New Roman" w:hAnsi="Times New Roman" w:cs="Times New Roman"/>
          <w:b/>
          <w:bCs/>
          <w:sz w:val="28"/>
          <w:szCs w:val="28"/>
        </w:rPr>
        <w:t>SEGUNDO.</w:t>
      </w:r>
      <w:r w:rsidRPr="00EE2FA1">
        <w:rPr>
          <w:rFonts w:ascii="Times New Roman" w:hAnsi="Times New Roman" w:cs="Times New Roman"/>
          <w:sz w:val="28"/>
          <w:szCs w:val="28"/>
        </w:rPr>
        <w:t xml:space="preserve"> </w:t>
      </w:r>
      <w:r w:rsidRPr="00EE2FA1">
        <w:rPr>
          <w:rFonts w:ascii="Times New Roman" w:hAnsi="Times New Roman" w:cs="Times New Roman"/>
          <w:b/>
          <w:bCs/>
          <w:sz w:val="28"/>
          <w:szCs w:val="28"/>
        </w:rPr>
        <w:t>ESTARSE A LO RESUELTO</w:t>
      </w:r>
      <w:r w:rsidRPr="00EE2FA1">
        <w:rPr>
          <w:rFonts w:ascii="Times New Roman" w:hAnsi="Times New Roman" w:cs="Times New Roman"/>
          <w:sz w:val="28"/>
          <w:szCs w:val="28"/>
        </w:rPr>
        <w:t xml:space="preserve"> en la Sentencia C-489 de 2023, que declaró inexequible el parágrafo 1º del artículo 19 de la Ley 2277 de 2022, </w:t>
      </w:r>
      <w:r w:rsidRPr="00EE2FA1">
        <w:rPr>
          <w:rFonts w:ascii="Times New Roman" w:hAnsi="Times New Roman" w:cs="Times New Roman"/>
          <w:bCs/>
          <w:sz w:val="28"/>
          <w:szCs w:val="28"/>
        </w:rPr>
        <w:t>“</w:t>
      </w:r>
      <w:r w:rsidRPr="00EE2FA1">
        <w:rPr>
          <w:rFonts w:ascii="Times New Roman" w:hAnsi="Times New Roman" w:cs="Times New Roman"/>
          <w:sz w:val="28"/>
          <w:szCs w:val="28"/>
        </w:rPr>
        <w:t>por medio de la cual se adopta una reforma tributaria para la igualdad</w:t>
      </w:r>
      <w:r w:rsidRPr="00EE2FA1">
        <w:rPr>
          <w:rFonts w:ascii="Times New Roman" w:hAnsi="Times New Roman" w:cs="Times New Roman"/>
          <w:sz w:val="28"/>
          <w:szCs w:val="28"/>
        </w:rPr>
        <w:t xml:space="preserve"> y la justicia social y se dictan otras disposiciones”.</w:t>
      </w:r>
    </w:p>
    <w:p w:rsidR="00D75F21" w:rsidRPr="00EE2FA1" w:rsidRDefault="00EE2FA1" w:rsidP="00B97241">
      <w:pPr>
        <w:pStyle w:val="Prrafodelista"/>
        <w:tabs>
          <w:tab w:val="left" w:pos="426"/>
        </w:tabs>
        <w:spacing w:line="0" w:lineRule="atLeast"/>
        <w:ind w:left="0"/>
        <w:jc w:val="both"/>
        <w:rPr>
          <w:rFonts w:ascii="Times New Roman" w:hAnsi="Times New Roman" w:cs="Times New Roman"/>
          <w:sz w:val="28"/>
          <w:szCs w:val="28"/>
        </w:rPr>
      </w:pPr>
    </w:p>
    <w:p w:rsidR="00D75F21" w:rsidRPr="00EE2FA1" w:rsidRDefault="00EE2FA1" w:rsidP="00D75F21">
      <w:pPr>
        <w:pStyle w:val="Prrafodelista"/>
        <w:tabs>
          <w:tab w:val="left" w:pos="426"/>
        </w:tabs>
        <w:spacing w:line="0" w:lineRule="atLeast"/>
        <w:ind w:left="0"/>
        <w:jc w:val="both"/>
        <w:rPr>
          <w:rFonts w:ascii="Times New Roman" w:hAnsi="Times New Roman" w:cs="Times New Roman"/>
          <w:sz w:val="28"/>
          <w:szCs w:val="28"/>
        </w:rPr>
      </w:pPr>
      <w:r w:rsidRPr="00EE2FA1">
        <w:rPr>
          <w:rFonts w:ascii="Times New Roman" w:hAnsi="Times New Roman" w:cs="Times New Roman"/>
          <w:b/>
          <w:bCs/>
          <w:sz w:val="28"/>
          <w:szCs w:val="28"/>
        </w:rPr>
        <w:t>TERCERO.</w:t>
      </w:r>
      <w:r w:rsidRPr="00EE2FA1">
        <w:rPr>
          <w:rFonts w:ascii="Times New Roman" w:hAnsi="Times New Roman" w:cs="Times New Roman"/>
          <w:sz w:val="28"/>
          <w:szCs w:val="28"/>
        </w:rPr>
        <w:t xml:space="preserve"> </w:t>
      </w:r>
      <w:r w:rsidRPr="00EE2FA1">
        <w:rPr>
          <w:rFonts w:ascii="Times New Roman" w:hAnsi="Times New Roman" w:cs="Times New Roman"/>
          <w:sz w:val="28"/>
          <w:szCs w:val="28"/>
        </w:rPr>
        <w:t xml:space="preserve">Declarar </w:t>
      </w:r>
      <w:r w:rsidRPr="00EE2FA1">
        <w:rPr>
          <w:rFonts w:ascii="Times New Roman" w:hAnsi="Times New Roman" w:cs="Times New Roman"/>
          <w:b/>
          <w:bCs/>
          <w:sz w:val="28"/>
          <w:szCs w:val="28"/>
        </w:rPr>
        <w:t>EXEQUIBLES</w:t>
      </w:r>
      <w:r w:rsidRPr="00EE2FA1">
        <w:rPr>
          <w:rFonts w:ascii="Times New Roman" w:hAnsi="Times New Roman" w:cs="Times New Roman"/>
          <w:sz w:val="28"/>
          <w:szCs w:val="28"/>
        </w:rPr>
        <w:t>, por los cargos analizados, el parágrafo 3.° (parcial) del artículo 240 y el artículo 115 del Estatuto Tributario, modificados por los artículos 10° y 19 de la Ley 2277 d</w:t>
      </w:r>
      <w:r w:rsidRPr="00EE2FA1">
        <w:rPr>
          <w:rFonts w:ascii="Times New Roman" w:hAnsi="Times New Roman" w:cs="Times New Roman"/>
          <w:sz w:val="28"/>
          <w:szCs w:val="28"/>
        </w:rPr>
        <w:t xml:space="preserve">e 2022, </w:t>
      </w:r>
      <w:r w:rsidRPr="00EE2FA1">
        <w:rPr>
          <w:rFonts w:ascii="Times New Roman" w:hAnsi="Times New Roman" w:cs="Times New Roman"/>
          <w:bCs/>
          <w:sz w:val="28"/>
          <w:szCs w:val="28"/>
        </w:rPr>
        <w:t>“</w:t>
      </w:r>
      <w:r w:rsidRPr="00EE2FA1">
        <w:rPr>
          <w:rFonts w:ascii="Times New Roman" w:hAnsi="Times New Roman" w:cs="Times New Roman"/>
          <w:sz w:val="28"/>
          <w:szCs w:val="28"/>
        </w:rPr>
        <w:t>por medio de la cual se adopta una reforma tributaria para la igualdad y la justicia social y se dictan otras disposiciones”, respectivamente</w:t>
      </w:r>
      <w:r w:rsidRPr="00EE2FA1">
        <w:rPr>
          <w:rFonts w:ascii="Times New Roman" w:hAnsi="Times New Roman" w:cs="Times New Roman"/>
          <w:bCs/>
          <w:sz w:val="28"/>
          <w:szCs w:val="28"/>
        </w:rPr>
        <w:t xml:space="preserve">, </w:t>
      </w:r>
      <w:r w:rsidRPr="00EE2FA1">
        <w:rPr>
          <w:rFonts w:ascii="Times New Roman" w:hAnsi="Times New Roman" w:cs="Times New Roman"/>
          <w:sz w:val="28"/>
          <w:szCs w:val="28"/>
        </w:rPr>
        <w:t xml:space="preserve">esta última norma con excepción de su parágrafo 1º. </w:t>
      </w:r>
    </w:p>
    <w:p w:rsidR="00B97241"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031987" w:rsidRPr="00EE2FA1" w:rsidRDefault="00EE2FA1" w:rsidP="00C833B9">
      <w:pPr>
        <w:pStyle w:val="Prrafodelista"/>
        <w:tabs>
          <w:tab w:val="left" w:pos="426"/>
        </w:tabs>
        <w:spacing w:line="0" w:lineRule="atLeast"/>
        <w:ind w:left="0"/>
        <w:jc w:val="both"/>
        <w:rPr>
          <w:rFonts w:ascii="Times New Roman" w:hAnsi="Times New Roman" w:cs="Times New Roman"/>
          <w:sz w:val="28"/>
          <w:szCs w:val="28"/>
        </w:rPr>
      </w:pPr>
      <w:r w:rsidRPr="00EE2FA1">
        <w:rPr>
          <w:rFonts w:ascii="Times New Roman" w:hAnsi="Times New Roman" w:cs="Times New Roman"/>
          <w:sz w:val="28"/>
          <w:szCs w:val="28"/>
        </w:rPr>
        <w:t>Notifíquese, comuníquese</w:t>
      </w:r>
      <w:r w:rsidRPr="00EE2FA1">
        <w:rPr>
          <w:rFonts w:ascii="Times New Roman" w:hAnsi="Times New Roman" w:cs="Times New Roman"/>
          <w:sz w:val="28"/>
          <w:szCs w:val="28"/>
        </w:rPr>
        <w:t>, publíquese</w:t>
      </w:r>
      <w:r w:rsidRPr="00EE2FA1">
        <w:rPr>
          <w:rFonts w:ascii="Times New Roman" w:hAnsi="Times New Roman" w:cs="Times New Roman"/>
          <w:sz w:val="28"/>
          <w:szCs w:val="28"/>
        </w:rPr>
        <w:t xml:space="preserve"> y cúmplase</w:t>
      </w:r>
    </w:p>
    <w:p w:rsidR="00D42BB5"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D42BB5" w:rsidRPr="00EE2FA1" w:rsidRDefault="00EE2FA1" w:rsidP="00C833B9">
      <w:pPr>
        <w:pStyle w:val="Prrafodelista"/>
        <w:tabs>
          <w:tab w:val="left" w:pos="426"/>
        </w:tabs>
        <w:spacing w:line="0" w:lineRule="atLeast"/>
        <w:ind w:left="0"/>
        <w:jc w:val="both"/>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JOSE FERNANDO REYES CUARTAS</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Presidente</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Ausente con comisión</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NATALIA ÁNGEL CABO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JUAN CARLOS CORTÉS GONZÁLEZ</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DIANA FAJARDO RIVERA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VLADIMIR FERNÁNDEZ ANDRADE</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Con impedimento aceptado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 xml:space="preserve">JORGE ENRIQUE IBÁÑEZ NAJAR </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ANTONIO JOSÉ LIZARAZO OCAMPO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PAOLA ANDREA MENESES MOSQUERA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Con impedimento aceptado</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CRISTINA PARDO SCHLESINGER</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Magistrada</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ANDREA LILIANA ROMERO LOPEZ</w:t>
      </w:r>
    </w:p>
    <w:p w:rsidR="00D42BB5" w:rsidRPr="00EE2FA1" w:rsidRDefault="00EE2FA1" w:rsidP="00D42BB5">
      <w:pPr>
        <w:pStyle w:val="Prrafodelista"/>
        <w:tabs>
          <w:tab w:val="left" w:pos="426"/>
        </w:tabs>
        <w:spacing w:line="0" w:lineRule="atLeast"/>
        <w:ind w:left="0"/>
        <w:jc w:val="center"/>
        <w:rPr>
          <w:rFonts w:ascii="Times New Roman" w:eastAsia="Calibri" w:hAnsi="Times New Roman" w:cs="Times New Roman"/>
          <w:bCs/>
          <w:sz w:val="28"/>
          <w:szCs w:val="28"/>
          <w:lang w:eastAsia="es-ES"/>
        </w:rPr>
      </w:pPr>
      <w:r w:rsidRPr="00EE2FA1">
        <w:rPr>
          <w:rFonts w:ascii="Times New Roman" w:eastAsia="Calibri" w:hAnsi="Times New Roman" w:cs="Times New Roman"/>
          <w:bCs/>
          <w:sz w:val="28"/>
          <w:szCs w:val="28"/>
          <w:lang w:eastAsia="es-ES"/>
        </w:rPr>
        <w:t>Secretaria General</w:t>
      </w:r>
    </w:p>
    <w:sectPr w:rsidR="00D42BB5" w:rsidRPr="00EE2FA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E2FA1">
      <w:pPr>
        <w:spacing w:after="0" w:line="240" w:lineRule="auto"/>
      </w:pPr>
      <w:r>
        <w:separator/>
      </w:r>
    </w:p>
  </w:endnote>
  <w:endnote w:type="continuationSeparator" w:id="0">
    <w:p w:rsidR="00000000" w:rsidRDefault="00EE2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E2FA1">
      <w:pPr>
        <w:spacing w:after="0" w:line="240" w:lineRule="auto"/>
      </w:pPr>
      <w:r>
        <w:separator/>
      </w:r>
    </w:p>
  </w:footnote>
  <w:footnote w:type="continuationSeparator" w:id="0">
    <w:p w:rsidR="00000000" w:rsidRDefault="00EE2FA1">
      <w:pPr>
        <w:spacing w:after="0" w:line="240" w:lineRule="auto"/>
      </w:pPr>
      <w:r>
        <w:continuationSeparator/>
      </w:r>
    </w:p>
  </w:footnote>
  <w:footnote w:id="1">
    <w:p w:rsidR="00550A2C" w:rsidRPr="002128DA" w:rsidRDefault="00EE2FA1" w:rsidP="005640F0">
      <w:pPr>
        <w:pStyle w:val="Textonotapie"/>
        <w:spacing w:line="0" w:lineRule="atLeast"/>
        <w:ind w:right="23"/>
        <w:jc w:val="both"/>
      </w:pPr>
      <w:r w:rsidRPr="002128DA">
        <w:rPr>
          <w:rStyle w:val="Refdenotaalpie"/>
        </w:rPr>
        <w:footnoteRef/>
      </w:r>
      <w:r w:rsidRPr="002128DA">
        <w:t xml:space="preserve"> Por medio de la cual se adopta una reforma tributaria para la igualdad y la justicia social y se dictan otras disposiciones.</w:t>
      </w:r>
    </w:p>
  </w:footnote>
  <w:footnote w:id="2">
    <w:p w:rsidR="009524F1" w:rsidRPr="002128DA" w:rsidRDefault="00EE2FA1" w:rsidP="005640F0">
      <w:pPr>
        <w:pStyle w:val="NormalWeb"/>
        <w:snapToGrid w:val="0"/>
        <w:spacing w:line="0" w:lineRule="atLeast"/>
        <w:ind w:right="23"/>
        <w:jc w:val="both"/>
        <w:rPr>
          <w:sz w:val="20"/>
          <w:szCs w:val="20"/>
        </w:rPr>
      </w:pPr>
      <w:r w:rsidRPr="002128DA">
        <w:rPr>
          <w:rStyle w:val="Refdenotaalpie"/>
          <w:sz w:val="20"/>
          <w:szCs w:val="20"/>
        </w:rPr>
        <w:footnoteRef/>
      </w:r>
      <w:r w:rsidRPr="002128DA">
        <w:rPr>
          <w:sz w:val="20"/>
          <w:szCs w:val="20"/>
        </w:rPr>
        <w:t xml:space="preserve"> La Sala advierte que la demanda </w:t>
      </w:r>
      <w:r w:rsidRPr="002128DA">
        <w:rPr>
          <w:sz w:val="20"/>
          <w:szCs w:val="20"/>
        </w:rPr>
        <w:t>presentó</w:t>
      </w:r>
      <w:r w:rsidRPr="002128DA">
        <w:rPr>
          <w:sz w:val="20"/>
          <w:szCs w:val="20"/>
        </w:rPr>
        <w:t xml:space="preserve"> lo siguientes vicios de fondo:</w:t>
      </w:r>
      <w:r w:rsidRPr="002128DA">
        <w:rPr>
          <w:sz w:val="20"/>
          <w:szCs w:val="20"/>
          <w:lang w:val="es-ES"/>
        </w:rPr>
        <w:t xml:space="preserve"> i) </w:t>
      </w:r>
      <w:r w:rsidRPr="002128DA">
        <w:rPr>
          <w:sz w:val="20"/>
          <w:szCs w:val="20"/>
        </w:rPr>
        <w:t>primer cargo: violación del principio de reserva de ley; ii) segundo cargo: quebrantamiento de la Constitución por la aplicación retrospectiva y retroactiva de la ley tributaria; iii) tercer cargo: violación del artículo 6º de la Constitución; y iv) cuarto</w:t>
      </w:r>
      <w:r w:rsidRPr="002128DA">
        <w:rPr>
          <w:sz w:val="20"/>
          <w:szCs w:val="20"/>
        </w:rPr>
        <w:t xml:space="preserve"> cargo: violación de los principios de justicia, equidad e igualdad tributaria. </w:t>
      </w:r>
      <w:r w:rsidRPr="002128DA">
        <w:rPr>
          <w:sz w:val="20"/>
          <w:szCs w:val="20"/>
          <w:lang w:val="es-ES"/>
        </w:rPr>
        <w:t xml:space="preserve">Mediante auto del 18 de mayo de 2023, </w:t>
      </w:r>
      <w:r w:rsidRPr="002128DA">
        <w:rPr>
          <w:sz w:val="20"/>
          <w:szCs w:val="20"/>
        </w:rPr>
        <w:t>el despacho inadmitió la aludida demanda, al considerar que no cumplía con las condiciones argumentativas de claridad, certeza, especifici</w:t>
      </w:r>
      <w:r w:rsidRPr="002128DA">
        <w:rPr>
          <w:sz w:val="20"/>
          <w:szCs w:val="20"/>
        </w:rPr>
        <w:t xml:space="preserve">dad, pertinencia y </w:t>
      </w:r>
      <w:r w:rsidRPr="002128DA">
        <w:rPr>
          <w:sz w:val="20"/>
          <w:szCs w:val="20"/>
        </w:rPr>
        <w:t>suficiencia. La</w:t>
      </w:r>
      <w:r w:rsidRPr="002128DA">
        <w:rPr>
          <w:sz w:val="20"/>
          <w:szCs w:val="20"/>
        </w:rPr>
        <w:t xml:space="preserve"> ciudadana presentó escrito de subsanación de la demanda, el 26 de mayo de 2023, dentro del término concedido para hacerlo. En tal sentido, manifestó que retiraba de la demanda</w:t>
      </w:r>
      <w:r w:rsidRPr="002128DA">
        <w:rPr>
          <w:b/>
          <w:bCs/>
          <w:sz w:val="20"/>
          <w:szCs w:val="20"/>
        </w:rPr>
        <w:t xml:space="preserve"> </w:t>
      </w:r>
      <w:r w:rsidRPr="002128DA">
        <w:rPr>
          <w:sz w:val="20"/>
          <w:szCs w:val="20"/>
        </w:rPr>
        <w:t>“</w:t>
      </w:r>
      <w:r w:rsidRPr="002128DA">
        <w:rPr>
          <w:i/>
          <w:iCs/>
          <w:sz w:val="20"/>
          <w:szCs w:val="20"/>
        </w:rPr>
        <w:t xml:space="preserve">los cargos por violación de los artículos 6 </w:t>
      </w:r>
      <w:r w:rsidRPr="002128DA">
        <w:rPr>
          <w:i/>
          <w:iCs/>
          <w:sz w:val="20"/>
          <w:szCs w:val="20"/>
        </w:rPr>
        <w:t>y 338 de la Constitución páginas 60ª 63 y 74 a 77, relacionados en su orden con la dependencia de una autoridad norteamericana y compañías terceras privadas para deflactar los precios internacionales del petróleo BRENT y calcular y certificar el promedio d</w:t>
      </w:r>
      <w:r w:rsidRPr="002128DA">
        <w:rPr>
          <w:i/>
          <w:iCs/>
          <w:sz w:val="20"/>
          <w:szCs w:val="20"/>
        </w:rPr>
        <w:t>e esos mismos precios, y con la violación del principio de reserva de ley tributaria por indefinición de la tarifa de la sobretasa a cargo de los extractores de crudo</w:t>
      </w:r>
      <w:r w:rsidRPr="002128DA">
        <w:rPr>
          <w:sz w:val="20"/>
          <w:szCs w:val="20"/>
        </w:rPr>
        <w:t>.” En tal sentido, indicó que mantiene los cargos por: i) quebrantamiento de los artículos</w:t>
      </w:r>
      <w:r w:rsidRPr="002128DA">
        <w:rPr>
          <w:sz w:val="20"/>
          <w:szCs w:val="20"/>
        </w:rPr>
        <w:t xml:space="preserve"> 338 y 363 de la Constitución por la aplicación retrospectiva y retroactiva de la ley tributaria; y ii) violación de los principios de justicia, equidad e igualdad y consiguientemente, los artículos 13, 95-9 y 363 de la Constitución. Por Auto del 13 de jun</w:t>
      </w:r>
      <w:r w:rsidRPr="002128DA">
        <w:rPr>
          <w:sz w:val="20"/>
          <w:szCs w:val="20"/>
        </w:rPr>
        <w:t>io de 2023, el despacho sustanciador rechazó parcialmente la demanda respecto de los cargos por violación de los artículos 6 y 338 de la Constitución, relacionados en su orden i) con la dependencia de una autoridad norteamericana y compañías terceras priva</w:t>
      </w:r>
      <w:r w:rsidRPr="002128DA">
        <w:rPr>
          <w:sz w:val="20"/>
          <w:szCs w:val="20"/>
        </w:rPr>
        <w:t>das para deflactar los precios internacionales del petróleo BRENT y calcular y certificar el promedio de esos mismos precios y ii) con la violación del principio de reserva de ley tributaria debida a indefinición de la tarifa de la sobretasa a cargo de los</w:t>
      </w:r>
      <w:r w:rsidRPr="002128DA">
        <w:rPr>
          <w:sz w:val="20"/>
          <w:szCs w:val="20"/>
        </w:rPr>
        <w:t xml:space="preserve"> extractores de crudo.</w:t>
      </w:r>
    </w:p>
  </w:footnote>
  <w:footnote w:id="3">
    <w:p w:rsidR="00231D32"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t xml:space="preserve">La providencia rechazó dos cargos formulados por la demandante por violación de </w:t>
      </w:r>
      <w:r w:rsidRPr="002128DA">
        <w:t xml:space="preserve">la reserva de ley en materia tributaria y </w:t>
      </w:r>
      <w:r w:rsidRPr="002128DA">
        <w:t xml:space="preserve">la remisión a terceros distintos a autoridades nacionales </w:t>
      </w:r>
      <w:r w:rsidRPr="002128DA">
        <w:t xml:space="preserve">de los elementos de la sobretasa. Expediente digital D-15253. </w:t>
      </w:r>
      <w:hyperlink r:id="rId1" w:tgtFrame="blank" w:history="1">
        <w:r w:rsidRPr="002128DA">
          <w:rPr>
            <w:rStyle w:val="Hipervnculo"/>
            <w:color w:val="auto"/>
          </w:rPr>
          <w:t>Auto que Admite, Rechaza la demanda y decreta la práctica de pruebas</w:t>
        </w:r>
      </w:hyperlink>
      <w:r w:rsidRPr="002128DA">
        <w:t>.</w:t>
      </w:r>
    </w:p>
  </w:footnote>
  <w:footnote w:id="4">
    <w:p w:rsidR="001319DF" w:rsidRPr="002128DA" w:rsidRDefault="00EE2FA1" w:rsidP="005640F0">
      <w:pPr>
        <w:pStyle w:val="Textonotapie"/>
        <w:spacing w:line="0" w:lineRule="atLeast"/>
        <w:ind w:right="23"/>
        <w:jc w:val="both"/>
      </w:pPr>
      <w:r w:rsidRPr="002128DA">
        <w:rPr>
          <w:rStyle w:val="Refdenotaalpie"/>
        </w:rPr>
        <w:footnoteRef/>
      </w:r>
      <w:r w:rsidRPr="002128DA">
        <w:t xml:space="preserve"> Los invitados fueron los</w:t>
      </w:r>
      <w:r w:rsidRPr="002128DA">
        <w:t xml:space="preserve"> </w:t>
      </w:r>
      <w:r w:rsidRPr="002128DA">
        <w:rPr>
          <w:bCs/>
        </w:rPr>
        <w:t>Ministerios  de Minas y Energía y de Ambiente y Desarrollo Sostenible, el Departamento Nacional de Planeación, la Dirección Nacional de Impuestos Nacionales (DIAN), el Comité Autónomo de la Regla Fiscal (CARF), Ecopetrol, Fedesarrollo, Asociación Colombia</w:t>
      </w:r>
      <w:r w:rsidRPr="002128DA">
        <w:rPr>
          <w:bCs/>
        </w:rPr>
        <w:t>na de Petróleo (ACP), Cámara Colombiana de Bienes y Servicios Petroleros (CAMPETROL), Consejo Privado de Competitividad, Instituto Colombiano de Derecho Tributario (ICDT), Consejo Gremial, ANIF – Centro de Estudios Económicos, Dejusticia, Comisión Colombia</w:t>
      </w:r>
      <w:r w:rsidRPr="002128DA">
        <w:rPr>
          <w:bCs/>
        </w:rPr>
        <w:t>na de Juristas, las facultades de derecho y economía o de ciencias económicas de las universidades Nacional de Colombia, de Antioquia, EAN, de los Andes, Javeriana, del Rosario, Pedagógica y Tecnológica de Colombia y de la Sabana</w:t>
      </w:r>
      <w:r w:rsidRPr="002128DA">
        <w:rPr>
          <w:bCs/>
        </w:rPr>
        <w:t xml:space="preserve">, </w:t>
      </w:r>
      <w:r w:rsidRPr="002128DA">
        <w:rPr>
          <w:bCs/>
        </w:rPr>
        <w:t>por intermedio de sus res</w:t>
      </w:r>
      <w:r w:rsidRPr="002128DA">
        <w:rPr>
          <w:bCs/>
        </w:rPr>
        <w:t>pectivos decanos</w:t>
      </w:r>
      <w:r w:rsidRPr="002128DA">
        <w:rPr>
          <w:bCs/>
        </w:rPr>
        <w:t xml:space="preserve">; </w:t>
      </w:r>
      <w:r w:rsidRPr="002128DA">
        <w:rPr>
          <w:bCs/>
        </w:rPr>
        <w:t>José Antonio Ocampo, Marcela Eslava, Eduardo Lora, Adriana Camacho, Mariana Blanco, Francisco Bogliacino, Raquel Bernal, Stefano Farné, Paola Ríos, María Fernanda Ramírez Brouchoud, María Helena Franco Vargas, María del Pilar López-Uribe,</w:t>
      </w:r>
      <w:r w:rsidRPr="002128DA">
        <w:rPr>
          <w:bCs/>
        </w:rPr>
        <w:t xml:space="preserve"> Javier Armando Pineda Duque, Helena Alviar García, Daniel Mejía Londoño, Aurelio Suarez Montoya, </w:t>
      </w:r>
      <w:r w:rsidRPr="002128DA">
        <w:rPr>
          <w:bCs/>
        </w:rPr>
        <w:t>Amílcar</w:t>
      </w:r>
      <w:r w:rsidRPr="002128DA">
        <w:rPr>
          <w:bCs/>
        </w:rPr>
        <w:t xml:space="preserve"> Acosta y María Fernanda Suarez Londoño</w:t>
      </w:r>
      <w:r w:rsidRPr="002128DA">
        <w:rPr>
          <w:bCs/>
        </w:rPr>
        <w:t>.</w:t>
      </w:r>
    </w:p>
  </w:footnote>
  <w:footnote w:id="5">
    <w:p w:rsidR="006635D7"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t xml:space="preserve">En particular, ofició a </w:t>
      </w:r>
      <w:r w:rsidRPr="002128DA">
        <w:t xml:space="preserve">las presidencias de las Comisiones Terceras Permanentes del Senado y de la Cámara de Representantes para que absolvieran algunos interrogantes sobre el trámite legislativo. Asimismo, </w:t>
      </w:r>
      <w:r w:rsidRPr="002128DA">
        <w:t>solicitó</w:t>
      </w:r>
      <w:r w:rsidRPr="002128DA">
        <w:t xml:space="preserve"> a las secretarías gener</w:t>
      </w:r>
      <w:r w:rsidRPr="002128DA">
        <w:t>ales de dichas células legislativas que r</w:t>
      </w:r>
      <w:r w:rsidRPr="002128DA">
        <w:t xml:space="preserve">emitieran </w:t>
      </w:r>
      <w:r w:rsidRPr="002128DA">
        <w:t>el expediente legislativo</w:t>
      </w:r>
      <w:r w:rsidRPr="002128DA">
        <w:t xml:space="preserve">, </w:t>
      </w:r>
      <w:r w:rsidRPr="002128DA">
        <w:t>explicaran el trámite impartido a las proposiciones</w:t>
      </w:r>
      <w:r w:rsidRPr="002128DA">
        <w:t xml:space="preserve"> relacionadas en la demanda</w:t>
      </w:r>
      <w:r w:rsidRPr="002128DA">
        <w:t xml:space="preserve"> y certificara las firmas </w:t>
      </w:r>
      <w:r w:rsidRPr="002128DA">
        <w:t>de esas proposiciones</w:t>
      </w:r>
      <w:r w:rsidRPr="002128DA">
        <w:t>.</w:t>
      </w:r>
      <w:r w:rsidRPr="002128DA">
        <w:t xml:space="preserve"> Además, ofició a la Agencia Nacional de Hidrocarburos (ANH)</w:t>
      </w:r>
      <w:r w:rsidRPr="002128DA">
        <w:t xml:space="preserve"> y al Ministerio de Hacienda y Cr</w:t>
      </w:r>
      <w:r w:rsidRPr="002128DA">
        <w:t>édito</w:t>
      </w:r>
      <w:r w:rsidRPr="002128DA">
        <w:t xml:space="preserve"> </w:t>
      </w:r>
      <w:r w:rsidRPr="002128DA">
        <w:t>Público</w:t>
      </w:r>
      <w:r w:rsidRPr="002128DA">
        <w:t xml:space="preserve"> para que absolviera</w:t>
      </w:r>
      <w:r w:rsidRPr="002128DA">
        <w:t>n</w:t>
      </w:r>
      <w:r w:rsidRPr="002128DA">
        <w:t xml:space="preserve"> algunas preguntas </w:t>
      </w:r>
      <w:r w:rsidRPr="002128DA">
        <w:t xml:space="preserve">relacionadas con la sobretasa en el impuesto de renta relacionada con la extracción de petróleo </w:t>
      </w:r>
    </w:p>
  </w:footnote>
  <w:footnote w:id="6">
    <w:p w:rsidR="0094535F"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2" w:tgtFrame="blank" w:history="1">
        <w:r w:rsidRPr="002128DA">
          <w:rPr>
            <w:rStyle w:val="Hipervnculo"/>
            <w:color w:val="auto"/>
          </w:rPr>
          <w:t>Demanda ciudadana</w:t>
        </w:r>
      </w:hyperlink>
      <w:r w:rsidRPr="002128DA">
        <w:t>, folios 7 a 9</w:t>
      </w:r>
      <w:r w:rsidRPr="002128DA">
        <w:t xml:space="preserve"> y </w:t>
      </w:r>
      <w:hyperlink r:id="rId3" w:tgtFrame="blank" w:history="1">
        <w:r w:rsidRPr="002128DA">
          <w:rPr>
            <w:rStyle w:val="Hipervnculo"/>
            <w:color w:val="auto"/>
          </w:rPr>
          <w:t>Corrección de la Demanda</w:t>
        </w:r>
      </w:hyperlink>
      <w:r w:rsidRPr="002128DA">
        <w:t>, folios 5 a 11</w:t>
      </w:r>
      <w:r w:rsidRPr="002128DA">
        <w:t>.</w:t>
      </w:r>
    </w:p>
  </w:footnote>
  <w:footnote w:id="7">
    <w:p w:rsidR="00B1460E" w:rsidRPr="002128DA" w:rsidRDefault="00EE2FA1" w:rsidP="005640F0">
      <w:pPr>
        <w:pStyle w:val="Textonotapie"/>
        <w:spacing w:line="0" w:lineRule="atLeast"/>
        <w:ind w:right="23"/>
        <w:jc w:val="both"/>
      </w:pPr>
      <w:r w:rsidRPr="002128DA">
        <w:rPr>
          <w:rStyle w:val="Refdenotaalpie"/>
        </w:rPr>
        <w:footnoteRef/>
      </w:r>
      <w:r w:rsidRPr="002128DA">
        <w:t xml:space="preserve"> La demandante señaló que los autores de esas proposiciones fueron los congresistas </w:t>
      </w:r>
      <w:r w:rsidRPr="002128DA">
        <w:rPr>
          <w:bCs/>
          <w:lang w:val="es-ES_tradnl"/>
        </w:rPr>
        <w:t>Elkin Rodolfo Ospina, Ciro Ramírez, Christian Garcés, Jorge Rodrigo Tovar, Mauricio Parodi y Nicolás Echeverry.</w:t>
      </w:r>
    </w:p>
  </w:footnote>
  <w:footnote w:id="8">
    <w:p w:rsidR="00F20490"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t xml:space="preserve">Expediente digital D-15253. </w:t>
      </w:r>
      <w:hyperlink r:id="rId4" w:tgtFrame="blank" w:history="1">
        <w:r w:rsidRPr="002128DA">
          <w:rPr>
            <w:rStyle w:val="Hipervnculo"/>
            <w:color w:val="auto"/>
          </w:rPr>
          <w:t>Auto que Admite, Rechaza la demanda y decreta la práctica de pruebas</w:t>
        </w:r>
      </w:hyperlink>
      <w:r w:rsidRPr="002128DA">
        <w:t>.</w:t>
      </w:r>
    </w:p>
  </w:footnote>
  <w:footnote w:id="9">
    <w:p w:rsidR="008A7177"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t xml:space="preserve">Expediente digital D-15253. </w:t>
      </w:r>
      <w:hyperlink r:id="rId5" w:tgtFrame="blank" w:history="1">
        <w:r w:rsidRPr="002128DA">
          <w:rPr>
            <w:rStyle w:val="Hipervnculo"/>
            <w:color w:val="auto"/>
          </w:rPr>
          <w:t>Auto 14 de agosto de 2023, ordena pruebas</w:t>
        </w:r>
      </w:hyperlink>
      <w:r w:rsidRPr="002128DA">
        <w:rPr>
          <w:lang w:val="es-ES"/>
        </w:rPr>
        <w:t>.</w:t>
      </w:r>
    </w:p>
  </w:footnote>
  <w:footnote w:id="10">
    <w:p w:rsidR="008A7177"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t xml:space="preserve">Expediente digital D-15253. </w:t>
      </w:r>
      <w:hyperlink r:id="rId6" w:tgtFrame="blank" w:history="1">
        <w:r w:rsidRPr="002128DA">
          <w:rPr>
            <w:rStyle w:val="Hipervnculo"/>
            <w:color w:val="auto"/>
          </w:rPr>
          <w:t>Auto del 18 de septiembre de 2023, requiere pruebas</w:t>
        </w:r>
      </w:hyperlink>
      <w:r w:rsidRPr="002128DA">
        <w:rPr>
          <w:lang w:val="es-ES"/>
        </w:rPr>
        <w:t>.</w:t>
      </w:r>
    </w:p>
  </w:footnote>
  <w:footnote w:id="11">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t xml:space="preserve">Expediente digital </w:t>
      </w:r>
      <w:r w:rsidRPr="002128DA">
        <w:t>D-15253.</w:t>
      </w:r>
      <w:r w:rsidRPr="002128DA">
        <w:rPr>
          <w:lang w:val="es-ES"/>
        </w:rPr>
        <w:t xml:space="preserve"> </w:t>
      </w:r>
      <w:hyperlink r:id="rId7" w:tgtFrame="blank" w:history="1">
        <w:r w:rsidRPr="002128DA">
          <w:rPr>
            <w:rStyle w:val="Hipervnculo"/>
            <w:color w:val="auto"/>
          </w:rPr>
          <w:t>Remisión de pruebas - Respuesta al oficio No. OPC-218 de 2023</w:t>
        </w:r>
      </w:hyperlink>
      <w:r w:rsidRPr="002128DA">
        <w:rPr>
          <w:lang w:val="es-ES"/>
        </w:rPr>
        <w:t>.</w:t>
      </w:r>
    </w:p>
  </w:footnote>
  <w:footnote w:id="12">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t>Expediente digital D-15253.</w:t>
      </w:r>
      <w:r w:rsidRPr="002128DA">
        <w:rPr>
          <w:lang w:val="es-ES"/>
        </w:rPr>
        <w:t xml:space="preserve"> </w:t>
      </w:r>
      <w:hyperlink r:id="rId8" w:tgtFrame="blank" w:history="1">
        <w:r w:rsidRPr="002128DA">
          <w:rPr>
            <w:rStyle w:val="Hipervnculo"/>
            <w:color w:val="auto"/>
          </w:rPr>
          <w:t>Remisión de pruebas - Respuesta al oficio No. OPC-100 de 2023</w:t>
        </w:r>
      </w:hyperlink>
      <w:r w:rsidRPr="002128DA">
        <w:rPr>
          <w:lang w:val="es-ES"/>
        </w:rPr>
        <w:t>.</w:t>
      </w:r>
    </w:p>
  </w:footnote>
  <w:footnote w:id="13">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 xml:space="preserve">Expediente digital D-15253. </w:t>
      </w:r>
      <w:hyperlink r:id="rId9" w:tgtFrame="blank" w:history="1">
        <w:r w:rsidRPr="002128DA">
          <w:rPr>
            <w:rStyle w:val="Hipervnculo"/>
            <w:color w:val="auto"/>
          </w:rPr>
          <w:t>Respuesta a oficio OPC-</w:t>
        </w:r>
        <w:r w:rsidRPr="002128DA">
          <w:rPr>
            <w:rStyle w:val="Hipervnculo"/>
            <w:color w:val="auto"/>
          </w:rPr>
          <w:t>101/23 - Ministerio de Hacienda</w:t>
        </w:r>
      </w:hyperlink>
      <w:r w:rsidRPr="002128DA">
        <w:rPr>
          <w:lang w:val="es-ES"/>
        </w:rPr>
        <w:t xml:space="preserve"> y </w:t>
      </w:r>
      <w:hyperlink r:id="rId10" w:tgtFrame="blank" w:history="1">
        <w:r w:rsidRPr="002128DA">
          <w:rPr>
            <w:rStyle w:val="Hipervnculo"/>
            <w:color w:val="auto"/>
          </w:rPr>
          <w:t>Remisión de pruebas - Respuesta al oficio No. OPC-187 de 2023</w:t>
        </w:r>
      </w:hyperlink>
      <w:r w:rsidRPr="002128DA">
        <w:rPr>
          <w:lang w:val="es-ES"/>
        </w:rPr>
        <w:t>.</w:t>
      </w:r>
    </w:p>
  </w:footnote>
  <w:footnote w:id="14">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Expediente digital D-15253.</w:t>
      </w:r>
      <w:r w:rsidRPr="002128DA">
        <w:rPr>
          <w:lang w:val="es-ES"/>
        </w:rPr>
        <w:t xml:space="preserve"> </w:t>
      </w:r>
      <w:hyperlink r:id="rId11" w:tgtFrame="blank" w:history="1">
        <w:r w:rsidRPr="002128DA">
          <w:rPr>
            <w:rStyle w:val="Hipervnculo"/>
            <w:color w:val="auto"/>
          </w:rPr>
          <w:t>Respuesta a oficio N° OPC-188/23 - Senado de la República</w:t>
        </w:r>
      </w:hyperlink>
      <w:r w:rsidRPr="002128DA">
        <w:rPr>
          <w:lang w:val="es-ES"/>
        </w:rPr>
        <w:t>.</w:t>
      </w:r>
    </w:p>
  </w:footnote>
  <w:footnote w:id="15">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 xml:space="preserve">Expediente digital D-15253. </w:t>
      </w:r>
      <w:hyperlink r:id="rId12" w:tgtFrame="blank" w:history="1">
        <w:r w:rsidRPr="002128DA">
          <w:rPr>
            <w:rStyle w:val="Hipervnculo"/>
            <w:color w:val="auto"/>
          </w:rPr>
          <w:t>Remisión de pruebas - Respuesta al oficio No. OPC-187 de 2023</w:t>
        </w:r>
      </w:hyperlink>
      <w:r w:rsidRPr="002128DA">
        <w:rPr>
          <w:lang w:val="es-ES"/>
        </w:rPr>
        <w:t>.</w:t>
      </w:r>
    </w:p>
  </w:footnote>
  <w:footnote w:id="16">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 xml:space="preserve">Expediente digital D-15253. </w:t>
      </w:r>
      <w:hyperlink r:id="rId13" w:tgtFrame="blank" w:history="1">
        <w:r w:rsidRPr="002128DA">
          <w:rPr>
            <w:rStyle w:val="Hipervnculo"/>
            <w:color w:val="auto"/>
          </w:rPr>
          <w:t>Respuesta a oficios OPC-188 - 189 y 21</w:t>
        </w:r>
        <w:r w:rsidRPr="002128DA">
          <w:rPr>
            <w:rStyle w:val="Hipervnculo"/>
            <w:color w:val="auto"/>
          </w:rPr>
          <w:t>8/23 - Cámara de Representantes</w:t>
        </w:r>
      </w:hyperlink>
      <w:r w:rsidRPr="002128DA">
        <w:rPr>
          <w:lang w:val="es-ES"/>
        </w:rPr>
        <w:t>.</w:t>
      </w:r>
    </w:p>
  </w:footnote>
  <w:footnote w:id="17">
    <w:p w:rsidR="00967226"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w:t>
      </w:r>
      <w:r w:rsidRPr="002128DA">
        <w:t xml:space="preserve">. </w:t>
      </w:r>
      <w:hyperlink r:id="rId14" w:tgtFrame="blank" w:history="1">
        <w:r w:rsidRPr="002128DA">
          <w:rPr>
            <w:rStyle w:val="Hipervnculo"/>
            <w:color w:val="auto"/>
          </w:rPr>
          <w:t>Respuesta a oficio OPC-218/23 - Juan Carlos Garces Rojas - Senador -</w:t>
        </w:r>
      </w:hyperlink>
      <w:r w:rsidRPr="002128DA">
        <w:t xml:space="preserve">, </w:t>
      </w:r>
      <w:hyperlink r:id="rId15" w:tgtFrame="blank" w:history="1">
        <w:r w:rsidRPr="002128DA">
          <w:rPr>
            <w:rStyle w:val="Hipervnculo"/>
            <w:color w:val="auto"/>
          </w:rPr>
          <w:t>Respuesta al oficio OPC-218/23 - Katherine Miranda Peña -- Representante a la Cámara</w:t>
        </w:r>
      </w:hyperlink>
      <w:r w:rsidRPr="002128DA">
        <w:t xml:space="preserve">, </w:t>
      </w:r>
      <w:hyperlink r:id="rId16" w:tgtFrame="blank" w:history="1">
        <w:r w:rsidRPr="002128DA">
          <w:rPr>
            <w:rStyle w:val="Hipervnculo"/>
            <w:color w:val="auto"/>
          </w:rPr>
          <w:t>Respuesta a oficio OPC-218/23 - Juan Diego Echavarria Sánchez</w:t>
        </w:r>
      </w:hyperlink>
      <w:r w:rsidRPr="002128DA">
        <w:t xml:space="preserve">, </w:t>
      </w:r>
      <w:hyperlink r:id="rId17" w:tgtFrame="blank" w:history="1">
        <w:r w:rsidRPr="002128DA">
          <w:rPr>
            <w:rStyle w:val="Hipervnculo"/>
            <w:color w:val="auto"/>
          </w:rPr>
          <w:t>Remisión de pruebas - Respuesta al oficio No. OPC-218 de 2023</w:t>
        </w:r>
      </w:hyperlink>
      <w:r w:rsidRPr="002128DA">
        <w:t xml:space="preserve">, </w:t>
      </w:r>
      <w:hyperlink r:id="rId18" w:tgtFrame="blank" w:history="1">
        <w:r w:rsidRPr="002128DA">
          <w:rPr>
            <w:rStyle w:val="Hipervnculo"/>
            <w:color w:val="auto"/>
          </w:rPr>
          <w:t>Remisión de pruebas - Respuesta al oficio No. OPC-218 de 2023</w:t>
        </w:r>
      </w:hyperlink>
      <w:r w:rsidRPr="002128DA">
        <w:t xml:space="preserve">, </w:t>
      </w:r>
      <w:hyperlink r:id="rId19" w:tgtFrame="blank" w:history="1">
        <w:r w:rsidRPr="002128DA">
          <w:rPr>
            <w:rStyle w:val="Hipervnculo"/>
            <w:color w:val="auto"/>
          </w:rPr>
          <w:t>Respu</w:t>
        </w:r>
        <w:r w:rsidRPr="002128DA">
          <w:rPr>
            <w:rStyle w:val="Hipervnculo"/>
            <w:color w:val="auto"/>
          </w:rPr>
          <w:t>esta a oficio OPC-218/23 - Clara López</w:t>
        </w:r>
      </w:hyperlink>
    </w:p>
  </w:footnote>
  <w:footnote w:id="18">
    <w:p w:rsidR="00AE692A"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Representantes a la Cámara Jorge Hernán Bastidas Rosero, Álvaro Henry Monedero Rivera y Katherine Miranda Peña y Senadores Clara Eugenia López Obregón, Juan Carlos Garcés Rojas y Juan Diego Echevarría Sánchez</w:t>
      </w:r>
    </w:p>
  </w:footnote>
  <w:footnote w:id="19">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w:t>
      </w:r>
      <w:r w:rsidRPr="002128DA">
        <w:t xml:space="preserve">tado mediante Auto del 13 de junio del 2023. </w:t>
      </w:r>
      <w:r w:rsidRPr="002128DA">
        <w:rPr>
          <w:lang w:val="es-ES"/>
        </w:rPr>
        <w:t xml:space="preserve">Expediente digital D-15253. </w:t>
      </w:r>
      <w:hyperlink r:id="rId20" w:tgtFrame="blank" w:history="1">
        <w:r w:rsidRPr="002128DA">
          <w:rPr>
            <w:rStyle w:val="Hipervnculo"/>
            <w:color w:val="auto"/>
          </w:rPr>
          <w:t>Intervención Universidad Santo Tomás</w:t>
        </w:r>
      </w:hyperlink>
      <w:r w:rsidRPr="002128DA">
        <w:rPr>
          <w:lang w:val="es-ES"/>
        </w:rPr>
        <w:t xml:space="preserve">. </w:t>
      </w:r>
    </w:p>
  </w:footnote>
  <w:footnote w:id="20">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Interviniente en virtud del Auto del 13 de junio del 2023. </w:t>
      </w:r>
      <w:r w:rsidRPr="002128DA">
        <w:rPr>
          <w:lang w:val="es-ES"/>
        </w:rPr>
        <w:t xml:space="preserve">Expediente digital D-15253. </w:t>
      </w:r>
      <w:hyperlink r:id="rId21" w:tgtFrame="blank" w:history="1">
        <w:r w:rsidRPr="002128DA">
          <w:rPr>
            <w:rStyle w:val="Hipervnculo"/>
            <w:color w:val="auto"/>
          </w:rPr>
          <w:t>Intervención - Ministerio de Hacienda y Crédito Público</w:t>
        </w:r>
      </w:hyperlink>
      <w:r w:rsidRPr="002128DA">
        <w:rPr>
          <w:lang w:val="es-ES"/>
        </w:rPr>
        <w:t>.</w:t>
      </w:r>
    </w:p>
  </w:footnote>
  <w:footnote w:id="21">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Invitado m</w:t>
      </w:r>
      <w:r w:rsidRPr="002128DA">
        <w:t xml:space="preserve">ediante Auto del 13 de junio del 2023. </w:t>
      </w:r>
      <w:r w:rsidRPr="002128DA">
        <w:rPr>
          <w:lang w:val="es-ES"/>
        </w:rPr>
        <w:t xml:space="preserve">Expediente digital D-15253. </w:t>
      </w:r>
      <w:hyperlink r:id="rId22" w:tgtFrame="blank" w:history="1">
        <w:r w:rsidRPr="002128DA">
          <w:rPr>
            <w:rStyle w:val="Hipervnculo"/>
            <w:color w:val="auto"/>
          </w:rPr>
          <w:t>Intervención - Asociación Colombiana de Petróleo y Gas</w:t>
        </w:r>
      </w:hyperlink>
      <w:r w:rsidRPr="002128DA">
        <w:rPr>
          <w:lang w:val="es-ES"/>
        </w:rPr>
        <w:t>.</w:t>
      </w:r>
    </w:p>
  </w:footnote>
  <w:footnote w:id="22">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Invitado mediante Auto del 13 de</w:t>
      </w:r>
      <w:r w:rsidRPr="002128DA">
        <w:t xml:space="preserve"> junio del 2023. </w:t>
      </w:r>
      <w:r w:rsidRPr="002128DA">
        <w:rPr>
          <w:lang w:val="es-ES"/>
        </w:rPr>
        <w:t xml:space="preserve">Expediente digital D-15253. </w:t>
      </w:r>
      <w:hyperlink r:id="rId23" w:tgtFrame="blank" w:history="1">
        <w:r w:rsidRPr="002128DA">
          <w:rPr>
            <w:rStyle w:val="Hipervnculo"/>
            <w:color w:val="auto"/>
          </w:rPr>
          <w:t>Concepto - Instituto Colombiano de Derecho Tributario</w:t>
        </w:r>
      </w:hyperlink>
      <w:r w:rsidRPr="002128DA">
        <w:rPr>
          <w:lang w:val="es-ES"/>
        </w:rPr>
        <w:t>.</w:t>
      </w:r>
    </w:p>
  </w:footnote>
  <w:footnote w:id="23">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Invitado mediante Auto del 13 de junio del 2023. </w:t>
      </w:r>
      <w:r w:rsidRPr="002128DA">
        <w:rPr>
          <w:lang w:val="es-ES"/>
        </w:rPr>
        <w:t>Expedi</w:t>
      </w:r>
      <w:r w:rsidRPr="002128DA">
        <w:rPr>
          <w:lang w:val="es-ES"/>
        </w:rPr>
        <w:t xml:space="preserve">ente digital D-15253. </w:t>
      </w:r>
      <w:hyperlink r:id="rId24" w:tgtFrame="blank" w:history="1">
        <w:r w:rsidRPr="002128DA">
          <w:rPr>
            <w:rStyle w:val="Hipervnculo"/>
            <w:color w:val="auto"/>
          </w:rPr>
          <w:t>Intervención - Asociación Colombiana de Petróleo y Gas</w:t>
        </w:r>
      </w:hyperlink>
      <w:r w:rsidRPr="002128DA">
        <w:rPr>
          <w:lang w:val="es-ES"/>
        </w:rPr>
        <w:t>.</w:t>
      </w:r>
    </w:p>
  </w:footnote>
  <w:footnote w:id="24">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Interviniente en virtud del Auto del 13 de junio del 2023. </w:t>
      </w:r>
      <w:r w:rsidRPr="002128DA">
        <w:rPr>
          <w:lang w:val="es-ES"/>
        </w:rPr>
        <w:t xml:space="preserve">Expediente digital </w:t>
      </w:r>
      <w:r w:rsidRPr="002128DA">
        <w:rPr>
          <w:lang w:val="es-ES"/>
        </w:rPr>
        <w:t xml:space="preserve">D-15253. </w:t>
      </w:r>
      <w:hyperlink r:id="rId25" w:tgtFrame="blank" w:history="1">
        <w:r w:rsidRPr="002128DA">
          <w:rPr>
            <w:rStyle w:val="Hipervnculo"/>
            <w:color w:val="auto"/>
          </w:rPr>
          <w:t>Intervención - Presidencia de la República</w:t>
        </w:r>
      </w:hyperlink>
      <w:r w:rsidRPr="002128DA">
        <w:rPr>
          <w:lang w:val="es-ES"/>
        </w:rPr>
        <w:t>.</w:t>
      </w:r>
    </w:p>
  </w:footnote>
  <w:footnote w:id="25">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Invitado mediante Auto del 13 de junio del 2023. </w:t>
      </w:r>
      <w:r w:rsidRPr="002128DA">
        <w:rPr>
          <w:lang w:val="es-ES"/>
        </w:rPr>
        <w:t xml:space="preserve">Expediente digital D-15253. </w:t>
      </w:r>
      <w:hyperlink r:id="rId26" w:tgtFrame="blank" w:history="1">
        <w:r w:rsidRPr="002128DA">
          <w:rPr>
            <w:rStyle w:val="Hipervnculo"/>
            <w:color w:val="auto"/>
          </w:rPr>
          <w:t>Concepto - D I A N</w:t>
        </w:r>
      </w:hyperlink>
      <w:r w:rsidRPr="002128DA">
        <w:rPr>
          <w:lang w:val="es-ES"/>
        </w:rPr>
        <w:t>.</w:t>
      </w:r>
    </w:p>
  </w:footnote>
  <w:footnote w:id="26">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Interviniente en virtud del Auto del 13 de junio del 2023. </w:t>
      </w:r>
      <w:r w:rsidRPr="002128DA">
        <w:rPr>
          <w:lang w:val="es-ES"/>
        </w:rPr>
        <w:t xml:space="preserve">Expediente digital D-15253. </w:t>
      </w:r>
      <w:hyperlink r:id="rId27" w:tgtFrame="blank" w:history="1">
        <w:r w:rsidRPr="002128DA">
          <w:rPr>
            <w:rStyle w:val="Hipervnculo"/>
            <w:color w:val="auto"/>
          </w:rPr>
          <w:t>Intervención - Ministerio de Hacienda y Crédito Público</w:t>
        </w:r>
      </w:hyperlink>
      <w:r w:rsidRPr="002128DA">
        <w:rPr>
          <w:lang w:val="es-ES"/>
        </w:rPr>
        <w:t>.</w:t>
      </w:r>
    </w:p>
  </w:footnote>
  <w:footnote w:id="27">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w:t>
      </w:r>
      <w:r w:rsidRPr="002128DA">
        <w:t xml:space="preserve">Invitado mediante Auto del 13 de junio del 2023. </w:t>
      </w:r>
      <w:r w:rsidRPr="002128DA">
        <w:rPr>
          <w:lang w:val="es-ES"/>
        </w:rPr>
        <w:t xml:space="preserve">Expediente digital D-15253. </w:t>
      </w:r>
      <w:hyperlink r:id="rId28" w:tgtFrame="blank" w:history="1">
        <w:r w:rsidRPr="002128DA">
          <w:rPr>
            <w:rStyle w:val="Hipervnculo"/>
            <w:color w:val="auto"/>
          </w:rPr>
          <w:t>Intervención - Ministerio de Minas y Energía</w:t>
        </w:r>
      </w:hyperlink>
      <w:r w:rsidRPr="002128DA">
        <w:rPr>
          <w:lang w:val="es-ES"/>
        </w:rPr>
        <w:t>.</w:t>
      </w:r>
    </w:p>
  </w:footnote>
  <w:footnote w:id="28">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Interviniente. Expediente digital D-15253. </w:t>
      </w:r>
      <w:hyperlink r:id="rId29" w:tgtFrame="blank" w:history="1">
        <w:r w:rsidRPr="002128DA">
          <w:rPr>
            <w:rStyle w:val="Hipervnculo"/>
            <w:color w:val="auto"/>
          </w:rPr>
          <w:t>Intervención ciudadana</w:t>
        </w:r>
      </w:hyperlink>
      <w:r w:rsidRPr="002128DA">
        <w:rPr>
          <w:lang w:val="es-ES"/>
        </w:rPr>
        <w:t>.</w:t>
      </w:r>
    </w:p>
  </w:footnote>
  <w:footnote w:id="29">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Interviniente. </w:t>
      </w:r>
      <w:r w:rsidRPr="002128DA">
        <w:rPr>
          <w:lang w:val="es-ES"/>
        </w:rPr>
        <w:t xml:space="preserve">Expediente digital D-15253. </w:t>
      </w:r>
      <w:hyperlink r:id="rId30" w:tgtFrame="blank" w:history="1">
        <w:r w:rsidRPr="002128DA">
          <w:rPr>
            <w:rStyle w:val="Hipervnculo"/>
            <w:color w:val="auto"/>
          </w:rPr>
          <w:t>Intervención ciudadana</w:t>
        </w:r>
      </w:hyperlink>
      <w:r w:rsidRPr="002128DA">
        <w:rPr>
          <w:lang w:val="es-ES"/>
        </w:rPr>
        <w:t>.</w:t>
      </w:r>
    </w:p>
  </w:footnote>
  <w:footnote w:id="30">
    <w:p w:rsidR="0075356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Invitado mediante Auto del 13 de junio del 2023. </w:t>
      </w:r>
      <w:r w:rsidRPr="002128DA">
        <w:rPr>
          <w:lang w:val="es-ES"/>
        </w:rPr>
        <w:t xml:space="preserve">Expediente digital D-15253. </w:t>
      </w:r>
      <w:hyperlink r:id="rId31" w:tgtFrame="blank" w:history="1">
        <w:r w:rsidRPr="002128DA">
          <w:rPr>
            <w:rStyle w:val="Hipervnculo"/>
            <w:color w:val="auto"/>
          </w:rPr>
          <w:t>Concepto - Universidad de los Andes</w:t>
        </w:r>
      </w:hyperlink>
      <w:r w:rsidRPr="002128DA">
        <w:rPr>
          <w:lang w:val="es-ES"/>
        </w:rPr>
        <w:t>.</w:t>
      </w:r>
    </w:p>
  </w:footnote>
  <w:footnote w:id="31">
    <w:p w:rsidR="00766564"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lang w:val="es-ES"/>
        </w:rPr>
        <w:t xml:space="preserve">Expediente digital D-15253. </w:t>
      </w:r>
      <w:hyperlink r:id="rId32" w:tgtFrame="blank" w:history="1">
        <w:r w:rsidRPr="002128DA">
          <w:rPr>
            <w:rStyle w:val="Hipervnculo"/>
            <w:color w:val="auto"/>
          </w:rPr>
          <w:t xml:space="preserve">Concepto - </w:t>
        </w:r>
        <w:r w:rsidRPr="002128DA">
          <w:rPr>
            <w:rStyle w:val="Hipervnculo"/>
            <w:color w:val="auto"/>
          </w:rPr>
          <w:t>Procuradora General de la Nación</w:t>
        </w:r>
      </w:hyperlink>
      <w:r w:rsidRPr="002128DA">
        <w:t xml:space="preserve">, </w:t>
      </w:r>
      <w:r w:rsidRPr="002128DA">
        <w:t>folio 5</w:t>
      </w:r>
      <w:r w:rsidRPr="002128DA">
        <w:rPr>
          <w:lang w:val="es-ES"/>
        </w:rPr>
        <w:t>.</w:t>
      </w:r>
    </w:p>
  </w:footnote>
  <w:footnote w:id="32">
    <w:p w:rsidR="00363C96"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lang w:val="es-ES"/>
        </w:rPr>
        <w:t>Refirió la Sentencia C-878 de 2011, M.</w:t>
      </w:r>
      <w:r w:rsidRPr="002128DA">
        <w:rPr>
          <w:lang w:val="es-ES"/>
        </w:rPr>
        <w:t xml:space="preserve"> </w:t>
      </w:r>
      <w:r w:rsidRPr="002128DA">
        <w:rPr>
          <w:lang w:val="es-ES"/>
        </w:rPr>
        <w:t>P. Juan Carlos Henao.</w:t>
      </w:r>
    </w:p>
  </w:footnote>
  <w:footnote w:id="33">
    <w:p w:rsidR="00C9566B" w:rsidRPr="002128DA" w:rsidRDefault="00EE2FA1" w:rsidP="005640F0">
      <w:pPr>
        <w:pStyle w:val="NormalWeb"/>
        <w:snapToGrid w:val="0"/>
        <w:spacing w:line="0" w:lineRule="atLeast"/>
        <w:ind w:right="23"/>
        <w:jc w:val="both"/>
        <w:rPr>
          <w:sz w:val="20"/>
          <w:szCs w:val="20"/>
        </w:rPr>
      </w:pPr>
      <w:r w:rsidRPr="002128DA">
        <w:rPr>
          <w:rStyle w:val="Refdenotaalpie"/>
          <w:sz w:val="20"/>
          <w:szCs w:val="20"/>
        </w:rPr>
        <w:footnoteRef/>
      </w:r>
      <w:r w:rsidRPr="002128DA">
        <w:rPr>
          <w:sz w:val="20"/>
          <w:szCs w:val="20"/>
        </w:rPr>
        <w:t xml:space="preserve"> La Sala Plena reitera que Por Auto del 13 de junio de 2023, el despacho sustanciador rechazó parcialmente la demanda respecto de los cargos por violación de los artículos 6 y 338 de la Constitución, relacionados en su orden i) con la dependencia de una au</w:t>
      </w:r>
      <w:r w:rsidRPr="002128DA">
        <w:rPr>
          <w:sz w:val="20"/>
          <w:szCs w:val="20"/>
        </w:rPr>
        <w:t>toridad norteamericana y compañías terceras privadas para deflactar los precios internacionales del petróleo BRENT y calcular y certificar el promedio de esos mismos precios y ii) con la violación del principio de reserva de ley tributaria debida a indefin</w:t>
      </w:r>
      <w:r w:rsidRPr="002128DA">
        <w:rPr>
          <w:sz w:val="20"/>
          <w:szCs w:val="20"/>
        </w:rPr>
        <w:t>ición de la tarifa de la sobretasa a cargo de los extractores de crudo.</w:t>
      </w:r>
    </w:p>
  </w:footnote>
  <w:footnote w:id="34">
    <w:p w:rsidR="00FE3FA4"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lang w:val="es-ES"/>
        </w:rPr>
        <w:t>Refirió las Sentencias C-220 de 2017, M. P. José Antonio Cepeda Amaris y C-087 de 2019, M. P. Antonio José Lizarazo Ocampo.</w:t>
      </w:r>
    </w:p>
  </w:footnote>
  <w:footnote w:id="35">
    <w:p w:rsidR="00B546E2"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Expediente digital https://www.corteconstitucional.gov.c</w:t>
      </w:r>
      <w:r w:rsidRPr="002128DA">
        <w:rPr>
          <w:lang w:val="es-ES_tradnl"/>
        </w:rPr>
        <w:t>o/secretaria/archivo.php?id=73149</w:t>
      </w:r>
    </w:p>
  </w:footnote>
  <w:footnote w:id="36">
    <w:p w:rsidR="00C01704"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i/>
          <w:iCs/>
        </w:rPr>
        <w:t>Diario oficial</w:t>
      </w:r>
      <w:r w:rsidRPr="002128DA">
        <w:t xml:space="preserve"> 52.247.</w:t>
      </w:r>
    </w:p>
  </w:footnote>
  <w:footnote w:id="37">
    <w:p w:rsidR="0065617F" w:rsidRPr="002128DA" w:rsidRDefault="00EE2FA1" w:rsidP="005640F0">
      <w:pPr>
        <w:pStyle w:val="Textonotapie"/>
        <w:spacing w:line="0" w:lineRule="atLeast"/>
        <w:ind w:right="23"/>
        <w:jc w:val="both"/>
      </w:pPr>
      <w:r w:rsidRPr="002128DA">
        <w:rPr>
          <w:rStyle w:val="Refdenotaalpie"/>
        </w:rPr>
        <w:footnoteRef/>
      </w:r>
      <w:r w:rsidRPr="002128DA">
        <w:t xml:space="preserve"> Sentencia C-295 de 2021</w:t>
      </w:r>
      <w:r w:rsidRPr="002128DA">
        <w:t xml:space="preserve"> M. P. Jorge Enrique Ibáñez Najar.</w:t>
      </w:r>
    </w:p>
  </w:footnote>
  <w:footnote w:id="38">
    <w:p w:rsidR="0065617F"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shd w:val="clear" w:color="auto" w:fill="FFFFFF"/>
        </w:rPr>
        <w:t>Sentencias C-193 de 2016</w:t>
      </w:r>
      <w:r w:rsidRPr="002128DA">
        <w:rPr>
          <w:shd w:val="clear" w:color="auto" w:fill="FFFFFF"/>
        </w:rPr>
        <w:t xml:space="preserve"> M. P. Luis Ernesto Vargas Silva</w:t>
      </w:r>
      <w:r w:rsidRPr="002128DA">
        <w:rPr>
          <w:shd w:val="clear" w:color="auto" w:fill="FFFFFF"/>
        </w:rPr>
        <w:t>, C-838 de 2013</w:t>
      </w:r>
      <w:r w:rsidRPr="002128DA">
        <w:rPr>
          <w:shd w:val="clear" w:color="auto" w:fill="FFFFFF"/>
        </w:rPr>
        <w:t xml:space="preserve"> M. P. Luis Ernesto Vargas Silva</w:t>
      </w:r>
      <w:r w:rsidRPr="002128DA">
        <w:rPr>
          <w:shd w:val="clear" w:color="auto" w:fill="FFFFFF"/>
        </w:rPr>
        <w:t>, C-468 de 2011</w:t>
      </w:r>
      <w:r w:rsidRPr="002128DA">
        <w:rPr>
          <w:shd w:val="clear" w:color="auto" w:fill="FFFFFF"/>
        </w:rPr>
        <w:t xml:space="preserve"> M. P. María Vict</w:t>
      </w:r>
      <w:r w:rsidRPr="002128DA">
        <w:rPr>
          <w:shd w:val="clear" w:color="auto" w:fill="FFFFFF"/>
        </w:rPr>
        <w:t>oria Calle Correa</w:t>
      </w:r>
      <w:r w:rsidRPr="002128DA">
        <w:rPr>
          <w:shd w:val="clear" w:color="auto" w:fill="FFFFFF"/>
        </w:rPr>
        <w:t>, C-979 de 2010</w:t>
      </w:r>
      <w:r w:rsidRPr="002128DA">
        <w:rPr>
          <w:shd w:val="clear" w:color="auto" w:fill="FFFFFF"/>
        </w:rPr>
        <w:t xml:space="preserve"> M. P. Juan Carlos Henao Pérez</w:t>
      </w:r>
      <w:r w:rsidRPr="002128DA">
        <w:rPr>
          <w:shd w:val="clear" w:color="auto" w:fill="FFFFFF"/>
        </w:rPr>
        <w:t>, C-241 de 2012</w:t>
      </w:r>
      <w:r w:rsidRPr="002128DA">
        <w:rPr>
          <w:shd w:val="clear" w:color="auto" w:fill="FFFFFF"/>
        </w:rPr>
        <w:t xml:space="preserve"> M. P. Luis Ernesto Vargas Silva</w:t>
      </w:r>
      <w:r w:rsidRPr="002128DA">
        <w:rPr>
          <w:shd w:val="clear" w:color="auto" w:fill="FFFFFF"/>
        </w:rPr>
        <w:t>, C-978 de 2010</w:t>
      </w:r>
      <w:r w:rsidRPr="002128DA">
        <w:rPr>
          <w:shd w:val="clear" w:color="auto" w:fill="FFFFFF"/>
        </w:rPr>
        <w:t xml:space="preserve"> M. P. Luis Ernesto Vargas Silva</w:t>
      </w:r>
      <w:r w:rsidRPr="002128DA">
        <w:rPr>
          <w:shd w:val="clear" w:color="auto" w:fill="FFFFFF"/>
        </w:rPr>
        <w:t>, C-774 de 2001</w:t>
      </w:r>
      <w:r w:rsidRPr="002128DA">
        <w:rPr>
          <w:shd w:val="clear" w:color="auto" w:fill="FFFFFF"/>
        </w:rPr>
        <w:t xml:space="preserve"> M. P. </w:t>
      </w:r>
      <w:r w:rsidRPr="002128DA">
        <w:rPr>
          <w:shd w:val="clear" w:color="auto" w:fill="FFFFFF"/>
        </w:rPr>
        <w:t>Rodrigo Escobar Gil</w:t>
      </w:r>
      <w:r w:rsidRPr="002128DA">
        <w:rPr>
          <w:shd w:val="clear" w:color="auto" w:fill="FFFFFF"/>
        </w:rPr>
        <w:t>, entre otras.</w:t>
      </w:r>
    </w:p>
  </w:footnote>
  <w:footnote w:id="39">
    <w:p w:rsidR="0065617F" w:rsidRPr="002128DA" w:rsidRDefault="00EE2FA1" w:rsidP="005640F0">
      <w:pPr>
        <w:pStyle w:val="Textonotapie"/>
        <w:spacing w:line="0" w:lineRule="atLeast"/>
        <w:ind w:right="23"/>
        <w:jc w:val="both"/>
      </w:pPr>
      <w:r w:rsidRPr="002128DA">
        <w:rPr>
          <w:rStyle w:val="Refdenotaalpie"/>
        </w:rPr>
        <w:footnoteRef/>
      </w:r>
      <w:r w:rsidRPr="002128DA">
        <w:t xml:space="preserve"> Sentencias C-310 de 2002</w:t>
      </w:r>
      <w:r w:rsidRPr="002128DA">
        <w:t xml:space="preserve"> M. P. Rodrigo Escobar Gil</w:t>
      </w:r>
      <w:r w:rsidRPr="002128DA">
        <w:t>, C-004 de 2003</w:t>
      </w:r>
      <w:r w:rsidRPr="002128DA">
        <w:t xml:space="preserve"> M. P. Eduardo Montealegre Lynett</w:t>
      </w:r>
      <w:r w:rsidRPr="002128DA">
        <w:t>, C-039 de 2003</w:t>
      </w:r>
      <w:r w:rsidRPr="002128DA">
        <w:t xml:space="preserve"> M. P. Manuel José Cepeda Espinosa</w:t>
      </w:r>
      <w:r w:rsidRPr="002128DA">
        <w:t>, C-1122 de 2004</w:t>
      </w:r>
      <w:r w:rsidRPr="002128DA">
        <w:t xml:space="preserve"> M. P. Álvaro Tafur Galvis</w:t>
      </w:r>
      <w:r w:rsidRPr="002128DA">
        <w:t>, C-469 de 2008</w:t>
      </w:r>
      <w:r w:rsidRPr="002128DA">
        <w:t xml:space="preserve"> M. P. Clara Inés Vargas Hernández</w:t>
      </w:r>
      <w:r w:rsidRPr="002128DA">
        <w:t>, C-600 de 2010</w:t>
      </w:r>
      <w:r w:rsidRPr="002128DA">
        <w:t xml:space="preserve"> M. P. Luis Ernesto Vargas </w:t>
      </w:r>
      <w:r w:rsidRPr="002128DA">
        <w:t>Silva</w:t>
      </w:r>
      <w:r w:rsidRPr="002128DA">
        <w:t>, C-283 de 2011</w:t>
      </w:r>
      <w:r w:rsidRPr="002128DA">
        <w:t xml:space="preserve"> M. P. Jorge Ignacio Pretelt Chaljub</w:t>
      </w:r>
      <w:r w:rsidRPr="002128DA">
        <w:t>, C-254A de 2012</w:t>
      </w:r>
      <w:r w:rsidRPr="002128DA">
        <w:t xml:space="preserve"> M. P. Jorge Ignacio Pretelt Chaljub</w:t>
      </w:r>
      <w:r w:rsidRPr="002128DA">
        <w:t>, C-1017 de 2012</w:t>
      </w:r>
      <w:r w:rsidRPr="002128DA">
        <w:t xml:space="preserve"> M. P. Luis Guillermo Guerrero Pérez</w:t>
      </w:r>
      <w:r w:rsidRPr="002128DA">
        <w:t xml:space="preserve">, C-007 de 2016 </w:t>
      </w:r>
      <w:r w:rsidRPr="002128DA">
        <w:t xml:space="preserve">M. P. Alejandro </w:t>
      </w:r>
      <w:r w:rsidRPr="002128DA">
        <w:t xml:space="preserve">Linares Cantillo </w:t>
      </w:r>
      <w:r w:rsidRPr="002128DA">
        <w:t>y C-133 de 2019</w:t>
      </w:r>
      <w:r w:rsidRPr="002128DA">
        <w:t xml:space="preserve"> MM. PP. José Fernando Reyes Cuartas</w:t>
      </w:r>
      <w:r w:rsidRPr="002128DA">
        <w:t xml:space="preserve"> y Antonio José Lizarazo Ocampo</w:t>
      </w:r>
      <w:r w:rsidRPr="002128DA">
        <w:t>, entre otras.</w:t>
      </w:r>
    </w:p>
  </w:footnote>
  <w:footnote w:id="40">
    <w:p w:rsidR="00B918E0" w:rsidRPr="002128DA" w:rsidRDefault="00EE2FA1" w:rsidP="005640F0">
      <w:pPr>
        <w:pStyle w:val="Textonotapie"/>
        <w:spacing w:line="0" w:lineRule="atLeast"/>
        <w:ind w:right="23"/>
        <w:jc w:val="both"/>
      </w:pPr>
      <w:r w:rsidRPr="002128DA">
        <w:rPr>
          <w:rStyle w:val="Refdenotaalpie"/>
        </w:rPr>
        <w:footnoteRef/>
      </w:r>
      <w:r w:rsidRPr="002128DA">
        <w:t xml:space="preserve"> Sentencia C-334 de 2017</w:t>
      </w:r>
      <w:r w:rsidRPr="002128DA">
        <w:t xml:space="preserve"> M. P. José Antonio Cepeda Amaris</w:t>
      </w:r>
      <w:r w:rsidRPr="002128DA">
        <w:t>.</w:t>
      </w:r>
    </w:p>
  </w:footnote>
  <w:footnote w:id="41">
    <w:p w:rsidR="00B918E0" w:rsidRPr="002128DA" w:rsidRDefault="00EE2FA1" w:rsidP="005640F0">
      <w:pPr>
        <w:pStyle w:val="Textonotapie"/>
        <w:spacing w:line="0" w:lineRule="atLeast"/>
        <w:ind w:right="23"/>
        <w:jc w:val="both"/>
      </w:pPr>
      <w:r w:rsidRPr="002128DA">
        <w:rPr>
          <w:rStyle w:val="Refdenotaalpie"/>
        </w:rPr>
        <w:footnoteRef/>
      </w:r>
      <w:r w:rsidRPr="002128DA">
        <w:t xml:space="preserve"> Sentencia C-185 de 2019</w:t>
      </w:r>
      <w:r w:rsidRPr="002128DA">
        <w:t xml:space="preserve"> M. P. Luis Guillermo Guerrero Pérez</w:t>
      </w:r>
      <w:r w:rsidRPr="002128DA">
        <w:t>.</w:t>
      </w:r>
    </w:p>
  </w:footnote>
  <w:footnote w:id="42">
    <w:p w:rsidR="00B918E0" w:rsidRPr="002128DA" w:rsidRDefault="00EE2FA1" w:rsidP="005640F0">
      <w:pPr>
        <w:pStyle w:val="Textonotapie"/>
        <w:spacing w:line="0" w:lineRule="atLeast"/>
        <w:ind w:right="23"/>
        <w:jc w:val="both"/>
      </w:pPr>
      <w:r w:rsidRPr="002128DA">
        <w:rPr>
          <w:rStyle w:val="Refdenotaalpie"/>
        </w:rPr>
        <w:footnoteRef/>
      </w:r>
      <w:r w:rsidRPr="002128DA">
        <w:t xml:space="preserve"> Sentencia C-247 de 2009</w:t>
      </w:r>
      <w:r w:rsidRPr="002128DA">
        <w:t xml:space="preserve"> M. P. Luis Ernesto Vargas</w:t>
      </w:r>
      <w:r w:rsidRPr="002128DA">
        <w:t xml:space="preserve"> Silva</w:t>
      </w:r>
      <w:r w:rsidRPr="002128DA">
        <w:t>.</w:t>
      </w:r>
    </w:p>
  </w:footnote>
  <w:footnote w:id="43">
    <w:p w:rsidR="00B918E0" w:rsidRPr="002128DA" w:rsidRDefault="00EE2FA1" w:rsidP="005640F0">
      <w:pPr>
        <w:pStyle w:val="Textonotapie"/>
        <w:spacing w:line="0" w:lineRule="atLeast"/>
        <w:ind w:right="23"/>
        <w:jc w:val="both"/>
      </w:pPr>
      <w:r w:rsidRPr="002128DA">
        <w:rPr>
          <w:rStyle w:val="Refdenotaalpie"/>
        </w:rPr>
        <w:footnoteRef/>
      </w:r>
      <w:r w:rsidRPr="002128DA">
        <w:t xml:space="preserve"> Sentencia C-383 de 2019</w:t>
      </w:r>
      <w:r w:rsidRPr="002128DA">
        <w:t xml:space="preserve"> M. P. Alejandro Linares Cantillo</w:t>
      </w:r>
      <w:r w:rsidRPr="002128DA">
        <w:t>.</w:t>
      </w:r>
    </w:p>
  </w:footnote>
  <w:footnote w:id="44">
    <w:p w:rsidR="00A61C75" w:rsidRPr="002128DA" w:rsidRDefault="00EE2FA1" w:rsidP="005640F0">
      <w:pPr>
        <w:pStyle w:val="Textonotapie"/>
        <w:spacing w:line="0" w:lineRule="atLeast"/>
        <w:ind w:right="23"/>
        <w:jc w:val="both"/>
      </w:pPr>
      <w:r w:rsidRPr="002128DA">
        <w:rPr>
          <w:rStyle w:val="Refdenotaalpie"/>
        </w:rPr>
        <w:footnoteRef/>
      </w:r>
      <w:r w:rsidRPr="002128DA">
        <w:t xml:space="preserve"> Sentencia C-774 de 2001</w:t>
      </w:r>
      <w:r w:rsidRPr="002128DA">
        <w:t xml:space="preserve"> </w:t>
      </w:r>
      <w:r w:rsidRPr="002128DA">
        <w:rPr>
          <w:shd w:val="clear" w:color="auto" w:fill="FFFFFF"/>
        </w:rPr>
        <w:t>M. P. Rodrigo Escobar Gil</w:t>
      </w:r>
      <w:r w:rsidRPr="002128DA">
        <w:t>.</w:t>
      </w:r>
    </w:p>
  </w:footnote>
  <w:footnote w:id="45">
    <w:p w:rsidR="00A61C75" w:rsidRPr="002128DA" w:rsidRDefault="00EE2FA1" w:rsidP="005640F0">
      <w:pPr>
        <w:pStyle w:val="Textonotapie"/>
        <w:spacing w:line="0" w:lineRule="atLeast"/>
        <w:ind w:right="23"/>
        <w:jc w:val="both"/>
      </w:pPr>
      <w:r w:rsidRPr="002128DA">
        <w:rPr>
          <w:rStyle w:val="Refdenotaalpie"/>
        </w:rPr>
        <w:footnoteRef/>
      </w:r>
      <w:r w:rsidRPr="002128DA">
        <w:t xml:space="preserve"> Sentencias C-600 de 2010</w:t>
      </w:r>
      <w:r w:rsidRPr="002128DA">
        <w:t xml:space="preserve"> M. P. Luis Ernesto Vargas Silva</w:t>
      </w:r>
      <w:r w:rsidRPr="002128DA">
        <w:t>, C-279 de 2014</w:t>
      </w:r>
      <w:r w:rsidRPr="002128DA">
        <w:t xml:space="preserve"> M. P. María Victoria Calle Correa</w:t>
      </w:r>
      <w:r w:rsidRPr="002128DA">
        <w:t>, C-659 de 2016</w:t>
      </w:r>
      <w:r w:rsidRPr="002128DA">
        <w:t xml:space="preserve"> M. P. Aquile</w:t>
      </w:r>
      <w:r w:rsidRPr="002128DA">
        <w:t>s Arrieta Gómez</w:t>
      </w:r>
      <w:r w:rsidRPr="002128DA">
        <w:t>, C-287 de 2014</w:t>
      </w:r>
      <w:r w:rsidRPr="002128DA">
        <w:t xml:space="preserve"> M. P. Luis Ernesto Vargas Silva</w:t>
      </w:r>
      <w:r w:rsidRPr="002128DA">
        <w:t>, C-774 de 2001</w:t>
      </w:r>
      <w:r w:rsidRPr="002128DA">
        <w:t xml:space="preserve"> </w:t>
      </w:r>
      <w:r w:rsidRPr="002128DA">
        <w:rPr>
          <w:shd w:val="clear" w:color="auto" w:fill="FFFFFF"/>
        </w:rPr>
        <w:t>M. P. Rodrigo Escobar Gil</w:t>
      </w:r>
      <w:r w:rsidRPr="002128DA">
        <w:t>, C-310 de 2002</w:t>
      </w:r>
      <w:r w:rsidRPr="002128DA">
        <w:t xml:space="preserve"> </w:t>
      </w:r>
      <w:r w:rsidRPr="002128DA">
        <w:rPr>
          <w:shd w:val="clear" w:color="auto" w:fill="FFFFFF"/>
        </w:rPr>
        <w:t>M. P. Rodrigo Escobar Gil</w:t>
      </w:r>
      <w:r w:rsidRPr="002128DA">
        <w:t>, C-004 de 2003</w:t>
      </w:r>
      <w:r w:rsidRPr="002128DA">
        <w:t xml:space="preserve"> M. P. Eduardo Montealegre Lynett</w:t>
      </w:r>
      <w:r w:rsidRPr="002128DA">
        <w:t>, C-039 de 2003</w:t>
      </w:r>
      <w:r w:rsidRPr="002128DA">
        <w:t xml:space="preserve"> M. P. Manuel </w:t>
      </w:r>
      <w:r w:rsidRPr="002128DA">
        <w:t>José Cepeda Espinosa</w:t>
      </w:r>
      <w:r w:rsidRPr="002128DA">
        <w:t xml:space="preserve">, C-1122 de </w:t>
      </w:r>
      <w:r w:rsidRPr="002128DA">
        <w:t>2004</w:t>
      </w:r>
      <w:r w:rsidRPr="002128DA">
        <w:t xml:space="preserve"> M. P. Álvaro Tafur Galvis</w:t>
      </w:r>
      <w:r w:rsidRPr="002128DA">
        <w:t xml:space="preserve">, C-469 de 2008 </w:t>
      </w:r>
      <w:r w:rsidRPr="002128DA">
        <w:t xml:space="preserve">M. P. Clara Inés Vargas Hernández </w:t>
      </w:r>
      <w:r w:rsidRPr="002128DA">
        <w:t>y C-621 de 2015</w:t>
      </w:r>
      <w:r w:rsidRPr="002128DA">
        <w:t xml:space="preserve"> M. P. Jorge Ignacio Pretelt Chaljub</w:t>
      </w:r>
      <w:r w:rsidRPr="002128DA">
        <w:t>.</w:t>
      </w:r>
    </w:p>
  </w:footnote>
  <w:footnote w:id="46">
    <w:p w:rsidR="002030D3" w:rsidRPr="002128DA" w:rsidRDefault="00EE2FA1" w:rsidP="005640F0">
      <w:pPr>
        <w:pStyle w:val="Textonotapie"/>
        <w:spacing w:line="0" w:lineRule="atLeast"/>
        <w:ind w:right="23"/>
        <w:jc w:val="both"/>
      </w:pPr>
      <w:r w:rsidRPr="002128DA">
        <w:rPr>
          <w:rStyle w:val="Refdenotaalpie"/>
        </w:rPr>
        <w:footnoteRef/>
      </w:r>
      <w:r w:rsidRPr="002128DA">
        <w:t xml:space="preserve"> MM. PP. Jorge Enrique Ibáñez Najar y Cristina Pardo Schlesinger.</w:t>
      </w:r>
    </w:p>
  </w:footnote>
  <w:footnote w:id="47">
    <w:p w:rsidR="007D5F94" w:rsidRPr="002128DA" w:rsidRDefault="00EE2FA1" w:rsidP="007D5F94">
      <w:pPr>
        <w:pStyle w:val="Textonotapie"/>
        <w:spacing w:line="0" w:lineRule="atLeast"/>
        <w:ind w:right="23"/>
        <w:jc w:val="both"/>
      </w:pPr>
      <w:r w:rsidRPr="002128DA">
        <w:rPr>
          <w:rStyle w:val="Refdenotaalpie"/>
        </w:rPr>
        <w:footnoteRef/>
      </w:r>
      <w:r w:rsidRPr="002128DA">
        <w:t xml:space="preserve"> Corte Constitucional. Comunicado de prensa 03 del 14 y</w:t>
      </w:r>
      <w:r w:rsidRPr="002128DA">
        <w:t xml:space="preserve"> 15 de febrero de 2024, p. 11. </w:t>
      </w:r>
    </w:p>
  </w:footnote>
  <w:footnote w:id="48">
    <w:p w:rsidR="00BF6158" w:rsidRPr="002128DA" w:rsidRDefault="00EE2FA1" w:rsidP="00672BF4">
      <w:pPr>
        <w:pStyle w:val="Prrafodelista"/>
        <w:tabs>
          <w:tab w:val="left" w:pos="426"/>
        </w:tabs>
        <w:spacing w:line="0" w:lineRule="atLeast"/>
        <w:ind w:left="0"/>
        <w:jc w:val="both"/>
        <w:rPr>
          <w:rFonts w:eastAsia="Calibri"/>
          <w:sz w:val="20"/>
          <w:szCs w:val="20"/>
          <w:lang w:eastAsia="es-ES"/>
        </w:rPr>
      </w:pPr>
      <w:r w:rsidRPr="002128DA">
        <w:rPr>
          <w:rStyle w:val="Refdenotaalpie"/>
          <w:sz w:val="20"/>
          <w:szCs w:val="20"/>
        </w:rPr>
        <w:footnoteRef/>
      </w:r>
      <w:r w:rsidRPr="002128DA">
        <w:rPr>
          <w:sz w:val="20"/>
          <w:szCs w:val="20"/>
        </w:rPr>
        <w:t xml:space="preserve"> La Sala Plena precisa que por efectos de la demanda y su subsanación, este cargo solamente se predica de las normas censuradas, sin perjuicio de que el debate pueda recaer respecto de la totalidad del proyecto de ley.</w:t>
      </w:r>
    </w:p>
  </w:footnote>
  <w:footnote w:id="49">
    <w:p w:rsidR="00544456" w:rsidRPr="002128DA" w:rsidRDefault="00EE2FA1" w:rsidP="005640F0">
      <w:pPr>
        <w:pStyle w:val="Textonotapie"/>
        <w:spacing w:line="0" w:lineRule="atLeast"/>
        <w:ind w:right="23"/>
        <w:jc w:val="both"/>
      </w:pPr>
      <w:r w:rsidRPr="002128DA">
        <w:rPr>
          <w:rStyle w:val="Refdenotaalpie"/>
        </w:rPr>
        <w:footnoteRef/>
      </w:r>
      <w:r w:rsidRPr="002128DA">
        <w:t xml:space="preserve"> M.</w:t>
      </w:r>
      <w:r w:rsidRPr="002128DA">
        <w:t xml:space="preserve">P. Gabriel Eduardo Mendoza Martelo. </w:t>
      </w:r>
    </w:p>
  </w:footnote>
  <w:footnote w:id="50">
    <w:p w:rsidR="008B59BB" w:rsidRPr="002128DA" w:rsidRDefault="00EE2FA1" w:rsidP="005640F0">
      <w:pPr>
        <w:pStyle w:val="Textonotapie"/>
        <w:spacing w:line="0" w:lineRule="atLeast"/>
        <w:ind w:right="23"/>
        <w:jc w:val="both"/>
      </w:pPr>
      <w:r w:rsidRPr="002128DA">
        <w:rPr>
          <w:rStyle w:val="Refdenotaalpie"/>
        </w:rPr>
        <w:footnoteRef/>
      </w:r>
      <w:r w:rsidRPr="002128DA">
        <w:t xml:space="preserve"> Sentencia C-168 de 2012 M.P. Gabriel Eduardo Mendoza Martelo. </w:t>
      </w:r>
    </w:p>
  </w:footnote>
  <w:footnote w:id="51">
    <w:p w:rsidR="008B59BB" w:rsidRPr="002128DA" w:rsidRDefault="00EE2FA1" w:rsidP="005640F0">
      <w:pPr>
        <w:pStyle w:val="Textonotapie"/>
        <w:spacing w:line="0" w:lineRule="atLeast"/>
        <w:ind w:right="23"/>
        <w:jc w:val="both"/>
      </w:pPr>
      <w:r w:rsidRPr="002128DA">
        <w:rPr>
          <w:rStyle w:val="Refdenotaalpie"/>
        </w:rPr>
        <w:footnoteRef/>
      </w:r>
      <w:r w:rsidRPr="002128DA">
        <w:t xml:space="preserve"> Ibid.</w:t>
      </w:r>
    </w:p>
  </w:footnote>
  <w:footnote w:id="52">
    <w:p w:rsidR="00522643" w:rsidRPr="002128DA" w:rsidRDefault="00EE2FA1" w:rsidP="005640F0">
      <w:pPr>
        <w:pStyle w:val="Textonotapie"/>
        <w:spacing w:line="0" w:lineRule="atLeast"/>
        <w:ind w:right="23"/>
        <w:jc w:val="both"/>
      </w:pPr>
      <w:r w:rsidRPr="002128DA">
        <w:rPr>
          <w:vertAlign w:val="superscript"/>
        </w:rPr>
        <w:footnoteRef/>
      </w:r>
      <w:r w:rsidRPr="002128DA">
        <w:t xml:space="preserve"> Ley 5ª de 1992, artículo 2º. </w:t>
      </w:r>
    </w:p>
  </w:footnote>
  <w:footnote w:id="53">
    <w:p w:rsidR="00522643" w:rsidRPr="002128DA" w:rsidRDefault="00EE2FA1" w:rsidP="005640F0">
      <w:pPr>
        <w:pStyle w:val="Textonotapie"/>
        <w:spacing w:line="0" w:lineRule="atLeast"/>
        <w:ind w:right="23"/>
        <w:jc w:val="both"/>
      </w:pPr>
      <w:r w:rsidRPr="002128DA">
        <w:rPr>
          <w:rStyle w:val="Refdenotaalpie"/>
        </w:rPr>
        <w:footnoteRef/>
      </w:r>
      <w:r w:rsidRPr="002128DA">
        <w:t xml:space="preserve"> Sentencia C-168 de 2012. Ibid. </w:t>
      </w:r>
    </w:p>
  </w:footnote>
  <w:footnote w:id="54">
    <w:p w:rsidR="00522643" w:rsidRPr="002128DA" w:rsidRDefault="00EE2FA1" w:rsidP="005640F0">
      <w:pPr>
        <w:pStyle w:val="Textonotapie"/>
        <w:spacing w:line="0" w:lineRule="atLeast"/>
        <w:ind w:right="23"/>
        <w:jc w:val="both"/>
      </w:pPr>
      <w:r w:rsidRPr="002128DA">
        <w:rPr>
          <w:rStyle w:val="Refdenotaalpie"/>
        </w:rPr>
        <w:footnoteRef/>
      </w:r>
      <w:r w:rsidRPr="002128DA">
        <w:t xml:space="preserve"> Ibid.</w:t>
      </w:r>
    </w:p>
  </w:footnote>
  <w:footnote w:id="55">
    <w:p w:rsidR="00522643" w:rsidRPr="002128DA" w:rsidRDefault="00EE2FA1" w:rsidP="005640F0">
      <w:pPr>
        <w:pStyle w:val="Textonotapie"/>
        <w:spacing w:line="0" w:lineRule="atLeast"/>
        <w:ind w:right="23"/>
        <w:jc w:val="both"/>
      </w:pPr>
      <w:r w:rsidRPr="002128DA">
        <w:rPr>
          <w:rStyle w:val="Refdenotaalpie"/>
        </w:rPr>
        <w:footnoteRef/>
      </w:r>
      <w:r w:rsidRPr="002128DA">
        <w:t xml:space="preserve"> Ibid.</w:t>
      </w:r>
    </w:p>
  </w:footnote>
  <w:footnote w:id="56">
    <w:p w:rsidR="00522643" w:rsidRPr="002128DA" w:rsidRDefault="00EE2FA1" w:rsidP="005640F0">
      <w:pPr>
        <w:pStyle w:val="Textonotapie"/>
        <w:spacing w:line="0" w:lineRule="atLeast"/>
        <w:ind w:right="23"/>
        <w:jc w:val="both"/>
      </w:pPr>
      <w:r w:rsidRPr="002128DA">
        <w:rPr>
          <w:rStyle w:val="Refdenotaalpie"/>
        </w:rPr>
        <w:footnoteRef/>
      </w:r>
      <w:r w:rsidRPr="002128DA">
        <w:t xml:space="preserve"> Ibid.</w:t>
      </w:r>
    </w:p>
  </w:footnote>
  <w:footnote w:id="57">
    <w:p w:rsidR="00CD06C1" w:rsidRPr="002128DA" w:rsidRDefault="00EE2FA1" w:rsidP="005640F0">
      <w:pPr>
        <w:spacing w:line="0" w:lineRule="atLeast"/>
        <w:ind w:right="23"/>
        <w:jc w:val="both"/>
        <w:rPr>
          <w:sz w:val="20"/>
          <w:szCs w:val="20"/>
        </w:rPr>
      </w:pPr>
      <w:r w:rsidRPr="002128DA">
        <w:rPr>
          <w:b/>
          <w:bCs/>
          <w:sz w:val="20"/>
          <w:szCs w:val="20"/>
          <w:vertAlign w:val="superscript"/>
        </w:rPr>
        <w:footnoteRef/>
      </w:r>
      <w:r w:rsidRPr="002128DA">
        <w:rPr>
          <w:sz w:val="20"/>
          <w:szCs w:val="20"/>
        </w:rPr>
        <w:t>Corte Constitucional, C-222 de 1997, MP: José Gregorio Hernández, donde la Corte examina la constitucionalidad de una modificación introducida a un Acto Legislativo durante el segundo período y precisa las reglas sobre trámite de leyes que son aplicables a</w:t>
      </w:r>
      <w:r w:rsidRPr="002128DA">
        <w:rPr>
          <w:sz w:val="20"/>
          <w:szCs w:val="20"/>
        </w:rPr>
        <w:t xml:space="preserve"> los actos legislativos. </w:t>
      </w:r>
    </w:p>
  </w:footnote>
  <w:footnote w:id="58">
    <w:p w:rsidR="004B794C"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t>Sentencia</w:t>
      </w:r>
      <w:r w:rsidRPr="002128DA">
        <w:t xml:space="preserve"> C-168 de 2012 M.P. Gabriel Eduardo Mendoza Martelo. </w:t>
      </w:r>
    </w:p>
  </w:footnote>
  <w:footnote w:id="59">
    <w:p w:rsidR="00CD06C1" w:rsidRPr="002128DA" w:rsidRDefault="00EE2FA1" w:rsidP="005640F0">
      <w:pPr>
        <w:spacing w:line="0" w:lineRule="atLeast"/>
        <w:ind w:right="23"/>
        <w:jc w:val="both"/>
        <w:rPr>
          <w:sz w:val="20"/>
          <w:szCs w:val="20"/>
        </w:rPr>
      </w:pPr>
      <w:r w:rsidRPr="002128DA">
        <w:rPr>
          <w:b/>
          <w:bCs/>
          <w:sz w:val="20"/>
          <w:szCs w:val="20"/>
          <w:vertAlign w:val="superscript"/>
        </w:rPr>
        <w:footnoteRef/>
      </w:r>
      <w:r w:rsidRPr="002128DA">
        <w:rPr>
          <w:sz w:val="20"/>
          <w:szCs w:val="20"/>
          <w:lang w:val="es-ES_tradnl"/>
        </w:rPr>
        <w:t xml:space="preserve">Artículo 157. </w:t>
      </w:r>
      <w:r w:rsidRPr="002128DA">
        <w:rPr>
          <w:sz w:val="20"/>
          <w:szCs w:val="20"/>
        </w:rPr>
        <w:t xml:space="preserve">Iniciación del debate. La iniciación del primer debate no tendrá lugar antes de la publicación del informe respectivo. </w:t>
      </w:r>
      <w:r w:rsidRPr="002128DA">
        <w:rPr>
          <w:spacing w:val="-2"/>
          <w:sz w:val="20"/>
          <w:szCs w:val="20"/>
        </w:rPr>
        <w:t xml:space="preserve"> ¦ </w:t>
      </w:r>
      <w:r w:rsidRPr="002128DA">
        <w:rPr>
          <w:sz w:val="20"/>
          <w:szCs w:val="20"/>
        </w:rPr>
        <w:t>No será necesario dar lectur</w:t>
      </w:r>
      <w:r w:rsidRPr="002128DA">
        <w:rPr>
          <w:sz w:val="20"/>
          <w:szCs w:val="20"/>
        </w:rPr>
        <w:t xml:space="preserve">a a la ponencia, salvo que así lo disponga, por razones de conveniencia, la Comisión. </w:t>
      </w:r>
      <w:r w:rsidRPr="002128DA">
        <w:rPr>
          <w:spacing w:val="-2"/>
          <w:sz w:val="20"/>
          <w:szCs w:val="20"/>
        </w:rPr>
        <w:t xml:space="preserve">¦ </w:t>
      </w:r>
      <w:r w:rsidRPr="002128DA">
        <w:rPr>
          <w:sz w:val="20"/>
          <w:szCs w:val="20"/>
        </w:rPr>
        <w:t xml:space="preserve">El ponente, en la correspondiente sesión, absolverá las preguntas y dudas que sobre aquélla se le formulen, luego de lo cual comenzará el debate. </w:t>
      </w:r>
      <w:r w:rsidRPr="002128DA">
        <w:rPr>
          <w:spacing w:val="-2"/>
          <w:sz w:val="20"/>
          <w:szCs w:val="20"/>
        </w:rPr>
        <w:t>¦</w:t>
      </w:r>
      <w:r w:rsidRPr="002128DA">
        <w:rPr>
          <w:sz w:val="20"/>
          <w:szCs w:val="20"/>
        </w:rPr>
        <w:t xml:space="preserve"> Si el ponente propon</w:t>
      </w:r>
      <w:r w:rsidRPr="002128DA">
        <w:rPr>
          <w:sz w:val="20"/>
          <w:szCs w:val="20"/>
        </w:rPr>
        <w:t xml:space="preserve">e debatir el proyecto, se procederá en consecuencia sin necesidad de votación del informe. Si se propone archivar o negar el proyecto, se debatirá esta propuesta y se pondrá en votación al cierre del debate. </w:t>
      </w:r>
      <w:r w:rsidRPr="002128DA">
        <w:rPr>
          <w:spacing w:val="-2"/>
          <w:sz w:val="20"/>
          <w:szCs w:val="20"/>
        </w:rPr>
        <w:t>¦</w:t>
      </w:r>
      <w:r w:rsidRPr="002128DA">
        <w:rPr>
          <w:sz w:val="20"/>
          <w:szCs w:val="20"/>
        </w:rPr>
        <w:t xml:space="preserve"> Al debatirse un proyecto, el ponente podrá señ</w:t>
      </w:r>
      <w:r w:rsidRPr="002128DA">
        <w:rPr>
          <w:sz w:val="20"/>
          <w:szCs w:val="20"/>
        </w:rPr>
        <w:t xml:space="preserve">alar los asuntos fundamentales acerca de los cuales conviene que la Comisión decida en primer término. </w:t>
      </w:r>
    </w:p>
  </w:footnote>
  <w:footnote w:id="60">
    <w:p w:rsidR="00CD06C1" w:rsidRPr="002128DA" w:rsidRDefault="00EE2FA1" w:rsidP="005640F0">
      <w:pPr>
        <w:spacing w:line="0" w:lineRule="atLeast"/>
        <w:ind w:right="23"/>
        <w:jc w:val="both"/>
        <w:rPr>
          <w:sz w:val="20"/>
          <w:szCs w:val="20"/>
        </w:rPr>
      </w:pPr>
      <w:r w:rsidRPr="002128DA">
        <w:rPr>
          <w:b/>
          <w:bCs/>
          <w:sz w:val="20"/>
          <w:szCs w:val="20"/>
          <w:vertAlign w:val="superscript"/>
        </w:rPr>
        <w:footnoteRef/>
      </w:r>
      <w:r w:rsidRPr="002128DA">
        <w:rPr>
          <w:spacing w:val="-2"/>
          <w:sz w:val="20"/>
          <w:szCs w:val="20"/>
        </w:rPr>
        <w:t xml:space="preserve"> Ley 5ª de 1992, Artículo 156. Presentación y publicación de la ponencia. El informe será presentado por escrito, en original y dos copias, al secretar</w:t>
      </w:r>
      <w:r w:rsidRPr="002128DA">
        <w:rPr>
          <w:spacing w:val="-2"/>
          <w:sz w:val="20"/>
          <w:szCs w:val="20"/>
        </w:rPr>
        <w:t>io de la Comisión Permanente. Su publicación se hará en la Gaceta del Congreso dentro de los tres (3) días siguientes. ¦</w:t>
      </w:r>
      <w:r w:rsidRPr="002128DA">
        <w:rPr>
          <w:sz w:val="20"/>
          <w:szCs w:val="20"/>
        </w:rPr>
        <w:t xml:space="preserve"> Sin embargo, y para agilizar el trámite del proyecto, el Presidente podrá autorizar la reproducción del documento por cualquier medio m</w:t>
      </w:r>
      <w:r w:rsidRPr="002128DA">
        <w:rPr>
          <w:sz w:val="20"/>
          <w:szCs w:val="20"/>
        </w:rPr>
        <w:t>ecánico, para distribuirlo entre los miembros de la Comisión; ello, sin perjuicio de su posterior y oportuna reproducción en la Gaceta del Congreso.</w:t>
      </w:r>
    </w:p>
  </w:footnote>
  <w:footnote w:id="61">
    <w:p w:rsidR="00CD06C1" w:rsidRPr="002128DA" w:rsidRDefault="00EE2FA1" w:rsidP="005640F0">
      <w:pPr>
        <w:spacing w:line="0" w:lineRule="atLeast"/>
        <w:ind w:right="23"/>
        <w:jc w:val="both"/>
        <w:rPr>
          <w:sz w:val="20"/>
          <w:szCs w:val="20"/>
        </w:rPr>
      </w:pPr>
      <w:r w:rsidRPr="002128DA">
        <w:rPr>
          <w:b/>
          <w:bCs/>
          <w:sz w:val="20"/>
          <w:szCs w:val="20"/>
          <w:vertAlign w:val="superscript"/>
        </w:rPr>
        <w:footnoteRef/>
      </w:r>
      <w:r w:rsidRPr="002128DA">
        <w:rPr>
          <w:sz w:val="20"/>
          <w:szCs w:val="20"/>
        </w:rPr>
        <w:t xml:space="preserve"> Ley 5ª de 1992, Artículo 108. Cierre del debate. Cualquier miembro de la respectiva Corporación podrá pro</w:t>
      </w:r>
      <w:r w:rsidRPr="002128DA">
        <w:rPr>
          <w:sz w:val="20"/>
          <w:szCs w:val="20"/>
        </w:rPr>
        <w:t>poner el cierre del debate por suficiente ilustración, transcurridas tres (3) horas desde su iniciación, aun cuando hubiere oradores inscritos. El Presidente, previa consulta con los miembros de la Mesa Directiva, aceptará o negará la proposición. Su decis</w:t>
      </w:r>
      <w:r w:rsidRPr="002128DA">
        <w:rPr>
          <w:sz w:val="20"/>
          <w:szCs w:val="20"/>
        </w:rPr>
        <w:t xml:space="preserve">ión podrá ser apelada. </w:t>
      </w:r>
      <w:r w:rsidRPr="002128DA">
        <w:rPr>
          <w:spacing w:val="-2"/>
          <w:sz w:val="20"/>
          <w:szCs w:val="20"/>
        </w:rPr>
        <w:t xml:space="preserve">¦ </w:t>
      </w:r>
      <w:r w:rsidRPr="002128DA">
        <w:rPr>
          <w:sz w:val="20"/>
          <w:szCs w:val="20"/>
        </w:rPr>
        <w:t xml:space="preserve">Las intervenciones sobre suspensión o cierre de un debate no podrán exceder de cinco (5) minutos. </w:t>
      </w:r>
    </w:p>
  </w:footnote>
  <w:footnote w:id="62">
    <w:p w:rsidR="00CD06C1" w:rsidRPr="002128DA" w:rsidRDefault="00EE2FA1" w:rsidP="005640F0">
      <w:pPr>
        <w:pStyle w:val="Textonotapie"/>
        <w:spacing w:line="0" w:lineRule="atLeast"/>
        <w:ind w:right="23"/>
        <w:jc w:val="both"/>
      </w:pPr>
      <w:r w:rsidRPr="002128DA">
        <w:rPr>
          <w:b/>
          <w:bCs/>
          <w:vertAlign w:val="superscript"/>
        </w:rPr>
        <w:footnoteRef/>
      </w:r>
      <w:r w:rsidRPr="002128DA">
        <w:t xml:space="preserve"> Ley 5ª de 1992, Artículo 164. Declaración de suficiente ilustración. Discutido un artículo en dos sesiones, la Comisión, a petició</w:t>
      </w:r>
      <w:r w:rsidRPr="002128DA">
        <w:t>n de alguno de sus miembros, podrá decretar la suficiente ilustración, caso en el cual se votará el artículo sin más debate.</w:t>
      </w:r>
    </w:p>
  </w:footnote>
  <w:footnote w:id="63">
    <w:p w:rsidR="00A94869" w:rsidRPr="002128DA" w:rsidRDefault="00EE2FA1" w:rsidP="005640F0">
      <w:pPr>
        <w:pStyle w:val="Textonotapie"/>
        <w:spacing w:line="0" w:lineRule="atLeast"/>
        <w:ind w:right="23"/>
        <w:jc w:val="both"/>
      </w:pPr>
      <w:r w:rsidRPr="002128DA">
        <w:rPr>
          <w:rStyle w:val="Refdenotaalpie"/>
        </w:rPr>
        <w:footnoteRef/>
      </w:r>
      <w:r w:rsidRPr="002128DA">
        <w:t xml:space="preserve"> Sentencia C-168 de 2012 M.P. Gabriel Eduardo Mendoza Martelo. </w:t>
      </w:r>
    </w:p>
  </w:footnote>
  <w:footnote w:id="64">
    <w:p w:rsidR="00A84587" w:rsidRPr="002128DA" w:rsidRDefault="00EE2FA1" w:rsidP="005640F0">
      <w:pPr>
        <w:pStyle w:val="Textonotapie"/>
        <w:spacing w:line="0" w:lineRule="atLeast"/>
        <w:ind w:right="23"/>
        <w:jc w:val="both"/>
      </w:pPr>
      <w:r w:rsidRPr="002128DA">
        <w:rPr>
          <w:rStyle w:val="Refdenotaalpie"/>
        </w:rPr>
        <w:footnoteRef/>
      </w:r>
      <w:r w:rsidRPr="002128DA">
        <w:t xml:space="preserve"> M.P. Alejandro Martínez Caballero. </w:t>
      </w:r>
    </w:p>
  </w:footnote>
  <w:footnote w:id="65">
    <w:p w:rsidR="00CD06C1" w:rsidRPr="002128DA" w:rsidRDefault="00EE2FA1" w:rsidP="005640F0">
      <w:pPr>
        <w:pStyle w:val="Textonotapie"/>
        <w:spacing w:line="0" w:lineRule="atLeast"/>
        <w:ind w:right="23"/>
        <w:jc w:val="both"/>
      </w:pPr>
      <w:r w:rsidRPr="002128DA">
        <w:rPr>
          <w:b/>
          <w:bCs/>
          <w:vertAlign w:val="superscript"/>
        </w:rPr>
        <w:footnoteRef/>
      </w:r>
      <w:r w:rsidRPr="002128DA">
        <w:t xml:space="preserve">Corte Constitucional, </w:t>
      </w:r>
      <w:r w:rsidRPr="002128DA">
        <w:t>Sentencia C-055 de 1995, MP: Alejandro Martínez Caballero, en donde la Corte rechaza un cargo de inconstitucionalidad porque la comisión de conciliación no conformada para superar las discrepancias no aprobó el acta, porque algunos de sus miembros no la su</w:t>
      </w:r>
      <w:r w:rsidRPr="002128DA">
        <w:t>scribieron.</w:t>
      </w:r>
    </w:p>
  </w:footnote>
  <w:footnote w:id="66">
    <w:p w:rsidR="00AE1835"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 xml:space="preserve">Sentencia C-737 de 2001 M.P. Eduardo Montealegre Lynett. </w:t>
      </w:r>
    </w:p>
  </w:footnote>
  <w:footnote w:id="67">
    <w:p w:rsidR="00CD06C1" w:rsidRPr="002128DA" w:rsidRDefault="00EE2FA1" w:rsidP="005640F0">
      <w:pPr>
        <w:pStyle w:val="Textonotapie"/>
        <w:spacing w:line="0" w:lineRule="atLeast"/>
        <w:ind w:right="23"/>
        <w:jc w:val="both"/>
      </w:pPr>
      <w:r w:rsidRPr="002128DA">
        <w:rPr>
          <w:b/>
          <w:bCs/>
          <w:vertAlign w:val="superscript"/>
        </w:rPr>
        <w:footnoteRef/>
      </w:r>
      <w:r w:rsidRPr="002128DA">
        <w:t xml:space="preserve"> Sentencia C-737 de 2001</w:t>
      </w:r>
    </w:p>
  </w:footnote>
  <w:footnote w:id="68">
    <w:p w:rsidR="00AE1835"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Sentencia C-</w:t>
      </w:r>
      <w:r w:rsidRPr="002128DA">
        <w:rPr>
          <w:lang w:val="es-ES_tradnl"/>
        </w:rPr>
        <w:t xml:space="preserve">168 de 2012 M.P. Gabriel Eduardo Mendoza Martelo. </w:t>
      </w:r>
    </w:p>
  </w:footnote>
  <w:footnote w:id="69">
    <w:p w:rsidR="004D2738"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 xml:space="preserve">Ibid. </w:t>
      </w:r>
    </w:p>
  </w:footnote>
  <w:footnote w:id="70">
    <w:p w:rsidR="00A53E31"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C-314 de 2022. M.P. Diana Fajardo Rivera.   </w:t>
      </w:r>
    </w:p>
  </w:footnote>
  <w:footnote w:id="71">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C-826 del 2013.</w:t>
      </w:r>
      <w:r w:rsidRPr="002128DA">
        <w:rPr>
          <w:lang w:val="es-ES"/>
        </w:rPr>
        <w:t xml:space="preserve"> M. P. Luis Ernesto Vargas Silva. </w:t>
      </w:r>
    </w:p>
  </w:footnote>
  <w:footnote w:id="72">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 xml:space="preserve">Ibidem. </w:t>
      </w:r>
    </w:p>
  </w:footnote>
  <w:footnote w:id="73">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C-011 de 2013. M. P. Alexei Julio Estrada. </w:t>
      </w:r>
    </w:p>
  </w:footnote>
  <w:footnote w:id="74">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Ibidem.  </w:t>
      </w:r>
    </w:p>
  </w:footnote>
  <w:footnote w:id="75">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M.P. Jaime Córdoba Triviño. </w:t>
      </w:r>
    </w:p>
  </w:footnote>
  <w:footnote w:id="76">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C-011 de 2013. M.P. Alexei Julio Estrada. </w:t>
      </w:r>
    </w:p>
  </w:footnote>
  <w:footnote w:id="77">
    <w:p w:rsidR="0087581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Ibidem. </w:t>
      </w:r>
    </w:p>
  </w:footnote>
  <w:footnote w:id="78">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Constitución Política. Articulo 157. “Ningún proyecto será ley sin los requisitos siguientes: 1. Haber sido publicado oficialmente por el Congreso, antes de darle curso en la comisión respectiva. 2. Haber sido aprobado en primer debate en la correspondien</w:t>
      </w:r>
      <w:r w:rsidRPr="002128DA">
        <w:rPr>
          <w:sz w:val="20"/>
          <w:szCs w:val="20"/>
          <w:lang w:val="es-ES"/>
        </w:rPr>
        <w:t>te comisión permanente de cada cámara. El reglamento del Congreso determinará los casos en los cuales el primer debate se surtirá en sesión conjunta de las comisiones permanentes de ambas cámaras. 3. Haber sido aprobado en cada cámara en segundo debate. 4.</w:t>
      </w:r>
      <w:r w:rsidRPr="002128DA">
        <w:rPr>
          <w:sz w:val="20"/>
          <w:szCs w:val="20"/>
          <w:lang w:val="es-ES"/>
        </w:rPr>
        <w:t xml:space="preserve"> Haber obtenido la sanción del gobierno. </w:t>
      </w:r>
    </w:p>
  </w:footnote>
  <w:footnote w:id="79">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C-1147 de 2003. M.P. Rodrigo Escobar Gil. </w:t>
      </w:r>
    </w:p>
  </w:footnote>
  <w:footnote w:id="80">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Ibidem. </w:t>
      </w:r>
    </w:p>
  </w:footnote>
  <w:footnote w:id="81">
    <w:p w:rsidR="00601AD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C-1190 de 2001. M. P. Jaime Araujo Rentería. </w:t>
      </w:r>
    </w:p>
  </w:footnote>
  <w:footnote w:id="82">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Ley 5 de 1992. Artículo 169. “Comisiones de ambas Cámaras o de la misma. Las Comisiones Permanentes homólogas de una y otra Cámara sesionarán conjuntamente: 1. Por disposición constitucional. Las Comisiones de asuntos económicos de las dos Cámaras deliber</w:t>
      </w:r>
      <w:r w:rsidRPr="002128DA">
        <w:rPr>
          <w:sz w:val="20"/>
          <w:szCs w:val="20"/>
          <w:lang w:val="es-ES"/>
        </w:rPr>
        <w:t>arán en forma conjunta para dar primer debate al proyecto de Presupuesto de Rentas y Ley de Apropiaciones. Las mismas comisiones elaborarán un informe sobre el Proyecto de Plan Nacional de Desarrollo que será sometido a la discusión y evaluación de las Ple</w:t>
      </w:r>
      <w:r w:rsidRPr="002128DA">
        <w:rPr>
          <w:sz w:val="20"/>
          <w:szCs w:val="20"/>
          <w:lang w:val="es-ES"/>
        </w:rPr>
        <w:t>narias de las Cámaras. 2. Por solicitud gubernamental. Se presenta cuando el Presidente de la República envía un mensaje para trámite de urgencia sobre cualquier proyecto de ley. En este evento se dará primer debate al proyecto, y si la manifestación de ur</w:t>
      </w:r>
      <w:r w:rsidRPr="002128DA">
        <w:rPr>
          <w:sz w:val="20"/>
          <w:szCs w:val="20"/>
          <w:lang w:val="es-ES"/>
        </w:rPr>
        <w:t xml:space="preserve">gencia se repite, el proyecto tendrá prelación en el Orden del Día, excluyendo la consideración de cualquier otro asunto hasta tanto la Comisión decida sobre él”. </w:t>
      </w:r>
    </w:p>
  </w:footnote>
  <w:footnote w:id="83">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Constitución Política. Artículo 346. “(...) Las comisiones de asuntos económicos de las do</w:t>
      </w:r>
      <w:r w:rsidRPr="002128DA">
        <w:rPr>
          <w:sz w:val="20"/>
          <w:szCs w:val="20"/>
          <w:lang w:val="es-ES"/>
        </w:rPr>
        <w:t xml:space="preserve">s cámaras deliberarán en forma conjunta para dar el primer debate al proyecto del presupuesto de rentas y ley de apropiaciones.”  </w:t>
      </w:r>
    </w:p>
  </w:footnote>
  <w:footnote w:id="84">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Constitución Política. Artículo 163. “(...) Si el proyecto de la ley a que se refiere el mensaje de urgencia se encuentra a</w:t>
      </w:r>
      <w:r w:rsidRPr="002128DA">
        <w:rPr>
          <w:sz w:val="20"/>
          <w:szCs w:val="20"/>
          <w:lang w:val="es-ES"/>
        </w:rPr>
        <w:t>l estudio de una comisión permanente, esta, a solicitud del gobierno, deliberará conjuntamente con la correspondiente de la otra cámara para darle primer debate.”</w:t>
      </w:r>
    </w:p>
  </w:footnote>
  <w:footnote w:id="85">
    <w:p w:rsidR="00601AD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Sentencia C-1190 de 2001. M. P. Jaime Araujo Rentería. </w:t>
      </w:r>
    </w:p>
  </w:footnote>
  <w:footnote w:id="86">
    <w:p w:rsidR="00601ADE" w:rsidRPr="002128DA" w:rsidRDefault="00EE2FA1" w:rsidP="005640F0">
      <w:pPr>
        <w:pStyle w:val="Textonotapie"/>
        <w:spacing w:line="0" w:lineRule="atLeast"/>
        <w:ind w:right="23"/>
        <w:jc w:val="both"/>
        <w:rPr>
          <w:lang w:val="es-ES"/>
        </w:rPr>
      </w:pPr>
      <w:r w:rsidRPr="002128DA">
        <w:rPr>
          <w:rStyle w:val="Refdenotaalpie"/>
        </w:rPr>
        <w:footnoteRef/>
      </w:r>
      <w:r w:rsidRPr="002128DA">
        <w:rPr>
          <w:lang w:val="es-ES"/>
        </w:rPr>
        <w:t xml:space="preserve"> Ibidem. </w:t>
      </w:r>
    </w:p>
  </w:footnote>
  <w:footnote w:id="87">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C-1147 de 20</w:t>
      </w:r>
      <w:r w:rsidRPr="002128DA">
        <w:rPr>
          <w:sz w:val="20"/>
          <w:szCs w:val="20"/>
          <w:lang w:val="es-ES"/>
        </w:rPr>
        <w:t xml:space="preserve">03. M.P. Rodrigo Escobar Gil. </w:t>
      </w:r>
    </w:p>
  </w:footnote>
  <w:footnote w:id="88">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C-168 de 2012. M. P. Gabriel Eduardo Mendoza Martelo. </w:t>
      </w:r>
    </w:p>
  </w:footnote>
  <w:footnote w:id="89">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Ley 5 de 1992. Artículo 173. “Votación. En estos casos, concluido el debate, cada Comisión votará por separado.” </w:t>
      </w:r>
    </w:p>
  </w:footnote>
  <w:footnote w:id="90">
    <w:p w:rsidR="0001502E"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Sentencia C-379 de 2016 M.P. Luis Ernesto Vargas Silva. </w:t>
      </w:r>
    </w:p>
  </w:footnote>
  <w:footnote w:id="91">
    <w:p w:rsidR="0001502E"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Ibidem. </w:t>
      </w:r>
    </w:p>
  </w:footnote>
  <w:footnote w:id="92">
    <w:p w:rsidR="00601ADE"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C-157 de 2021. M. P. Alberto Rojas Ríos. </w:t>
      </w:r>
    </w:p>
  </w:footnote>
  <w:footnote w:id="93">
    <w:p w:rsidR="00D60CC5"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C-044 de 2002. M.P. Rodrigo Escobar Gil. </w:t>
      </w:r>
    </w:p>
  </w:footnote>
  <w:footnote w:id="94">
    <w:p w:rsidR="00D60CC5"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Ibidem.</w:t>
      </w:r>
    </w:p>
  </w:footnote>
  <w:footnote w:id="95">
    <w:p w:rsidR="00D60CC5" w:rsidRPr="002128DA" w:rsidRDefault="00EE2FA1" w:rsidP="005640F0">
      <w:pPr>
        <w:spacing w:line="0" w:lineRule="atLeast"/>
        <w:ind w:right="23"/>
        <w:jc w:val="both"/>
        <w:rPr>
          <w:sz w:val="20"/>
          <w:szCs w:val="20"/>
          <w:lang w:val="es-ES"/>
        </w:rPr>
      </w:pPr>
      <w:r w:rsidRPr="002128DA">
        <w:rPr>
          <w:sz w:val="20"/>
          <w:szCs w:val="20"/>
          <w:vertAlign w:val="superscript"/>
        </w:rPr>
        <w:footnoteRef/>
      </w:r>
      <w:r w:rsidRPr="002128DA">
        <w:rPr>
          <w:sz w:val="20"/>
          <w:szCs w:val="20"/>
          <w:lang w:val="es-ES"/>
        </w:rPr>
        <w:t xml:space="preserve"> Sentencia C- 415 de 2020. M.P. José Fernando Reyes Cuartas. </w:t>
      </w:r>
    </w:p>
  </w:footnote>
  <w:footnote w:id="96">
    <w:p w:rsidR="00646C2A"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Tal y</w:t>
      </w:r>
      <w:r w:rsidRPr="002128DA">
        <w:rPr>
          <w:lang w:val="es-ES_tradnl"/>
        </w:rPr>
        <w:t xml:space="preserve"> como se advirtió previamente, el estudio de esta norma no comprende el parágrafo 1º debido a que aquel fue declarado inexequible por la Sentencia C-489 de 2023. </w:t>
      </w:r>
    </w:p>
  </w:footnote>
  <w:footnote w:id="97">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33" w:tgtFrame="blank" w:history="1">
        <w:r w:rsidRPr="002128DA">
          <w:rPr>
            <w:rStyle w:val="Hipervnculo"/>
            <w:color w:val="auto"/>
          </w:rPr>
          <w:t>Respuesta al oficio OPC-098/23 - Cámara de Representantes</w:t>
        </w:r>
      </w:hyperlink>
      <w:r w:rsidRPr="002128DA">
        <w:t>, folio 6.</w:t>
      </w:r>
    </w:p>
  </w:footnote>
  <w:footnote w:id="98">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Ídem.</w:t>
      </w:r>
    </w:p>
  </w:footnote>
  <w:footnote w:id="99">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1199 de 2022, p. 1-92.</w:t>
      </w:r>
    </w:p>
  </w:footnote>
  <w:footnote w:id="100">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1199 de 2022, p. 93-104.</w:t>
      </w:r>
    </w:p>
  </w:footnote>
  <w:footnote w:id="101">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1.</w:t>
      </w:r>
    </w:p>
  </w:footnote>
  <w:footnote w:id="102">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1-2 y 6. </w:t>
      </w:r>
    </w:p>
  </w:footnote>
  <w:footnote w:id="103">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w:t>
      </w:r>
    </w:p>
  </w:footnote>
  <w:footnote w:id="104">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9.</w:t>
      </w:r>
    </w:p>
  </w:footnote>
  <w:footnote w:id="105">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9.</w:t>
      </w:r>
    </w:p>
  </w:footnote>
  <w:footnote w:id="106">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10-24.</w:t>
      </w:r>
    </w:p>
  </w:footnote>
  <w:footnote w:id="107">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24.</w:t>
      </w:r>
    </w:p>
  </w:footnote>
  <w:footnote w:id="108">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24-35.</w:t>
      </w:r>
    </w:p>
  </w:footnote>
  <w:footnote w:id="109">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36.</w:t>
      </w:r>
    </w:p>
  </w:footnote>
  <w:footnote w:id="110">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36.</w:t>
      </w:r>
    </w:p>
  </w:footnote>
  <w:footnote w:id="111">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36.</w:t>
      </w:r>
    </w:p>
  </w:footnote>
  <w:footnote w:id="112">
    <w:p w:rsidR="00F3323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w:t>
      </w:r>
      <w:r w:rsidRPr="002128DA">
        <w:t>36.</w:t>
      </w:r>
    </w:p>
  </w:footnote>
  <w:footnote w:id="113">
    <w:p w:rsidR="00697B86"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34" w:tgtFrame="blank" w:history="1">
        <w:r w:rsidRPr="002128DA">
          <w:rPr>
            <w:rStyle w:val="Hipervnculo"/>
            <w:color w:val="auto"/>
          </w:rPr>
          <w:t>Respuesta al oficio OPC-098/23 - Cámara de Representantes</w:t>
        </w:r>
      </w:hyperlink>
      <w:r w:rsidRPr="002128DA">
        <w:t xml:space="preserve">, folio 11. </w:t>
      </w:r>
      <w:hyperlink r:id="rId35" w:tgtFrame="blank" w:history="1">
        <w:r w:rsidRPr="002128DA">
          <w:rPr>
            <w:rStyle w:val="Hipervnculo"/>
            <w:color w:val="auto"/>
          </w:rPr>
          <w:t>Respuesta al oficio OPC-218/23 - Katherine Miranda Peña -- Representante a la Cámara</w:t>
        </w:r>
      </w:hyperlink>
      <w:r w:rsidRPr="002128DA">
        <w:t>, folio 6.</w:t>
      </w:r>
    </w:p>
  </w:footnote>
  <w:footnote w:id="114">
    <w:p w:rsidR="00503F1D"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M.P. Juan Carlos Cortés González. </w:t>
      </w:r>
    </w:p>
  </w:footnote>
  <w:footnote w:id="115">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Auto 032 de 2012. M.P. Luis Ernesto Vargas Silva. Reiterado en Auto 505 de 2018</w:t>
      </w:r>
      <w:r w:rsidRPr="002128DA">
        <w:rPr>
          <w:lang w:val="es-ES"/>
        </w:rPr>
        <w:t>. M.P. José Fernando Reyes Cuartas</w:t>
      </w:r>
    </w:p>
  </w:footnote>
  <w:footnote w:id="116">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Auto 011 de 2018. M.P. Carlos Bernal Pulido. </w:t>
      </w:r>
    </w:p>
  </w:footnote>
  <w:footnote w:id="117">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t xml:space="preserve"> </w:t>
      </w:r>
      <w:r w:rsidRPr="002128DA">
        <w:rPr>
          <w:lang w:val="es-ES"/>
        </w:rPr>
        <w:t xml:space="preserve">Ibidem. </w:t>
      </w:r>
    </w:p>
  </w:footnote>
  <w:footnote w:id="118">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t xml:space="preserve"> </w:t>
      </w:r>
      <w:r w:rsidRPr="002128DA">
        <w:rPr>
          <w:lang w:val="es-ES"/>
        </w:rPr>
        <w:t xml:space="preserve">Ibidem. </w:t>
      </w:r>
    </w:p>
  </w:footnote>
  <w:footnote w:id="119">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t xml:space="preserve"> </w:t>
      </w:r>
      <w:r w:rsidRPr="002128DA">
        <w:rPr>
          <w:lang w:val="es-ES"/>
        </w:rPr>
        <w:t xml:space="preserve">Ibidem. </w:t>
      </w:r>
    </w:p>
  </w:footnote>
  <w:footnote w:id="120">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t xml:space="preserve"> </w:t>
      </w:r>
      <w:r w:rsidRPr="002128DA">
        <w:rPr>
          <w:lang w:val="es-ES"/>
        </w:rPr>
        <w:t xml:space="preserve">Ibidem. </w:t>
      </w:r>
    </w:p>
  </w:footnote>
  <w:footnote w:id="121">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Ley 5 de 1992. “Artículo 2. Principios de interpretación del reglamento. En la interpretación y aplicación de las normas del presente Reglamento, se tendrán en cuenta los siguientes principios: (…) 2. Corrección formal de los procedimientos. Tiene por obj</w:t>
      </w:r>
      <w:r w:rsidRPr="002128DA">
        <w:rPr>
          <w:lang w:val="es-ES"/>
        </w:rPr>
        <w:t>eto subsanar los vicios de procedimiento que sean corregibles, en el entendido que así se garantiza no sólo la constitucionalidad del proceso de formación de las leyes, sino también los derechos de las mayorías y las minorías y el ordenado adelantamiento d</w:t>
      </w:r>
      <w:r w:rsidRPr="002128DA">
        <w:rPr>
          <w:lang w:val="es-ES"/>
        </w:rPr>
        <w:t>e las discusiones y votaciones.</w:t>
      </w:r>
    </w:p>
  </w:footnote>
  <w:footnote w:id="122">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Auto 653 de 2018. M.P. Luis Guillermo Guerrero Pérez. </w:t>
      </w:r>
    </w:p>
  </w:footnote>
  <w:footnote w:id="123">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Ibidem. </w:t>
      </w:r>
    </w:p>
  </w:footnote>
  <w:footnote w:id="124">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Auto 011 de 2018. M.P. Carlos Bernal Pulido.  </w:t>
      </w:r>
    </w:p>
  </w:footnote>
  <w:footnote w:id="125">
    <w:p w:rsidR="00503F1D" w:rsidRPr="002128DA" w:rsidRDefault="00EE2FA1" w:rsidP="00503F1D">
      <w:pPr>
        <w:pStyle w:val="Textonotapie"/>
        <w:spacing w:line="0" w:lineRule="atLeast"/>
        <w:ind w:right="51"/>
        <w:jc w:val="both"/>
        <w:rPr>
          <w:lang w:val="es-ES"/>
        </w:rPr>
      </w:pPr>
      <w:r w:rsidRPr="002128DA">
        <w:rPr>
          <w:rStyle w:val="Refdenotaalpie"/>
        </w:rPr>
        <w:footnoteRef/>
      </w:r>
      <w:r w:rsidRPr="002128DA">
        <w:rPr>
          <w:lang w:val="es-ES"/>
        </w:rPr>
        <w:t xml:space="preserve"> Ibidem. </w:t>
      </w:r>
    </w:p>
  </w:footnote>
  <w:footnote w:id="126">
    <w:p w:rsidR="00503F1D" w:rsidRPr="002128DA" w:rsidRDefault="00EE2FA1" w:rsidP="00503F1D">
      <w:pPr>
        <w:pStyle w:val="Textonotapie"/>
        <w:spacing w:line="0" w:lineRule="atLeast"/>
        <w:ind w:right="51"/>
        <w:jc w:val="both"/>
      </w:pPr>
      <w:r w:rsidRPr="002128DA">
        <w:rPr>
          <w:rStyle w:val="Refdenotaalpie"/>
        </w:rPr>
        <w:footnoteRef/>
      </w:r>
      <w:r w:rsidRPr="002128DA">
        <w:t xml:space="preserve"> Auto 031 de 2012. Citado en el Auto 011 de 2018 M.P. Carlos Bernal Pulido. </w:t>
      </w:r>
    </w:p>
  </w:footnote>
  <w:footnote w:id="127">
    <w:p w:rsidR="007E61D3" w:rsidRPr="002128DA" w:rsidRDefault="00EE2FA1" w:rsidP="005640F0">
      <w:pPr>
        <w:pStyle w:val="Textonotapie"/>
        <w:spacing w:line="0" w:lineRule="atLeast"/>
        <w:ind w:right="23"/>
        <w:jc w:val="both"/>
      </w:pPr>
      <w:r w:rsidRPr="002128DA">
        <w:rPr>
          <w:rStyle w:val="Refdenotaalpie"/>
        </w:rPr>
        <w:footnoteRef/>
      </w:r>
      <w:r w:rsidRPr="002128DA">
        <w:t xml:space="preserve"> Gaceta del Congr</w:t>
      </w:r>
      <w:r w:rsidRPr="002128DA">
        <w:t>eso 1616 de 2022, p. 36.</w:t>
      </w:r>
    </w:p>
  </w:footnote>
  <w:footnote w:id="128">
    <w:p w:rsidR="000A3882"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37.</w:t>
      </w:r>
    </w:p>
  </w:footnote>
  <w:footnote w:id="129">
    <w:p w:rsidR="000A3882"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37.</w:t>
      </w:r>
    </w:p>
  </w:footnote>
  <w:footnote w:id="130">
    <w:p w:rsidR="000A3882"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38.</w:t>
      </w:r>
    </w:p>
  </w:footnote>
  <w:footnote w:id="131">
    <w:p w:rsidR="00B51993" w:rsidRPr="002128DA" w:rsidRDefault="00EE2FA1" w:rsidP="005640F0">
      <w:pPr>
        <w:pStyle w:val="Textonotapie"/>
        <w:ind w:right="23"/>
        <w:jc w:val="both"/>
      </w:pPr>
      <w:r w:rsidRPr="002128DA">
        <w:rPr>
          <w:rStyle w:val="Refdenotaalpie"/>
          <w:rFonts w:eastAsiaTheme="majorEastAsia"/>
        </w:rPr>
        <w:footnoteRef/>
      </w:r>
      <w:r w:rsidRPr="002128DA">
        <w:t xml:space="preserve"> El Ministerio de Hacienda indicó lo siguiente: “Para el Ministerio, el concepto de violación no es específico, toda vez que se torna demasiado genérico para demostrar la inconstitucionalidad de los artículos demandados (artículo 10 y 19), pues, se insiste</w:t>
      </w:r>
      <w:r w:rsidRPr="002128DA">
        <w:t>, en varios apartes de la demanda se mencionan cuestiones simplemente subjetivas sin sustento constitucional ni legal. Es decir, el cargo de inexequibilidad propuesto, más que un problema de constitucionalidad revela el simple desacuerdo del demandante con</w:t>
      </w:r>
      <w:r w:rsidRPr="002128DA">
        <w:t xml:space="preserve"> dejar las proposiciones como constancia para segundo debate y someter la votación del articulado en bloque, lo que desconoce los requisitos de pertinencia y suficiencia. (….) Por tanto, no le asiste razón a la demandante cuando señala que se excluyeron de</w:t>
      </w:r>
      <w:r w:rsidRPr="002128DA">
        <w:t xml:space="preserve"> la votación las proposiciones de los artículos 9 y 12, pues se puede observar que estas proposiciones no fueron excluidas, sino que, por el contrario, sí se tramitaron dentro del segundo debate (sesión del 2 de noviembre de 2022, Gaceta 137 del 9 de marzo</w:t>
      </w:r>
      <w:r w:rsidRPr="002128DA">
        <w:t xml:space="preserve"> de 2023). Se insiste en la falta de claridad y sustento, pues la demandante además de afirmar que las proposiciones fueron excluidas, alega que esta exclusión se realizó sin el consentimiento del autor de la proposición y obedeció a que no contaban con el</w:t>
      </w:r>
      <w:r w:rsidRPr="002128DA">
        <w:t xml:space="preserve"> aval del Gobierno, argumento, que como se señaló, carece de pertinencia y suficiencia.” Intervención del Ministerio de Hacienda y Crédito Público. p, 36 y 37.</w:t>
      </w:r>
    </w:p>
  </w:footnote>
  <w:footnote w:id="132">
    <w:p w:rsidR="00334333" w:rsidRPr="002128DA" w:rsidRDefault="00EE2FA1" w:rsidP="005640F0">
      <w:pPr>
        <w:pStyle w:val="Textonotapie"/>
        <w:spacing w:line="0" w:lineRule="atLeast"/>
        <w:ind w:right="23"/>
        <w:jc w:val="both"/>
      </w:pPr>
      <w:r w:rsidRPr="002128DA">
        <w:rPr>
          <w:rStyle w:val="Refdenotaalpie"/>
        </w:rPr>
        <w:footnoteRef/>
      </w:r>
      <w:r w:rsidRPr="002128DA">
        <w:t xml:space="preserve"> La demandante señaló que los autores de esas proposiciones fueron los congresistas </w:t>
      </w:r>
      <w:r w:rsidRPr="002128DA">
        <w:rPr>
          <w:bCs/>
          <w:lang w:val="es-ES_tradnl"/>
        </w:rPr>
        <w:t>Elkin Rodol</w:t>
      </w:r>
      <w:r w:rsidRPr="002128DA">
        <w:rPr>
          <w:bCs/>
          <w:lang w:val="es-ES_tradnl"/>
        </w:rPr>
        <w:t>fo Ospina, Ciro Ramírez, Christian Garcés, Jorge Rodrigo Tovar, Mauricio Parodi y Nicolás Echeverry.</w:t>
      </w:r>
    </w:p>
  </w:footnote>
  <w:footnote w:id="133">
    <w:p w:rsidR="00BF6158"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Al respecto, la Sentencia C-080 de 2023 M.P. Jorge Enrique Ibáñez Najar, entre otras. </w:t>
      </w:r>
    </w:p>
  </w:footnote>
  <w:footnote w:id="134">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L. 5ª de 1992, art. 111.</w:t>
      </w:r>
    </w:p>
  </w:footnote>
  <w:footnote w:id="135">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Sentencias C-1041 de 2005 MM. PP. Manuel José Cepeda Espinosa, Rodrigo Escobar Gil, Marco Gerardo Monroy Cabra, Humberto Antonio Sierra Porto, Álvaro Tafur Galvis y Clara Inés Vargas Hernández; y C-801 de 2003 </w:t>
      </w:r>
      <w:r w:rsidRPr="002128DA">
        <w:rPr>
          <w:lang w:val="es-ES"/>
        </w:rPr>
        <w:t>M. P. Jaime Córdoba Triviño.</w:t>
      </w:r>
    </w:p>
  </w:footnote>
  <w:footnote w:id="136">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 C-10</w:t>
      </w:r>
      <w:r w:rsidRPr="002128DA">
        <w:t>40 de 2005 MM. PP. Manuel José Cepeda Espinosa, Rodrigo Escobar Gil, Marco Gerardo Monroy Cabra, Humberto Antonio Sierra Porto, Álvaro Tafur Galvis y Clara Inés Vargas Hernández.</w:t>
      </w:r>
    </w:p>
  </w:footnote>
  <w:footnote w:id="137">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 C-1040 de 2005 MM. PP. Manuel José Cepeda Espinosa, Rodrigo Escob</w:t>
      </w:r>
      <w:r w:rsidRPr="002128DA">
        <w:t>ar Gil, Marco Gerardo Monroy Cabra, Humberto Antonio Sierra Porto, Álvaro Tafur Galvis y Clara Inés Vargas Hernández.</w:t>
      </w:r>
    </w:p>
  </w:footnote>
  <w:footnote w:id="138">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M. P. Gabriel Eduardo Mendoza Martelo.</w:t>
      </w:r>
    </w:p>
  </w:footnote>
  <w:footnote w:id="139">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 C-168 de 2012 M. P. Gabriel Eduardo Mendoza Martelo, consideración 6.1.7.</w:t>
      </w:r>
    </w:p>
  </w:footnote>
  <w:footnote w:id="140">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w:t>
      </w:r>
      <w:r w:rsidRPr="002128DA">
        <w:t xml:space="preserve"> C-168 de 2012 M. P. Gabriel Eduardo Mendoza Martelo, consideración 6.1.7.</w:t>
      </w:r>
    </w:p>
  </w:footnote>
  <w:footnote w:id="141">
    <w:p w:rsidR="000E7427" w:rsidRPr="002128DA" w:rsidRDefault="00EE2FA1" w:rsidP="005640F0">
      <w:pPr>
        <w:pStyle w:val="Textonotapie"/>
        <w:spacing w:line="0" w:lineRule="atLeast"/>
        <w:ind w:right="23"/>
        <w:jc w:val="both"/>
      </w:pPr>
      <w:r w:rsidRPr="002128DA">
        <w:rPr>
          <w:rStyle w:val="Refdenotaalpie"/>
        </w:rPr>
        <w:footnoteRef/>
      </w:r>
      <w:r w:rsidRPr="002128DA">
        <w:t xml:space="preserve"> Sentencia C-168 de 2012 M.P. Gabriel Eduardo Mendoza Martelo. </w:t>
      </w:r>
    </w:p>
  </w:footnote>
  <w:footnote w:id="142">
    <w:p w:rsidR="00217655" w:rsidRPr="002128DA" w:rsidRDefault="00EE2FA1" w:rsidP="005640F0">
      <w:pPr>
        <w:pStyle w:val="Textonotapie"/>
        <w:spacing w:line="0" w:lineRule="atLeast"/>
        <w:ind w:right="23"/>
        <w:jc w:val="both"/>
      </w:pPr>
      <w:r w:rsidRPr="002128DA">
        <w:rPr>
          <w:rStyle w:val="Refdenotaalpie"/>
        </w:rPr>
        <w:footnoteRef/>
      </w:r>
      <w:r w:rsidRPr="002128DA">
        <w:t xml:space="preserve"> Sentencia C-080 de 2018 M. P. Antonio José Lizarazo Ocampo.</w:t>
      </w:r>
    </w:p>
  </w:footnote>
  <w:footnote w:id="143">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Sentencia C-032 de 2021 M. P. Gloria Stella Ortiz De</w:t>
      </w:r>
      <w:r w:rsidRPr="002128DA">
        <w:rPr>
          <w:lang w:val="es-ES"/>
        </w:rPr>
        <w:t>lgado.</w:t>
      </w:r>
    </w:p>
  </w:footnote>
  <w:footnote w:id="144">
    <w:p w:rsidR="00DB018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Sentencia C-786 de 2012 M. P. Luis Ernesto Vargas Silva.</w:t>
      </w:r>
      <w:r w:rsidRPr="002128DA">
        <w:rPr>
          <w:lang w:val="es-ES"/>
        </w:rPr>
        <w:t xml:space="preserve"> Al respecto, la Corte refiere que el artículo 113 de la Ley 5ª de 1992 fue modificado recientemente por el artículo 4º de la Ley 2390 de 2024 </w:t>
      </w:r>
      <w:r w:rsidRPr="002128DA">
        <w:t>en el sentido de que “de no estar presente [el a</w:t>
      </w:r>
      <w:r w:rsidRPr="002128DA">
        <w:t>utor de la proposición] no se someterá a discusión ni votación”. Dicha normativa está vigente desde el 2</w:t>
      </w:r>
      <w:r w:rsidRPr="002128DA">
        <w:t>6</w:t>
      </w:r>
      <w:r w:rsidRPr="002128DA">
        <w:t xml:space="preserve"> de julio de 2024. </w:t>
      </w:r>
    </w:p>
  </w:footnote>
  <w:footnote w:id="145">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MM. PP. Manuel José Cepeda Espinosa, Rodrigo Escobar Gil, Marco Gerardo Monroy Cabra, Humberto Antonio Sierra Porto, Álvaro Tafur</w:t>
      </w:r>
      <w:r w:rsidRPr="002128DA">
        <w:t xml:space="preserve"> Galvis y Clara Inés Vargas Hernández.</w:t>
      </w:r>
    </w:p>
  </w:footnote>
  <w:footnote w:id="146">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Sentencia C-1040 de 2005 MM. PP. Manuel José Cepeda Espinosa, Rodrigo Escobar Gil, Marco Gerardo Monroy Cabra, Humberto Antonio Sierra Porto, Álvaro Tafur Galvis y Clara Inés Vargas Hernández.</w:t>
      </w:r>
    </w:p>
  </w:footnote>
  <w:footnote w:id="147">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Sentencia C-1040 de 2005 MM. PP. Manuel José Cepeda Espinosa, Rodrigo Escobar Gil, Marco Gerardo Monroy Cabra, Humberto Antonio Sierra Porto, Álvaro Tafur Galvis y Clara Inés Vargas Hernández.</w:t>
      </w:r>
    </w:p>
  </w:footnote>
  <w:footnote w:id="148">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Sentencia C-1040 de 2005 MM. PP. Manuel José Cepeda Espinosa</w:t>
      </w:r>
      <w:r w:rsidRPr="002128DA">
        <w:t>, Rodrigo Escobar Gil, Marco Gerardo Monroy Cabra, Humberto Antonio Sierra Porto, Álvaro Tafur Galvis y Clara Inés Vargas Hernández.</w:t>
      </w:r>
    </w:p>
  </w:footnote>
  <w:footnote w:id="149">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M.P. María Victoria Calle Correa.</w:t>
      </w:r>
    </w:p>
  </w:footnote>
  <w:footnote w:id="150">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Sentencia C-044 de 2017 M.P. María Victoria Calle Correa.</w:t>
      </w:r>
    </w:p>
  </w:footnote>
  <w:footnote w:id="151">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 xml:space="preserve">Páginas 28, 31, 35, 36 y </w:t>
      </w:r>
      <w:r w:rsidRPr="002128DA">
        <w:rPr>
          <w:lang w:val="es-ES"/>
        </w:rPr>
        <w:t xml:space="preserve">46 </w:t>
      </w:r>
    </w:p>
  </w:footnote>
  <w:footnote w:id="152">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59-60.</w:t>
      </w:r>
    </w:p>
  </w:footnote>
  <w:footnote w:id="153">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Ibidem</w:t>
      </w:r>
    </w:p>
  </w:footnote>
  <w:footnote w:id="154">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lang w:val="es-ES"/>
        </w:rPr>
        <w:t>Gaceta del Congreso 1616 de 2022, p. 61.</w:t>
      </w:r>
    </w:p>
  </w:footnote>
  <w:footnote w:id="155">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62.</w:t>
      </w:r>
    </w:p>
  </w:footnote>
  <w:footnote w:id="156">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72.</w:t>
      </w:r>
    </w:p>
  </w:footnote>
  <w:footnote w:id="157">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73.</w:t>
      </w:r>
    </w:p>
  </w:footnote>
  <w:footnote w:id="158">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73.</w:t>
      </w:r>
    </w:p>
  </w:footnote>
  <w:footnote w:id="159">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73.</w:t>
      </w:r>
    </w:p>
  </w:footnote>
  <w:footnote w:id="160">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73.</w:t>
      </w:r>
    </w:p>
  </w:footnote>
  <w:footnote w:id="161">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74.</w:t>
      </w:r>
    </w:p>
  </w:footnote>
  <w:footnote w:id="162">
    <w:p w:rsidR="003919D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74.</w:t>
      </w:r>
    </w:p>
  </w:footnote>
  <w:footnote w:id="163">
    <w:p w:rsidR="003919D4" w:rsidRPr="002128DA" w:rsidRDefault="00EE2FA1" w:rsidP="005640F0">
      <w:pPr>
        <w:pStyle w:val="Textonotapie"/>
        <w:spacing w:line="0" w:lineRule="atLeast"/>
        <w:ind w:right="23"/>
        <w:jc w:val="both"/>
      </w:pPr>
      <w:r w:rsidRPr="002128DA">
        <w:rPr>
          <w:rStyle w:val="Refdenotaalpie"/>
        </w:rPr>
        <w:footnoteRef/>
      </w:r>
      <w:r w:rsidRPr="002128DA">
        <w:t xml:space="preserve"> L. 5ª de 1992, art. 2.1.</w:t>
      </w:r>
    </w:p>
  </w:footnote>
  <w:footnote w:id="164">
    <w:p w:rsidR="005E057C" w:rsidRPr="002128DA" w:rsidRDefault="00EE2FA1" w:rsidP="005640F0">
      <w:pPr>
        <w:pStyle w:val="Textonotapie"/>
        <w:spacing w:line="0" w:lineRule="atLeast"/>
        <w:ind w:right="23"/>
        <w:jc w:val="both"/>
      </w:pPr>
      <w:r w:rsidRPr="002128DA">
        <w:rPr>
          <w:rStyle w:val="Refdenotaalpie"/>
        </w:rPr>
        <w:footnoteRef/>
      </w:r>
      <w:r w:rsidRPr="002128DA">
        <w:t xml:space="preserve"> Corrección de</w:t>
      </w:r>
      <w:r w:rsidRPr="002128DA">
        <w:t xml:space="preserve"> la demanda. Expediente digita https://www.corteconstitucional.gov.co/secretaria/archivo.php?id=57270</w:t>
      </w:r>
    </w:p>
  </w:footnote>
  <w:footnote w:id="165">
    <w:p w:rsidR="00433D5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Sentencia C-044 de 2015 M. P. María Victoria Calle Correa.</w:t>
      </w:r>
    </w:p>
  </w:footnote>
  <w:footnote w:id="166">
    <w:p w:rsidR="00433D5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Sentencia </w:t>
      </w:r>
      <w:r w:rsidRPr="002128DA">
        <w:rPr>
          <w:lang w:val="es-ES"/>
        </w:rPr>
        <w:t>C-155 de 1998 M. P. Vladimiro Naranjo Mesa</w:t>
      </w:r>
    </w:p>
  </w:footnote>
  <w:footnote w:id="167">
    <w:p w:rsidR="00433D54"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w:t>
      </w:r>
      <w:r w:rsidRPr="002128DA">
        <w:rPr>
          <w:lang w:val="es-ES"/>
        </w:rPr>
        <w:t>Sentencia C-044 de 2015. M. P. María</w:t>
      </w:r>
      <w:r w:rsidRPr="002128DA">
        <w:rPr>
          <w:lang w:val="es-ES"/>
        </w:rPr>
        <w:t xml:space="preserve"> Victoria Calle Correa.</w:t>
      </w:r>
    </w:p>
  </w:footnote>
  <w:footnote w:id="168">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37-38.</w:t>
      </w:r>
    </w:p>
  </w:footnote>
  <w:footnote w:id="169">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38-43.</w:t>
      </w:r>
    </w:p>
  </w:footnote>
  <w:footnote w:id="170">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43-48.</w:t>
      </w:r>
    </w:p>
  </w:footnote>
  <w:footnote w:id="171">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49.</w:t>
      </w:r>
    </w:p>
  </w:footnote>
  <w:footnote w:id="172">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55-56.</w:t>
      </w:r>
    </w:p>
  </w:footnote>
  <w:footnote w:id="173">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56.</w:t>
      </w:r>
    </w:p>
  </w:footnote>
  <w:footnote w:id="174">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56.</w:t>
      </w:r>
    </w:p>
  </w:footnote>
  <w:footnote w:id="175">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57.</w:t>
      </w:r>
    </w:p>
  </w:footnote>
  <w:footnote w:id="176">
    <w:p w:rsidR="00247CDC" w:rsidRPr="002128DA" w:rsidRDefault="00EE2FA1" w:rsidP="005640F0">
      <w:pPr>
        <w:pStyle w:val="Textonotapie"/>
        <w:spacing w:line="0" w:lineRule="atLeast"/>
        <w:ind w:right="23"/>
        <w:jc w:val="both"/>
      </w:pPr>
      <w:r w:rsidRPr="002128DA">
        <w:rPr>
          <w:rStyle w:val="Refdenotaalpie"/>
        </w:rPr>
        <w:footnoteRef/>
      </w:r>
      <w:r w:rsidRPr="002128DA">
        <w:t xml:space="preserve"> Gaceta del Congreso 1616 de 2022, p. 57.</w:t>
      </w:r>
    </w:p>
  </w:footnote>
  <w:footnote w:id="177">
    <w:p w:rsidR="00247CDC"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57.</w:t>
      </w:r>
    </w:p>
  </w:footnote>
  <w:footnote w:id="178">
    <w:p w:rsidR="00247CDC"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58.</w:t>
      </w:r>
    </w:p>
  </w:footnote>
  <w:footnote w:id="179">
    <w:p w:rsidR="00247CDC" w:rsidRPr="002128DA" w:rsidRDefault="00EE2FA1" w:rsidP="005640F0">
      <w:pPr>
        <w:pStyle w:val="Textonotapie"/>
        <w:spacing w:line="0" w:lineRule="atLeast"/>
        <w:ind w:right="23"/>
        <w:jc w:val="both"/>
        <w:rPr>
          <w:lang w:val="es-ES"/>
        </w:rPr>
      </w:pPr>
      <w:r w:rsidRPr="002128DA">
        <w:rPr>
          <w:rStyle w:val="Refdenotaalpie"/>
        </w:rPr>
        <w:footnoteRef/>
      </w:r>
      <w:r w:rsidRPr="002128DA">
        <w:t xml:space="preserve"> Gaceta del Congreso 1616 de 2022, p. 58.</w:t>
      </w:r>
    </w:p>
  </w:footnote>
  <w:footnote w:id="180">
    <w:p w:rsidR="00FF45A4" w:rsidRPr="002128DA" w:rsidRDefault="00EE2FA1" w:rsidP="00FF45A4">
      <w:pPr>
        <w:pStyle w:val="Textonotapie"/>
      </w:pPr>
      <w:r w:rsidRPr="002128DA">
        <w:rPr>
          <w:rStyle w:val="Refdenotaalpie"/>
        </w:rPr>
        <w:footnoteRef/>
      </w:r>
      <w:r w:rsidRPr="002128DA">
        <w:t xml:space="preserve"> Gaceta del Congreso 1616 del 9 de diciembre de 2022. Páginas 63, 64.</w:t>
      </w:r>
    </w:p>
  </w:footnote>
  <w:footnote w:id="181">
    <w:p w:rsidR="00FF45A4" w:rsidRPr="002128DA" w:rsidRDefault="00EE2FA1" w:rsidP="00FF45A4">
      <w:pPr>
        <w:pStyle w:val="Textonotapie"/>
        <w:jc w:val="both"/>
      </w:pPr>
      <w:r w:rsidRPr="002128DA">
        <w:rPr>
          <w:rStyle w:val="Refdenotaalpie"/>
        </w:rPr>
        <w:footnoteRef/>
      </w:r>
      <w:r w:rsidRPr="002128DA">
        <w:t xml:space="preserve"> Gaceta del Congreso 1616 del 9 de diciembre de 2022. Página 67. En sus palabras: “Yo le quiero pedir a usted Presidenta, ya la pedí, votaci</w:t>
      </w:r>
      <w:r w:rsidRPr="002128DA">
        <w:t>ón en bloque separada, artículo por artículo, pero quiero solicitarles que el artículo 2º, el 2º artículo de pensiones, uno de los temas que más se nos están aquí mirando, votémoslo independiente el 2. Si no nos van a permitir que se voten independientemen</w:t>
      </w:r>
      <w:r w:rsidRPr="002128DA">
        <w:t>te todos, que es la solicitud que yo hago, por lo menos el 2. Esa sería un poco mi solicitud frente a la votación del artículo de pensiones, que creo que es uno de los que más preocupación genera. Gracias Presidenta.”</w:t>
      </w:r>
    </w:p>
  </w:footnote>
  <w:footnote w:id="182">
    <w:p w:rsidR="00FF45A4" w:rsidRPr="002128DA" w:rsidRDefault="00EE2FA1" w:rsidP="00FF45A4">
      <w:pPr>
        <w:pStyle w:val="Textonotapie"/>
        <w:jc w:val="both"/>
      </w:pPr>
      <w:r w:rsidRPr="002128DA">
        <w:rPr>
          <w:rStyle w:val="Refdenotaalpie"/>
        </w:rPr>
        <w:footnoteRef/>
      </w:r>
      <w:r w:rsidRPr="002128DA">
        <w:t xml:space="preserve"> Gaceta del Congreso 1616 del 9 de di</w:t>
      </w:r>
      <w:r w:rsidRPr="002128DA">
        <w:t>ciembre de 2022. Página 64. En sus palabras: “Presidenta gracias. Presentamos unas proposiciones en algunos artículos de este bloque que se va a votar a continuación, que no fueron aún tenidas en cuenta que vamos a dejar como constancia para segundo debate</w:t>
      </w:r>
      <w:r w:rsidRPr="002128DA">
        <w:t>, pero por ello queremos también dejar constancia en el acta que nuestro voto será negativo para el artículo 2º, 9º, 13; artículos 29 al 34; 43, 44, 57 y 58. Gracias Presidenta”.</w:t>
      </w:r>
    </w:p>
  </w:footnote>
  <w:footnote w:id="183">
    <w:p w:rsidR="00FF45A4" w:rsidRPr="002128DA" w:rsidRDefault="00EE2FA1" w:rsidP="00FF45A4">
      <w:pPr>
        <w:pStyle w:val="Textonotapie"/>
      </w:pPr>
      <w:r w:rsidRPr="002128DA">
        <w:rPr>
          <w:rStyle w:val="Refdenotaalpie"/>
        </w:rPr>
        <w:footnoteRef/>
      </w:r>
      <w:r w:rsidRPr="002128DA">
        <w:t xml:space="preserve"> Gaceta del Congreso 1616 del 9 de diciembre de 2022. Página 73. Los senadores Mauricio Gómez y Karina Espinosa también votaron a favor de la aprobación del referido bloque de artículos. </w:t>
      </w:r>
    </w:p>
  </w:footnote>
  <w:footnote w:id="184">
    <w:p w:rsidR="006122FA" w:rsidRPr="002128DA" w:rsidRDefault="00EE2FA1">
      <w:pPr>
        <w:pStyle w:val="Textonotapie"/>
      </w:pPr>
      <w:r w:rsidRPr="002128DA">
        <w:rPr>
          <w:rStyle w:val="Refdenotaalpie"/>
        </w:rPr>
        <w:footnoteRef/>
      </w:r>
      <w:r w:rsidRPr="002128DA">
        <w:t xml:space="preserve"> Al respecto, ver la corrección de la demanda, </w:t>
      </w:r>
      <w:r w:rsidRPr="002128DA">
        <w:t>págs.</w:t>
      </w:r>
      <w:r w:rsidRPr="002128DA">
        <w:t xml:space="preserve">. 30, 31 y 33. </w:t>
      </w:r>
    </w:p>
  </w:footnote>
  <w:footnote w:id="185">
    <w:p w:rsidR="00207930" w:rsidRPr="002128DA" w:rsidRDefault="00EE2FA1" w:rsidP="00207930">
      <w:pPr>
        <w:pStyle w:val="Textonotapie"/>
        <w:jc w:val="both"/>
      </w:pPr>
      <w:r w:rsidRPr="002128DA">
        <w:rPr>
          <w:rStyle w:val="Refdenotaalpie"/>
        </w:rPr>
        <w:footnoteRef/>
      </w:r>
      <w:r w:rsidRPr="002128DA">
        <w:t xml:space="preserve"> Recientemente en Sentencia C-337 de 2024 M.P. Juan Carlos Cortés González, la Corte expresó: “Previo al estudio de fondo de la demanda, la Sala Plena estimó necesario hacer un análisis sobre la aptitud de la misma, dado que existía una duda sobre el </w:t>
      </w:r>
      <w:r w:rsidRPr="002128DA">
        <w:t>cumplimiento de las condiciones argumentativas necesarias que dieran lugar a un pronunciamiento de mérito. Al respecto, reiteró que dicha verificación se hace por el despacho sustanciador en la etapa de admisión del proceso y que también la puede real</w:t>
      </w:r>
      <w:r w:rsidRPr="002128DA">
        <w:t>izar la Sala Plena al momento de proferir fallo, ya sea porque uno de los intervinientes o la Procuraduría General de la Nación así lo hayan planteado, o bien sea de oficio. En efecto, recalcó que no son solo las intervenciones las que habilitan a la C</w:t>
      </w:r>
      <w:r w:rsidRPr="002128DA">
        <w:t xml:space="preserve">orte Constitucional a pronunciarse respecto de la aptitud de la demanda, pues la Sala Plena detenta en todos los casos esa atribución, en cuanto es precisamente la autoridad llamada a proferir el respectivo fallo, y porque la evaluación sobre la aptitud </w:t>
      </w:r>
      <w:r w:rsidRPr="002128DA">
        <w:t xml:space="preserve">de la demanda está implícita en la competencia del juez constitucional para decidir el juicio.” Comunicado de prensa 36 del 13 de agosto de 2024. </w:t>
      </w:r>
    </w:p>
  </w:footnote>
  <w:footnote w:id="186">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C-304 de 2019 M. P. Luis Guillermo Guerrero Pérez.</w:t>
      </w:r>
    </w:p>
  </w:footnote>
  <w:footnote w:id="187">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C-527 de 1996 M. P. Jorge Arango</w:t>
      </w:r>
      <w:r w:rsidRPr="002128DA">
        <w:t xml:space="preserve"> Mejía.</w:t>
      </w:r>
    </w:p>
  </w:footnote>
  <w:footnote w:id="188">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C-527 de 1996 M. P. Jorge Arango Mejía, sección b. 1).</w:t>
      </w:r>
    </w:p>
  </w:footnote>
  <w:footnote w:id="189">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C-549 de 1993 M. P. Vladimiro Naranjo Mesa, sección 3.2.</w:t>
      </w:r>
    </w:p>
  </w:footnote>
  <w:footnote w:id="190">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C-304 de 2019 M. P. Luis Guillermo Guerrero Pérez. En esta providencia se refirió dicho principio co</w:t>
      </w:r>
      <w:r w:rsidRPr="002128DA">
        <w:t>mo parámetro para evaluar la constitucionalidad de la modificación y eliminación de beneficios tributarios.</w:t>
      </w:r>
    </w:p>
  </w:footnote>
  <w:footnote w:id="191">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C-304 de 2019 M. P. Luis Guillermo Guerrero Pérez.</w:t>
      </w:r>
    </w:p>
  </w:footnote>
  <w:footnote w:id="192">
    <w:p w:rsidR="00A32EE0" w:rsidRPr="002128DA" w:rsidRDefault="00EE2FA1" w:rsidP="00A32EE0">
      <w:pPr>
        <w:pStyle w:val="Textonotapie"/>
        <w:spacing w:line="0" w:lineRule="atLeast"/>
        <w:ind w:right="23"/>
        <w:jc w:val="both"/>
      </w:pPr>
      <w:r w:rsidRPr="002128DA">
        <w:rPr>
          <w:rStyle w:val="Refdenotaalpie"/>
        </w:rPr>
        <w:footnoteRef/>
      </w:r>
      <w:r w:rsidRPr="002128DA">
        <w:t xml:space="preserve"> José Luis Shaw, “La aplicación de la norma tributaria en el tiempo, la retroactividad y la ultraactividad. En: El Tributo y su aplicación. Perspectiva para el siglo XXI. César García Novoa y Catalina Hoyos Jiménez (Coordinadores). Madrid, Marcial Pons, 20</w:t>
      </w:r>
      <w:r w:rsidRPr="002128DA">
        <w:t>08, p.883. Citado en la Sentencia C-635 de 2011 M. P. Jorge Iván Palacio Palacio.</w:t>
      </w:r>
    </w:p>
  </w:footnote>
  <w:footnote w:id="193">
    <w:p w:rsidR="00A32EE0" w:rsidRPr="002128DA" w:rsidRDefault="00EE2FA1" w:rsidP="00A32EE0">
      <w:pPr>
        <w:pStyle w:val="Textonotapie"/>
        <w:spacing w:line="0" w:lineRule="atLeast"/>
        <w:ind w:right="23"/>
        <w:jc w:val="both"/>
      </w:pPr>
      <w:r w:rsidRPr="002128DA">
        <w:rPr>
          <w:rStyle w:val="Refdenotaalpie"/>
        </w:rPr>
        <w:footnoteRef/>
      </w:r>
      <w:r w:rsidRPr="002128DA">
        <w:t xml:space="preserve"> Sentencia C-785 de 2012 M. P. Jorge Iván Palacio Palacio.</w:t>
      </w:r>
    </w:p>
  </w:footnote>
  <w:footnote w:id="194">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C-549 de 1993 M. P. Vladimiro Naranjo Mesa. En esta providencia también se consideró que la existencia</w:t>
      </w:r>
      <w:r w:rsidRPr="002128DA">
        <w:t xml:space="preserve"> del principio de irretroactividad era una exigencia del orden público.</w:t>
      </w:r>
    </w:p>
  </w:footnote>
  <w:footnote w:id="195">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C-527 de 1996 M. P. Jorge Arango Mejía.</w:t>
      </w:r>
    </w:p>
  </w:footnote>
  <w:footnote w:id="196">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C-878 de 2011 M. P. Juan Carlos Henao Pérez.</w:t>
      </w:r>
    </w:p>
  </w:footnote>
  <w:footnote w:id="197">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Sentencia C-635 de 2011 M. P. Jorge Iván Palacio Palacio.</w:t>
      </w:r>
    </w:p>
  </w:footnote>
  <w:footnote w:id="198">
    <w:p w:rsidR="00720D33" w:rsidRPr="002128DA" w:rsidRDefault="00EE2FA1" w:rsidP="00720D33">
      <w:pPr>
        <w:pStyle w:val="Textonotapie"/>
      </w:pPr>
      <w:r w:rsidRPr="002128DA">
        <w:rPr>
          <w:rStyle w:val="Refdenotaalpie"/>
          <w:rFonts w:eastAsiaTheme="majorEastAsia"/>
        </w:rPr>
        <w:footnoteRef/>
      </w:r>
      <w:r w:rsidRPr="002128DA">
        <w:t xml:space="preserve"> Entre otras, </w:t>
      </w:r>
      <w:r w:rsidRPr="002128DA">
        <w:t>las sentencias C-185 de 1997, C-878 de 2011, C-785 de 2012 y C-235 de 2019.</w:t>
      </w:r>
    </w:p>
  </w:footnote>
  <w:footnote w:id="199">
    <w:p w:rsidR="00340A81" w:rsidRPr="002128DA" w:rsidRDefault="00EE2FA1" w:rsidP="005640F0">
      <w:pPr>
        <w:pStyle w:val="Textonotapie"/>
        <w:spacing w:line="0" w:lineRule="atLeast"/>
        <w:ind w:right="23"/>
        <w:jc w:val="both"/>
      </w:pPr>
      <w:r w:rsidRPr="002128DA">
        <w:rPr>
          <w:rStyle w:val="Refdenotaalpie"/>
        </w:rPr>
        <w:footnoteRef/>
      </w:r>
      <w:r w:rsidRPr="002128DA">
        <w:t xml:space="preserve"> M. P. Luis Guillermo Guerrero Pérez.</w:t>
      </w:r>
    </w:p>
  </w:footnote>
  <w:footnote w:id="200">
    <w:p w:rsidR="002A378C"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36" w:tgtFrame="blank" w:history="1">
        <w:r w:rsidRPr="002128DA">
          <w:rPr>
            <w:rStyle w:val="Hipervnculo"/>
            <w:color w:val="auto"/>
          </w:rPr>
          <w:t>Auto que Admi</w:t>
        </w:r>
        <w:r w:rsidRPr="002128DA">
          <w:rPr>
            <w:rStyle w:val="Hipervnculo"/>
            <w:color w:val="auto"/>
          </w:rPr>
          <w:t>te, Rechaza la demanda y decreta la práctica de pruebas</w:t>
        </w:r>
      </w:hyperlink>
      <w:r w:rsidRPr="002128DA">
        <w:t>, folio 14.</w:t>
      </w:r>
    </w:p>
  </w:footnote>
  <w:footnote w:id="201">
    <w:p w:rsidR="002A378C"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37" w:tgtFrame="blank" w:history="1">
        <w:r w:rsidRPr="002128DA">
          <w:rPr>
            <w:rStyle w:val="Hipervnculo"/>
            <w:color w:val="auto"/>
          </w:rPr>
          <w:t xml:space="preserve">Auto que Admite, Rechaza la demanda y decreta la práctica de </w:t>
        </w:r>
        <w:r w:rsidRPr="002128DA">
          <w:rPr>
            <w:rStyle w:val="Hipervnculo"/>
            <w:color w:val="auto"/>
          </w:rPr>
          <w:t>pruebas</w:t>
        </w:r>
      </w:hyperlink>
      <w:r w:rsidRPr="002128DA">
        <w:t>, folio 14.</w:t>
      </w:r>
    </w:p>
  </w:footnote>
  <w:footnote w:id="202">
    <w:p w:rsidR="002A378C"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hyperlink r:id="rId38" w:tgtFrame="blank" w:history="1">
        <w:r w:rsidRPr="002128DA">
          <w:rPr>
            <w:rStyle w:val="Hipervnculo"/>
            <w:color w:val="auto"/>
          </w:rPr>
          <w:t>Auto que Admite, Rechaza la demanda y decreta la práctica de pruebas</w:t>
        </w:r>
      </w:hyperlink>
      <w:r w:rsidRPr="002128DA">
        <w:t>, folio 14.</w:t>
      </w:r>
    </w:p>
  </w:footnote>
  <w:footnote w:id="203">
    <w:p w:rsidR="003A094B" w:rsidRPr="002128DA" w:rsidRDefault="00EE2FA1" w:rsidP="005640F0">
      <w:pPr>
        <w:pStyle w:val="Textonotapie"/>
        <w:spacing w:line="0" w:lineRule="atLeast"/>
        <w:ind w:right="23"/>
        <w:jc w:val="both"/>
      </w:pPr>
      <w:r w:rsidRPr="002128DA">
        <w:rPr>
          <w:rStyle w:val="Refdenotaalpie"/>
        </w:rPr>
        <w:footnoteRef/>
      </w:r>
      <w:r w:rsidRPr="002128DA">
        <w:t xml:space="preserve"> M.P. Antonio José Lizarazo </w:t>
      </w:r>
      <w:r w:rsidRPr="002128DA">
        <w:t xml:space="preserve">Ocampo. </w:t>
      </w:r>
    </w:p>
  </w:footnote>
  <w:footnote w:id="204">
    <w:p w:rsidR="004E00B9" w:rsidRPr="002128DA" w:rsidRDefault="00EE2FA1" w:rsidP="005640F0">
      <w:pPr>
        <w:pStyle w:val="Textonotapie"/>
        <w:spacing w:line="0" w:lineRule="atLeast"/>
        <w:ind w:right="23"/>
        <w:jc w:val="both"/>
      </w:pPr>
      <w:r w:rsidRPr="002128DA">
        <w:rPr>
          <w:rStyle w:val="Refdenotaalpie"/>
        </w:rPr>
        <w:footnoteRef/>
      </w:r>
      <w:r w:rsidRPr="002128DA">
        <w:t xml:space="preserve"> Sentencia C-036 de 2024 M.P. Antonio José Lizarazo Ocampo. Comunicado de prensa 03 del 14 y 15 de febrero de 2024. </w:t>
      </w:r>
    </w:p>
  </w:footnote>
  <w:footnote w:id="205">
    <w:p w:rsidR="00174EFC" w:rsidRPr="002128DA" w:rsidRDefault="00EE2FA1" w:rsidP="005640F0">
      <w:pPr>
        <w:pStyle w:val="Textonotapie"/>
        <w:spacing w:line="0" w:lineRule="atLeast"/>
        <w:ind w:right="23"/>
        <w:jc w:val="both"/>
      </w:pPr>
      <w:r w:rsidRPr="002128DA">
        <w:rPr>
          <w:rStyle w:val="Refdenotaalpie"/>
        </w:rPr>
        <w:footnoteRef/>
      </w:r>
      <w:r w:rsidRPr="002128DA">
        <w:t xml:space="preserve"> Ibidem. </w:t>
      </w:r>
    </w:p>
  </w:footnote>
  <w:footnote w:id="206">
    <w:p w:rsidR="004F4EB9" w:rsidRPr="002128DA" w:rsidRDefault="00EE2FA1" w:rsidP="005640F0">
      <w:pPr>
        <w:pStyle w:val="Textonotapie"/>
        <w:spacing w:line="0" w:lineRule="atLeast"/>
        <w:ind w:right="23"/>
        <w:jc w:val="both"/>
      </w:pPr>
      <w:r w:rsidRPr="002128DA">
        <w:rPr>
          <w:rStyle w:val="Refdenotaalpie"/>
        </w:rPr>
        <w:footnoteRef/>
      </w:r>
      <w:r w:rsidRPr="002128DA">
        <w:t xml:space="preserve"> M.P. Antonio José Lizarazo Ocampo. </w:t>
      </w:r>
    </w:p>
  </w:footnote>
  <w:footnote w:id="207">
    <w:p w:rsidR="00905771"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Al respecto, ver la corrección de la demanda, </w:t>
      </w:r>
      <w:r w:rsidRPr="002128DA">
        <w:rPr>
          <w:lang w:val="es-ES_tradnl"/>
        </w:rPr>
        <w:t>págs.</w:t>
      </w:r>
      <w:r w:rsidRPr="002128DA">
        <w:rPr>
          <w:lang w:val="es-ES_tradnl"/>
        </w:rPr>
        <w:t xml:space="preserve"> 35, 36, 39, 41, 42, 44 y 46. </w:t>
      </w:r>
    </w:p>
  </w:footnote>
  <w:footnote w:id="208">
    <w:p w:rsidR="00207930" w:rsidRPr="002128DA" w:rsidRDefault="00EE2FA1" w:rsidP="00207930">
      <w:pPr>
        <w:pStyle w:val="Textonotapie"/>
        <w:jc w:val="both"/>
      </w:pPr>
      <w:r w:rsidRPr="002128DA">
        <w:rPr>
          <w:rStyle w:val="Refdenotaalpie"/>
        </w:rPr>
        <w:footnoteRef/>
      </w:r>
      <w:r w:rsidRPr="002128DA">
        <w:t xml:space="preserve"> Recientemente en Sentencia C-337 de 2024 M.P. Juan Carlos Cortés González, la Corte expresó: “Previo al estudio de fondo de la demanda, la Sala Plena estimó necesario hacer un análisis sobre la aptitud de la misma, dado q</w:t>
      </w:r>
      <w:r w:rsidRPr="002128DA">
        <w:t>ue existía una duda sobre el cumplimiento de las condiciones argumentativas necesarias que dieran lugar a un pronunciamiento de mérito. Al respecto, reiteró que dicha verificación se hace por el despacho sustanciador en la etapa de admisión del proces</w:t>
      </w:r>
      <w:r w:rsidRPr="002128DA">
        <w:t>o y que también la puede realizar la Sala Plena al momento de proferir fallo, ya sea porque uno de los intervinientes o la Procuraduría General de la Nación así lo hayan planteado, o bien sea de oficio. En efecto, recalcó que no son solo las intervenc</w:t>
      </w:r>
      <w:r w:rsidRPr="002128DA">
        <w:t>iones las que habilitan a la Corte Constitucional a pronunciarse respecto de la aptitud de la demanda, pues la Sala Plena detenta en todos los casos esa atribución, en cuanto es precisamente la autoridad llamada a proferir el respectivo fallo, y porque la</w:t>
      </w:r>
      <w:r w:rsidRPr="002128DA">
        <w:t xml:space="preserve"> evaluación sobre la aptitud de la demanda está implícita en la competencia del juez constitucional para decidir el juicio.” Comunicado de prensa 36 del 13 de agosto de 2024.</w:t>
      </w:r>
    </w:p>
  </w:footnote>
  <w:footnote w:id="209">
    <w:p w:rsidR="00207930" w:rsidRPr="002128DA" w:rsidRDefault="00EE2FA1" w:rsidP="00207930">
      <w:pPr>
        <w:pStyle w:val="Textonotapie"/>
        <w:jc w:val="both"/>
      </w:pPr>
      <w:r w:rsidRPr="002128DA">
        <w:rPr>
          <w:rStyle w:val="Refdenotaalpie"/>
        </w:rPr>
        <w:footnoteRef/>
      </w:r>
      <w:r w:rsidRPr="002128DA">
        <w:t xml:space="preserve"> La intervinientes expresó lo siguiente: “</w:t>
      </w:r>
      <w:r w:rsidRPr="002128DA">
        <w:rPr>
          <w:lang w:val="es-MX"/>
        </w:rPr>
        <w:t>Los sujetos señalados por la demand</w:t>
      </w:r>
      <w:r w:rsidRPr="002128DA">
        <w:rPr>
          <w:lang w:val="es-MX"/>
        </w:rPr>
        <w:t>ante (los que tienen como actividad económica la explotación de petróleo y los demás grupos de contribuyentes) no resultan comparables y por ello el legislador dispuso un trato diferente pero razonable dada la capacidad contributiva, realidad económica y t</w:t>
      </w:r>
      <w:r w:rsidRPr="002128DA">
        <w:rPr>
          <w:lang w:val="es-MX"/>
        </w:rPr>
        <w:t xml:space="preserve">ributaria de los primeros.” Documento de intervención pág. </w:t>
      </w:r>
      <w:r w:rsidRPr="002128DA">
        <w:rPr>
          <w:lang w:val="es-MX"/>
        </w:rPr>
        <w:t xml:space="preserve">21. </w:t>
      </w:r>
    </w:p>
  </w:footnote>
  <w:footnote w:id="210">
    <w:p w:rsidR="00207930" w:rsidRPr="002128DA" w:rsidRDefault="00EE2FA1" w:rsidP="00207930">
      <w:pPr>
        <w:pStyle w:val="Textonotapie"/>
        <w:jc w:val="both"/>
      </w:pPr>
      <w:r w:rsidRPr="002128DA">
        <w:rPr>
          <w:rStyle w:val="Refdenotaalpie"/>
        </w:rPr>
        <w:footnoteRef/>
      </w:r>
      <w:r w:rsidRPr="002128DA">
        <w:t xml:space="preserve"> Este interviniente indicó que: “</w:t>
      </w:r>
      <w:r w:rsidRPr="002128DA">
        <w:rPr>
          <w:lang w:val="es-MX"/>
        </w:rPr>
        <w:t>la norma demandada no satisface los presupuestos previstos por la jurisprudencia constitucional para adelantar el juicio integrado de igualdad en cuanto no so</w:t>
      </w:r>
      <w:r w:rsidRPr="002128DA">
        <w:rPr>
          <w:lang w:val="es-MX"/>
        </w:rPr>
        <w:t xml:space="preserve">n sujetos comparables, habida cuenta las diferencias existentes.” Documento de intervención pág. 20. </w:t>
      </w:r>
    </w:p>
  </w:footnote>
  <w:footnote w:id="211">
    <w:p w:rsidR="009C3125" w:rsidRPr="002128DA" w:rsidRDefault="00EE2FA1">
      <w:pPr>
        <w:pStyle w:val="Textonotapie"/>
      </w:pPr>
      <w:r w:rsidRPr="002128DA">
        <w:rPr>
          <w:rStyle w:val="Refdenotaalpie"/>
        </w:rPr>
        <w:footnoteRef/>
      </w:r>
      <w:r w:rsidRPr="002128DA">
        <w:t xml:space="preserve"> M.P. José Fernando Reyes Cuartas</w:t>
      </w:r>
    </w:p>
  </w:footnote>
  <w:footnote w:id="212">
    <w:p w:rsidR="000D0AB3" w:rsidRPr="002128DA" w:rsidRDefault="00EE2FA1">
      <w:pPr>
        <w:pStyle w:val="Textonotapie"/>
      </w:pPr>
      <w:r w:rsidRPr="002128DA">
        <w:rPr>
          <w:rStyle w:val="Refdenotaalpie"/>
        </w:rPr>
        <w:footnoteRef/>
      </w:r>
      <w:r w:rsidRPr="002128DA">
        <w:t xml:space="preserve"> Al respecto ver la corrección de la demanda en las páginas 42, 44 y 46. </w:t>
      </w:r>
    </w:p>
  </w:footnote>
  <w:footnote w:id="213">
    <w:p w:rsidR="001F2CED" w:rsidRPr="002128DA" w:rsidRDefault="00EE2FA1" w:rsidP="001F2CED">
      <w:pPr>
        <w:pStyle w:val="Textonotapie"/>
        <w:spacing w:line="0" w:lineRule="atLeast"/>
        <w:ind w:right="23"/>
        <w:jc w:val="both"/>
      </w:pPr>
      <w:r w:rsidRPr="002128DA">
        <w:rPr>
          <w:rStyle w:val="Refdenotaalpie"/>
        </w:rPr>
        <w:footnoteRef/>
      </w:r>
      <w:r w:rsidRPr="002128DA">
        <w:t xml:space="preserve"> </w:t>
      </w:r>
      <w:r w:rsidRPr="002128DA">
        <w:rPr>
          <w:shd w:val="clear" w:color="auto" w:fill="FFFFFF"/>
        </w:rPr>
        <w:t>C-521 de 2019 M. P. Cristina Pardo Schlesi</w:t>
      </w:r>
      <w:r w:rsidRPr="002128DA">
        <w:rPr>
          <w:shd w:val="clear" w:color="auto" w:fill="FFFFFF"/>
        </w:rPr>
        <w:t>nger.</w:t>
      </w:r>
    </w:p>
  </w:footnote>
  <w:footnote w:id="214">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L. 86 de 1989, 29 de diciembre de 1989, </w:t>
      </w:r>
      <w:r w:rsidRPr="002128DA">
        <w:rPr>
          <w:lang w:val="es-ES"/>
        </w:rPr>
        <w:t xml:space="preserve">Por la cual se dictan normas sobre sistemas de servicio público urbano de transporte masivo de pasajeros y se proveen recursos para su financiamiento. </w:t>
      </w:r>
      <w:r w:rsidRPr="002128DA">
        <w:rPr>
          <w:i/>
          <w:lang w:val="es-ES"/>
        </w:rPr>
        <w:t>Diario oficial</w:t>
      </w:r>
      <w:r w:rsidRPr="002128DA">
        <w:rPr>
          <w:lang w:val="es-ES"/>
        </w:rPr>
        <w:t xml:space="preserve"> 39124, art. 5.°. </w:t>
      </w:r>
      <w:r w:rsidRPr="002128DA">
        <w:t xml:space="preserve">Sentencia C-004 de 1993 </w:t>
      </w:r>
      <w:r w:rsidRPr="002128DA">
        <w:t>M. P. Ciro Angarita Barón.</w:t>
      </w:r>
    </w:p>
  </w:footnote>
  <w:footnote w:id="215">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L. 105 de 1993, 30 de diciembre de 1993, por la cual se dictan disposiciones básicas sobre el transporte, se redistribuyen competencias y recursos entre la Nación y las Entidades Territoriales, se reglamenta la planeación en el</w:t>
      </w:r>
      <w:r w:rsidRPr="002128DA">
        <w:t xml:space="preserve"> sector transporte y se dictan otras disposiciones. </w:t>
      </w:r>
      <w:r w:rsidRPr="002128DA">
        <w:rPr>
          <w:i/>
        </w:rPr>
        <w:t>Diario oficial</w:t>
      </w:r>
      <w:r w:rsidRPr="002128DA">
        <w:t xml:space="preserve"> 41158, art. 29. Sentencia C-084 de 1995.</w:t>
      </w:r>
    </w:p>
  </w:footnote>
  <w:footnote w:id="216">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L. 488 de 1998, 28 de diciembre de 1998, </w:t>
      </w:r>
      <w:r w:rsidRPr="002128DA">
        <w:rPr>
          <w:lang w:val="es-ES"/>
        </w:rPr>
        <w:t>por la cual se expiden normas en materia Tributaria y se dictan otras disposiciones fiscales de las Entid</w:t>
      </w:r>
      <w:r w:rsidRPr="002128DA">
        <w:rPr>
          <w:lang w:val="es-ES"/>
        </w:rPr>
        <w:t>ades Territoriales. Diario oficial 43460, art. 117. Sentencia C-897 de 1999.</w:t>
      </w:r>
    </w:p>
  </w:footnote>
  <w:footnote w:id="217">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L. 488 de 1998, 28 de diciembre de 1998, </w:t>
      </w:r>
      <w:r w:rsidRPr="002128DA">
        <w:rPr>
          <w:lang w:val="es-ES"/>
        </w:rPr>
        <w:t>por la cual se expiden normas en materia Tributaria y se dictan otras disposiciones fiscales de las Entidades Territoriales. Diario ofic</w:t>
      </w:r>
      <w:r w:rsidRPr="002128DA">
        <w:rPr>
          <w:lang w:val="es-ES"/>
        </w:rPr>
        <w:t>ial 43460, art. 128.</w:t>
      </w:r>
    </w:p>
  </w:footnote>
  <w:footnote w:id="218">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L. 99 de 1993, 22 de diciembre de 1993, por la cual se crea el Ministerio del Medio Ambiente, se reordena el Sector Público encargado de la gestión y conservación del medio ambiente y los recursos naturales renovables, se organiza el</w:t>
      </w:r>
      <w:r w:rsidRPr="002128DA">
        <w:t xml:space="preserve"> Sistema Nacional Ambiental, SINA, y se dictan otras disposiciones. </w:t>
      </w:r>
      <w:r w:rsidRPr="002128DA">
        <w:rPr>
          <w:i/>
        </w:rPr>
        <w:t>Diario oficial</w:t>
      </w:r>
      <w:r w:rsidRPr="002128DA">
        <w:t xml:space="preserve"> 41146, art. 44, inc. 2.°.</w:t>
      </w:r>
    </w:p>
  </w:footnote>
  <w:footnote w:id="219">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Sentencia C-326 de 2020 M. P. Richard S. Ramírez Grisales.</w:t>
      </w:r>
    </w:p>
  </w:footnote>
  <w:footnote w:id="220">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Esta es la denominación que utiliza la Sentencia C-057 de 2021 M. P. Paola Andrea Me</w:t>
      </w:r>
      <w:r w:rsidRPr="002128DA">
        <w:t>neses Mosquera.</w:t>
      </w:r>
    </w:p>
  </w:footnote>
  <w:footnote w:id="221">
    <w:p w:rsidR="00B9100B"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t>La Sentencia C-389 de 2023 M.P. Antonio José Lizarazo Ocampo declaro condicionalmente</w:t>
      </w:r>
      <w:r w:rsidRPr="002128DA">
        <w:t xml:space="preserve"> exequible</w:t>
      </w:r>
      <w:r w:rsidRPr="002128DA">
        <w:t xml:space="preserve"> la norma</w:t>
      </w:r>
      <w:r w:rsidRPr="002128DA">
        <w:t xml:space="preserve"> en el entendido que solo podía imponerse cuando la actividad de generación de energía eléctrica con recursos hídricos alcanzara el um</w:t>
      </w:r>
      <w:r w:rsidRPr="002128DA">
        <w:t>bral de 30.000 UVT previsto en la ley.</w:t>
      </w:r>
    </w:p>
  </w:footnote>
  <w:footnote w:id="222">
    <w:p w:rsidR="007A0F65"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r w:rsidRPr="002128DA">
        <w:rPr>
          <w:u w:val="single"/>
        </w:rPr>
        <w:t>Intervención - Presidencia de la República</w:t>
      </w:r>
      <w:r w:rsidRPr="002128DA">
        <w:t>, folio 16.</w:t>
      </w:r>
    </w:p>
  </w:footnote>
  <w:footnote w:id="223">
    <w:p w:rsidR="007A0F65"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r w:rsidRPr="002128DA">
        <w:rPr>
          <w:u w:val="single"/>
        </w:rPr>
        <w:t>Intervención - DIAN</w:t>
      </w:r>
      <w:r w:rsidRPr="002128DA">
        <w:t>, folio 4.</w:t>
      </w:r>
    </w:p>
  </w:footnote>
  <w:footnote w:id="224">
    <w:p w:rsidR="007A0F65" w:rsidRPr="002128DA" w:rsidRDefault="00EE2FA1" w:rsidP="005640F0">
      <w:pPr>
        <w:pStyle w:val="Textonotapie"/>
        <w:spacing w:line="0" w:lineRule="atLeast"/>
        <w:ind w:right="23"/>
        <w:jc w:val="both"/>
      </w:pPr>
      <w:r w:rsidRPr="002128DA">
        <w:rPr>
          <w:rStyle w:val="Refdenotaalpie"/>
        </w:rPr>
        <w:footnoteRef/>
      </w:r>
      <w:r w:rsidRPr="002128DA">
        <w:t xml:space="preserve"> Expediente digital D-15253. </w:t>
      </w:r>
      <w:r w:rsidRPr="002128DA">
        <w:rPr>
          <w:u w:val="single"/>
        </w:rPr>
        <w:t>Intervención - DIAN</w:t>
      </w:r>
      <w:r w:rsidRPr="002128DA">
        <w:t>, folio 6.</w:t>
      </w:r>
    </w:p>
  </w:footnote>
  <w:footnote w:id="225">
    <w:p w:rsidR="007A0F65" w:rsidRPr="002128DA" w:rsidRDefault="00EE2FA1" w:rsidP="005640F0">
      <w:pPr>
        <w:pStyle w:val="Textonotapie"/>
        <w:spacing w:line="0" w:lineRule="atLeast"/>
        <w:ind w:right="23"/>
        <w:jc w:val="both"/>
      </w:pPr>
      <w:r w:rsidRPr="002128DA">
        <w:rPr>
          <w:rStyle w:val="Refdenotaalpie"/>
        </w:rPr>
        <w:footnoteRef/>
      </w:r>
      <w:r w:rsidRPr="002128DA">
        <w:t xml:space="preserve"> Expediente </w:t>
      </w:r>
      <w:r w:rsidRPr="002128DA">
        <w:t xml:space="preserve">digital D-15253. </w:t>
      </w:r>
      <w:r w:rsidRPr="002128DA">
        <w:rPr>
          <w:u w:val="single"/>
        </w:rPr>
        <w:t>Intervención - Ministerio de Hacienda y Crédito Público</w:t>
      </w:r>
      <w:r w:rsidRPr="002128DA">
        <w:t>, folios 3 y 4.</w:t>
      </w:r>
    </w:p>
  </w:footnote>
  <w:footnote w:id="226">
    <w:p w:rsidR="00416B07" w:rsidRPr="002128DA" w:rsidRDefault="00EE2FA1" w:rsidP="00416B07">
      <w:pPr>
        <w:autoSpaceDE w:val="0"/>
        <w:autoSpaceDN w:val="0"/>
        <w:adjustRightInd w:val="0"/>
        <w:jc w:val="both"/>
        <w:rPr>
          <w:sz w:val="20"/>
          <w:szCs w:val="20"/>
          <w:lang w:val="es-MX"/>
        </w:rPr>
      </w:pPr>
      <w:r w:rsidRPr="002128DA">
        <w:rPr>
          <w:rStyle w:val="Refdenotaalpie"/>
          <w:sz w:val="20"/>
          <w:szCs w:val="20"/>
        </w:rPr>
        <w:footnoteRef/>
      </w:r>
      <w:r w:rsidRPr="002128DA">
        <w:rPr>
          <w:sz w:val="20"/>
          <w:szCs w:val="20"/>
        </w:rPr>
        <w:t xml:space="preserve"> </w:t>
      </w:r>
      <w:r w:rsidRPr="002128DA">
        <w:rPr>
          <w:sz w:val="20"/>
          <w:szCs w:val="20"/>
          <w:lang w:val="es-MX"/>
        </w:rPr>
        <w:t>https://www.boe.es/buscar/doc.php?id=BOE-A-2022-</w:t>
      </w:r>
    </w:p>
    <w:p w:rsidR="00416B07" w:rsidRPr="002128DA" w:rsidRDefault="00EE2FA1" w:rsidP="00416B07">
      <w:pPr>
        <w:autoSpaceDE w:val="0"/>
        <w:autoSpaceDN w:val="0"/>
        <w:adjustRightInd w:val="0"/>
        <w:jc w:val="both"/>
        <w:rPr>
          <w:sz w:val="20"/>
          <w:szCs w:val="20"/>
          <w:lang w:val="es-MX"/>
        </w:rPr>
      </w:pPr>
      <w:r w:rsidRPr="002128DA">
        <w:rPr>
          <w:sz w:val="20"/>
          <w:szCs w:val="20"/>
          <w:lang w:val="es-MX"/>
        </w:rPr>
        <w:t>22684#:~:text=A%2D2022%2D22684-</w:t>
      </w:r>
    </w:p>
    <w:p w:rsidR="00416B07" w:rsidRPr="002128DA" w:rsidRDefault="00EE2FA1" w:rsidP="00416B07">
      <w:pPr>
        <w:autoSpaceDE w:val="0"/>
        <w:autoSpaceDN w:val="0"/>
        <w:adjustRightInd w:val="0"/>
        <w:jc w:val="both"/>
        <w:rPr>
          <w:sz w:val="20"/>
          <w:szCs w:val="20"/>
          <w:lang w:val="es-MX"/>
        </w:rPr>
      </w:pPr>
      <w:r w:rsidRPr="002128DA">
        <w:rPr>
          <w:sz w:val="20"/>
          <w:szCs w:val="20"/>
          <w:lang w:val="es-MX"/>
        </w:rPr>
        <w:t>,Ley%2038%2F2022%2C%20de%2027%20de%20diciembre%2C%20para%20el,se%</w:t>
      </w:r>
    </w:p>
    <w:p w:rsidR="00416B07" w:rsidRPr="002128DA" w:rsidRDefault="00EE2FA1" w:rsidP="00416B07">
      <w:pPr>
        <w:autoSpaceDE w:val="0"/>
        <w:autoSpaceDN w:val="0"/>
        <w:adjustRightInd w:val="0"/>
        <w:jc w:val="both"/>
        <w:rPr>
          <w:sz w:val="20"/>
          <w:szCs w:val="20"/>
          <w:lang w:val="es-MX"/>
        </w:rPr>
      </w:pPr>
      <w:r w:rsidRPr="002128DA">
        <w:rPr>
          <w:sz w:val="20"/>
          <w:szCs w:val="20"/>
          <w:lang w:val="es-MX"/>
        </w:rPr>
        <w:t>20modifican%20determinadas%20normas%20tributarias.</w:t>
      </w:r>
    </w:p>
  </w:footnote>
  <w:footnote w:id="227">
    <w:p w:rsidR="0043410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 xml:space="preserve">Sentencia C-489 de 2023 M.P. Jorge Enrique Ibáñez Najar y Cristina Pardo Schlesinger. </w:t>
      </w:r>
    </w:p>
  </w:footnote>
  <w:footnote w:id="228">
    <w:p w:rsidR="00434109" w:rsidRPr="002128DA" w:rsidRDefault="00EE2FA1" w:rsidP="005640F0">
      <w:pPr>
        <w:pStyle w:val="Textonotapie"/>
        <w:spacing w:line="0" w:lineRule="atLeast"/>
        <w:ind w:right="23"/>
        <w:jc w:val="both"/>
      </w:pPr>
      <w:r w:rsidRPr="002128DA">
        <w:rPr>
          <w:rStyle w:val="Refdenotaalpie"/>
        </w:rPr>
        <w:footnoteRef/>
      </w:r>
      <w:r w:rsidRPr="002128DA">
        <w:t xml:space="preserve"> Sentencia C-129 de 2018, reiterada en la Sentencia C-521 de 2019.</w:t>
      </w:r>
    </w:p>
  </w:footnote>
  <w:footnote w:id="229">
    <w:p w:rsidR="00434109" w:rsidRPr="002128DA" w:rsidRDefault="00EE2FA1" w:rsidP="005640F0">
      <w:pPr>
        <w:pStyle w:val="Textonotapie"/>
        <w:spacing w:line="0" w:lineRule="atLeast"/>
        <w:ind w:right="23"/>
        <w:jc w:val="both"/>
      </w:pPr>
      <w:r w:rsidRPr="002128DA">
        <w:rPr>
          <w:rStyle w:val="Refdenotaalpie"/>
        </w:rPr>
        <w:footnoteRef/>
      </w:r>
      <w:r w:rsidRPr="002128DA">
        <w:t xml:space="preserve"> Sentencia C-094 de 2021.</w:t>
      </w:r>
    </w:p>
  </w:footnote>
  <w:footnote w:id="230">
    <w:p w:rsidR="00434109" w:rsidRPr="002128DA" w:rsidRDefault="00EE2FA1" w:rsidP="005640F0">
      <w:pPr>
        <w:pStyle w:val="Body"/>
        <w:pBdr>
          <w:top w:val="none" w:sz="0" w:space="0" w:color="auto"/>
          <w:left w:val="none" w:sz="0" w:space="0" w:color="auto"/>
          <w:bottom w:val="none" w:sz="0" w:space="0" w:color="auto"/>
          <w:right w:val="none" w:sz="0" w:space="0" w:color="auto"/>
        </w:pBdr>
        <w:spacing w:line="0" w:lineRule="atLeast"/>
        <w:ind w:right="23"/>
        <w:jc w:val="both"/>
        <w:rPr>
          <w:color w:val="auto"/>
        </w:rPr>
      </w:pPr>
      <w:r w:rsidRPr="002128DA">
        <w:rPr>
          <w:rStyle w:val="Refdenotaalpie"/>
          <w:color w:val="auto"/>
        </w:rPr>
        <w:footnoteRef/>
      </w:r>
      <w:r w:rsidRPr="002128DA">
        <w:rPr>
          <w:color w:val="auto"/>
        </w:rPr>
        <w:t xml:space="preserve"> Sentencia C-833 de </w:t>
      </w:r>
      <w:r w:rsidRPr="002128DA">
        <w:rPr>
          <w:color w:val="auto"/>
        </w:rPr>
        <w:t>2013. Al respecto, también se puede consultar la Sentencia C-445 de 1995.</w:t>
      </w:r>
    </w:p>
  </w:footnote>
  <w:footnote w:id="231">
    <w:p w:rsidR="00434109"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i/>
          <w:iCs/>
        </w:rPr>
        <w:t>Ibidem</w:t>
      </w:r>
      <w:r w:rsidRPr="002128DA">
        <w:t xml:space="preserve">. </w:t>
      </w:r>
    </w:p>
  </w:footnote>
  <w:footnote w:id="232">
    <w:p w:rsidR="0043410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 xml:space="preserve">Sentencia C-489 de 2023. </w:t>
      </w:r>
    </w:p>
  </w:footnote>
  <w:footnote w:id="233">
    <w:p w:rsidR="00E03343"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Citado en la Sentencia C-489 de 2023.</w:t>
      </w:r>
    </w:p>
  </w:footnote>
  <w:footnote w:id="234">
    <w:p w:rsidR="000602A9" w:rsidRPr="002128DA" w:rsidRDefault="00EE2FA1" w:rsidP="005640F0">
      <w:pPr>
        <w:spacing w:line="0" w:lineRule="atLeast"/>
        <w:ind w:right="23"/>
        <w:jc w:val="both"/>
        <w:rPr>
          <w:sz w:val="20"/>
          <w:szCs w:val="20"/>
        </w:rPr>
      </w:pPr>
      <w:r w:rsidRPr="002128DA">
        <w:rPr>
          <w:rStyle w:val="Refdenotaalpie"/>
          <w:sz w:val="20"/>
          <w:szCs w:val="20"/>
        </w:rPr>
        <w:footnoteRef/>
      </w:r>
      <w:r w:rsidRPr="002128DA">
        <w:rPr>
          <w:sz w:val="20"/>
          <w:szCs w:val="20"/>
        </w:rPr>
        <w:t xml:space="preserve"> </w:t>
      </w:r>
      <w:r w:rsidRPr="002128DA">
        <w:rPr>
          <w:sz w:val="20"/>
          <w:szCs w:val="20"/>
          <w:shd w:val="clear" w:color="auto" w:fill="FFFFFF"/>
        </w:rPr>
        <w:t xml:space="preserve">Sentencia C-266 de 2019 Gloria Stella Ortiz Delgado. Ver, también, sentencias C-304 de 2019 M. P. </w:t>
      </w:r>
      <w:r w:rsidRPr="002128DA">
        <w:rPr>
          <w:sz w:val="20"/>
          <w:szCs w:val="20"/>
          <w:shd w:val="clear" w:color="auto" w:fill="FFFFFF"/>
        </w:rPr>
        <w:t>Luis Guillermo Guerrero Pérez, C-010 de 2018 M. P. Gloria Stella Ortiz Delgado, C-883 de 2011 M. P. Luis Ernesto Vargas Silva y C-1107 de 2001 M. P. Jaime Araujo Rentería.</w:t>
      </w:r>
    </w:p>
  </w:footnote>
  <w:footnote w:id="235">
    <w:p w:rsidR="000602A9" w:rsidRPr="002128DA" w:rsidRDefault="00EE2FA1" w:rsidP="005640F0">
      <w:pPr>
        <w:spacing w:line="0" w:lineRule="atLeast"/>
        <w:ind w:right="23"/>
        <w:jc w:val="both"/>
        <w:rPr>
          <w:sz w:val="20"/>
          <w:szCs w:val="20"/>
        </w:rPr>
      </w:pPr>
      <w:r w:rsidRPr="002128DA">
        <w:rPr>
          <w:rStyle w:val="Refdenotaalpie"/>
          <w:sz w:val="20"/>
          <w:szCs w:val="20"/>
        </w:rPr>
        <w:footnoteRef/>
      </w:r>
      <w:r w:rsidRPr="002128DA">
        <w:rPr>
          <w:sz w:val="20"/>
          <w:szCs w:val="20"/>
        </w:rPr>
        <w:t xml:space="preserve"> </w:t>
      </w:r>
      <w:r w:rsidRPr="002128DA">
        <w:rPr>
          <w:sz w:val="20"/>
          <w:szCs w:val="20"/>
          <w:shd w:val="clear" w:color="auto" w:fill="FFFFFF"/>
        </w:rPr>
        <w:t>Sentencia C-183 de 1998 M. P. Eduardo Cifuentes Muñoz.</w:t>
      </w:r>
    </w:p>
  </w:footnote>
  <w:footnote w:id="236">
    <w:p w:rsidR="000602A9" w:rsidRPr="002128DA" w:rsidRDefault="00EE2FA1" w:rsidP="005640F0">
      <w:pPr>
        <w:spacing w:line="0" w:lineRule="atLeast"/>
        <w:ind w:right="23"/>
        <w:jc w:val="both"/>
        <w:rPr>
          <w:sz w:val="20"/>
          <w:szCs w:val="20"/>
        </w:rPr>
      </w:pPr>
      <w:r w:rsidRPr="002128DA">
        <w:rPr>
          <w:rStyle w:val="Refdenotaalpie"/>
          <w:sz w:val="20"/>
          <w:szCs w:val="20"/>
        </w:rPr>
        <w:footnoteRef/>
      </w:r>
      <w:r w:rsidRPr="002128DA">
        <w:rPr>
          <w:sz w:val="20"/>
          <w:szCs w:val="20"/>
        </w:rPr>
        <w:t xml:space="preserve"> </w:t>
      </w:r>
      <w:r w:rsidRPr="002128DA">
        <w:rPr>
          <w:sz w:val="20"/>
          <w:szCs w:val="20"/>
          <w:shd w:val="clear" w:color="auto" w:fill="FFFFFF"/>
        </w:rPr>
        <w:t>Sentencia C-419 de 1995 M</w:t>
      </w:r>
      <w:r w:rsidRPr="002128DA">
        <w:rPr>
          <w:sz w:val="20"/>
          <w:szCs w:val="20"/>
          <w:shd w:val="clear" w:color="auto" w:fill="FFFFFF"/>
        </w:rPr>
        <w:t>. P. Antonio Barrera Carbonell.</w:t>
      </w:r>
    </w:p>
  </w:footnote>
  <w:footnote w:id="237">
    <w:p w:rsidR="000602A9" w:rsidRPr="002128DA" w:rsidRDefault="00EE2FA1" w:rsidP="005640F0">
      <w:pPr>
        <w:spacing w:line="0" w:lineRule="atLeast"/>
        <w:ind w:right="23"/>
        <w:jc w:val="both"/>
        <w:rPr>
          <w:sz w:val="20"/>
          <w:szCs w:val="20"/>
        </w:rPr>
      </w:pPr>
      <w:r w:rsidRPr="002128DA">
        <w:rPr>
          <w:rStyle w:val="Refdenotaalpie"/>
          <w:sz w:val="20"/>
          <w:szCs w:val="20"/>
        </w:rPr>
        <w:footnoteRef/>
      </w:r>
      <w:r w:rsidRPr="002128DA">
        <w:rPr>
          <w:sz w:val="20"/>
          <w:szCs w:val="20"/>
        </w:rPr>
        <w:t xml:space="preserve"> </w:t>
      </w:r>
      <w:r w:rsidRPr="002128DA">
        <w:rPr>
          <w:sz w:val="20"/>
          <w:szCs w:val="20"/>
          <w:shd w:val="clear" w:color="auto" w:fill="FFFFFF"/>
        </w:rPr>
        <w:t>Sentencia C-932 de 2014 M. P. Martha Victoria Sáchica Méndez.</w:t>
      </w:r>
    </w:p>
  </w:footnote>
  <w:footnote w:id="238">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w:t>
      </w:r>
      <w:r w:rsidRPr="002128DA">
        <w:rPr>
          <w:shd w:val="clear" w:color="auto" w:fill="FFFFFF"/>
        </w:rPr>
        <w:t>Sentencia T-734 de 2002 M. P. Rodrigo Escobar Gil, reiterada en las sentencias C-169 de 2014 y C-600 de 2015, M.P. María Victoria Calle Correa.</w:t>
      </w:r>
    </w:p>
  </w:footnote>
  <w:footnote w:id="239">
    <w:p w:rsidR="000602A9" w:rsidRPr="002128DA" w:rsidRDefault="00EE2FA1" w:rsidP="005640F0">
      <w:pPr>
        <w:spacing w:line="0" w:lineRule="atLeast"/>
        <w:ind w:right="23"/>
        <w:jc w:val="both"/>
        <w:rPr>
          <w:sz w:val="20"/>
          <w:szCs w:val="20"/>
          <w:shd w:val="clear" w:color="auto" w:fill="FFFFFF"/>
        </w:rPr>
      </w:pPr>
      <w:r w:rsidRPr="002128DA">
        <w:rPr>
          <w:rStyle w:val="Refdenotaalpie"/>
          <w:sz w:val="20"/>
          <w:szCs w:val="20"/>
        </w:rPr>
        <w:footnoteRef/>
      </w:r>
      <w:r w:rsidRPr="002128DA">
        <w:rPr>
          <w:sz w:val="20"/>
          <w:szCs w:val="20"/>
        </w:rPr>
        <w:t xml:space="preserve"> </w:t>
      </w:r>
      <w:r w:rsidRPr="002128DA">
        <w:rPr>
          <w:sz w:val="20"/>
          <w:szCs w:val="20"/>
          <w:shd w:val="clear" w:color="auto" w:fill="FFFFFF"/>
        </w:rPr>
        <w:t>Sentencias C</w:t>
      </w:r>
      <w:r w:rsidRPr="002128DA">
        <w:rPr>
          <w:sz w:val="20"/>
          <w:szCs w:val="20"/>
          <w:shd w:val="clear" w:color="auto" w:fill="FFFFFF"/>
        </w:rPr>
        <w:t>-711 de 2001 M. P. Jaime Araujo Rentería y C-606 de 2019 M. P. Alejandro Linares Cantillo.</w:t>
      </w:r>
    </w:p>
  </w:footnote>
  <w:footnote w:id="240">
    <w:p w:rsidR="000602A9" w:rsidRPr="002128DA" w:rsidRDefault="00EE2FA1" w:rsidP="005640F0">
      <w:pPr>
        <w:spacing w:line="0" w:lineRule="atLeast"/>
        <w:ind w:right="23"/>
        <w:jc w:val="both"/>
        <w:rPr>
          <w:sz w:val="20"/>
          <w:szCs w:val="20"/>
        </w:rPr>
      </w:pPr>
      <w:r w:rsidRPr="002128DA">
        <w:rPr>
          <w:rStyle w:val="Refdenotaalpie"/>
          <w:sz w:val="20"/>
          <w:szCs w:val="20"/>
        </w:rPr>
        <w:footnoteRef/>
      </w:r>
      <w:r w:rsidRPr="002128DA">
        <w:rPr>
          <w:sz w:val="20"/>
          <w:szCs w:val="20"/>
        </w:rPr>
        <w:t xml:space="preserve"> Sentencia C-057 de 2021 M. P. Paola Andrea Meneses Mosquera.</w:t>
      </w:r>
    </w:p>
  </w:footnote>
  <w:footnote w:id="241">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Sentencia C-057 de 2021 M. P. Paola Andrea Meneses Mosquera. También pueden consultarse las sentenci</w:t>
      </w:r>
      <w:r w:rsidRPr="002128DA">
        <w:t xml:space="preserve">as </w:t>
      </w:r>
      <w:r w:rsidRPr="002128DA">
        <w:rPr>
          <w:shd w:val="clear" w:color="auto" w:fill="FFFFFF"/>
        </w:rPr>
        <w:t>C-600 de 2015 M. P. María Victoria Calle Correa y C-060 de 2018 M. P. Gloria Stella Ortiz Delgado.</w:t>
      </w:r>
    </w:p>
  </w:footnote>
  <w:footnote w:id="242">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M. P. Jaime Córdoba Triviño.</w:t>
      </w:r>
    </w:p>
  </w:footnote>
  <w:footnote w:id="243">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M. P. María Victoria Calle Correa.</w:t>
      </w:r>
    </w:p>
  </w:footnote>
  <w:footnote w:id="244">
    <w:p w:rsidR="00F43564" w:rsidRPr="002128DA" w:rsidRDefault="00EE2FA1">
      <w:pPr>
        <w:pStyle w:val="Textonotapie"/>
        <w:rPr>
          <w:lang w:val="es-ES_tradnl"/>
        </w:rPr>
      </w:pPr>
      <w:r w:rsidRPr="002128DA">
        <w:rPr>
          <w:rStyle w:val="Refdenotaalpie"/>
        </w:rPr>
        <w:footnoteRef/>
      </w:r>
      <w:r w:rsidRPr="002128DA">
        <w:t xml:space="preserve"> </w:t>
      </w:r>
      <w:r w:rsidRPr="002128DA">
        <w:rPr>
          <w:lang w:val="es-ES_tradnl"/>
        </w:rPr>
        <w:t xml:space="preserve">M.P. Diana Fajardo Rivera. </w:t>
      </w:r>
    </w:p>
  </w:footnote>
  <w:footnote w:id="245">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MM. PP. Jorge Enrique Ibáñez Najar y Cristina Pardo Schlesinger. Esta reitera la Sentencia C-521 de 2019 M. P. Cristina Pardo Schlesinger.</w:t>
      </w:r>
    </w:p>
  </w:footnote>
  <w:footnote w:id="246">
    <w:p w:rsidR="000602A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 xml:space="preserve">Capítulo tomado de la Sentencia C-363 de 2023 M.P. Juan Carlos Cortés González. </w:t>
      </w:r>
    </w:p>
  </w:footnote>
  <w:footnote w:id="247">
    <w:p w:rsidR="000602A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Constitución Política, artículo</w:t>
      </w:r>
      <w:r w:rsidRPr="002128DA">
        <w:rPr>
          <w:lang w:val="es-ES_tradnl"/>
        </w:rPr>
        <w:t xml:space="preserve"> 150, numeral 12.</w:t>
      </w:r>
    </w:p>
  </w:footnote>
  <w:footnote w:id="248">
    <w:p w:rsidR="000602A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Sentencia C-883 de 2011, M.P. Luis Ernesto Vargas Silva.</w:t>
      </w:r>
    </w:p>
  </w:footnote>
  <w:footnote w:id="249">
    <w:p w:rsidR="000602A9" w:rsidRPr="002128DA" w:rsidRDefault="00EE2FA1" w:rsidP="005640F0">
      <w:pPr>
        <w:pStyle w:val="Textonotapie"/>
        <w:spacing w:line="0" w:lineRule="atLeast"/>
        <w:ind w:right="23"/>
        <w:jc w:val="both"/>
        <w:rPr>
          <w:lang w:val="es-ES_tradnl"/>
        </w:rPr>
      </w:pPr>
      <w:r w:rsidRPr="002128DA">
        <w:rPr>
          <w:rStyle w:val="Refdenotaalpie"/>
        </w:rPr>
        <w:footnoteRef/>
      </w:r>
      <w:r w:rsidRPr="002128DA">
        <w:t xml:space="preserve"> </w:t>
      </w:r>
      <w:r w:rsidRPr="002128DA">
        <w:rPr>
          <w:lang w:val="es-ES_tradnl"/>
        </w:rPr>
        <w:t>M.P (e) Hernán Correa Cardozo.</w:t>
      </w:r>
    </w:p>
  </w:footnote>
  <w:footnote w:id="250">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Al respecto, reitera la Sentencia C-222 de 1995, M.P. José Gregorio Hernández Galindo.</w:t>
      </w:r>
    </w:p>
  </w:footnote>
  <w:footnote w:id="251">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Sentencias C-776 de 2003, M.P. Manuel José Cepeda Espin</w:t>
      </w:r>
      <w:r w:rsidRPr="002128DA">
        <w:t>osa; C-508 de 2006, M.P Álvaro Tafur Galvis; C-508 de 2008, M.P. Mauricio González Cuervo;</w:t>
      </w:r>
      <w:r w:rsidRPr="002128DA">
        <w:rPr>
          <w:i/>
          <w:iCs/>
        </w:rPr>
        <w:t xml:space="preserve"> </w:t>
      </w:r>
      <w:r w:rsidRPr="002128DA">
        <w:t xml:space="preserve">y C-664 de 2009, M.P. Juan Carlos Henao, entre otras. </w:t>
      </w:r>
    </w:p>
  </w:footnote>
  <w:footnote w:id="252">
    <w:p w:rsidR="000602A9" w:rsidRPr="002128DA" w:rsidRDefault="00EE2FA1" w:rsidP="005640F0">
      <w:pPr>
        <w:pStyle w:val="Textonotapie"/>
        <w:spacing w:line="0" w:lineRule="atLeast"/>
        <w:ind w:right="23"/>
        <w:jc w:val="both"/>
      </w:pPr>
      <w:r w:rsidRPr="002128DA">
        <w:rPr>
          <w:rStyle w:val="Refdenotaalpie"/>
        </w:rPr>
        <w:footnoteRef/>
      </w:r>
      <w:r w:rsidRPr="002128DA">
        <w:t xml:space="preserve"> Sentencia C-155 de 2003, M.P. Eduardo Montealegre Lynett.</w:t>
      </w:r>
    </w:p>
  </w:footnote>
  <w:footnote w:id="253">
    <w:p w:rsidR="00876309" w:rsidRPr="002128DA" w:rsidRDefault="00EE2FA1" w:rsidP="005640F0">
      <w:pPr>
        <w:pStyle w:val="Textonotapie"/>
        <w:spacing w:line="0" w:lineRule="atLeast"/>
        <w:ind w:right="23"/>
        <w:jc w:val="both"/>
      </w:pPr>
      <w:r w:rsidRPr="002128DA">
        <w:rPr>
          <w:rStyle w:val="Refdenotaalpie"/>
        </w:rPr>
        <w:footnoteRef/>
      </w:r>
      <w:r w:rsidRPr="002128DA">
        <w:t xml:space="preserve"> M. P. Paola Andrea Meneses Mosquera.</w:t>
      </w:r>
    </w:p>
  </w:footnote>
  <w:footnote w:id="254">
    <w:p w:rsidR="00876309" w:rsidRPr="002128DA" w:rsidRDefault="00EE2FA1" w:rsidP="005640F0">
      <w:pPr>
        <w:pStyle w:val="Textonotapie"/>
        <w:spacing w:line="0" w:lineRule="atLeast"/>
        <w:ind w:right="23"/>
        <w:jc w:val="both"/>
      </w:pPr>
      <w:r w:rsidRPr="002128DA">
        <w:rPr>
          <w:rStyle w:val="Refdenotaalpie"/>
        </w:rPr>
        <w:footnoteRef/>
      </w:r>
      <w:r w:rsidRPr="002128DA">
        <w:t xml:space="preserve"> M. P. Ant</w:t>
      </w:r>
      <w:r w:rsidRPr="002128DA">
        <w:t>onio José Lizarazo Ocampo.</w:t>
      </w:r>
    </w:p>
  </w:footnote>
  <w:footnote w:id="255">
    <w:p w:rsidR="0023253B" w:rsidRPr="002128DA" w:rsidRDefault="00EE2FA1" w:rsidP="0023253B">
      <w:pPr>
        <w:pStyle w:val="Textonotapie"/>
        <w:spacing w:line="0" w:lineRule="atLeast"/>
        <w:ind w:right="23"/>
        <w:jc w:val="both"/>
      </w:pPr>
      <w:r w:rsidRPr="002128DA">
        <w:rPr>
          <w:rStyle w:val="Refdenotaalpie"/>
        </w:rPr>
        <w:footnoteRef/>
      </w:r>
      <w:r w:rsidRPr="002128DA">
        <w:t xml:space="preserve"> Corte Constitucional. Comunicado de prensa 03 del 14 y 15 de febrero de 2024, p. 13.</w:t>
      </w:r>
    </w:p>
  </w:footnote>
  <w:footnote w:id="256">
    <w:p w:rsidR="003C247F" w:rsidRPr="002128DA" w:rsidRDefault="00EE2FA1" w:rsidP="003C247F">
      <w:pPr>
        <w:pStyle w:val="Textonotapie"/>
        <w:spacing w:line="0" w:lineRule="atLeast"/>
        <w:jc w:val="both"/>
        <w:rPr>
          <w:lang w:val="es-ES_tradnl"/>
        </w:rPr>
      </w:pPr>
      <w:r w:rsidRPr="002128DA">
        <w:rPr>
          <w:rStyle w:val="Refdenotaalpie"/>
        </w:rPr>
        <w:footnoteRef/>
      </w:r>
      <w:r w:rsidRPr="002128DA">
        <w:t xml:space="preserve"> </w:t>
      </w:r>
      <w:r w:rsidRPr="002128DA">
        <w:rPr>
          <w:lang w:val="es-ES_tradnl"/>
        </w:rPr>
        <w:t xml:space="preserve">Sentencia C-293 de 2020 MM.PP Gloria Stella Ortiz Delgado y Cristina Pardo Schlesinger. </w:t>
      </w:r>
    </w:p>
  </w:footnote>
  <w:footnote w:id="257">
    <w:p w:rsidR="003C247F" w:rsidRPr="002128DA" w:rsidRDefault="00EE2FA1" w:rsidP="003C247F">
      <w:pPr>
        <w:pStyle w:val="Textonotapie"/>
        <w:spacing w:line="0" w:lineRule="atLeast"/>
        <w:jc w:val="both"/>
      </w:pPr>
      <w:r w:rsidRPr="002128DA">
        <w:rPr>
          <w:rStyle w:val="Refdenotaalpie"/>
        </w:rPr>
        <w:footnoteRef/>
      </w:r>
      <w:r w:rsidRPr="002128DA">
        <w:t xml:space="preserve"> </w:t>
      </w:r>
      <w:r w:rsidRPr="002128DA">
        <w:rPr>
          <w:lang w:val="es-ES"/>
        </w:rPr>
        <w:t xml:space="preserve">Expediente digital D-15253. </w:t>
      </w:r>
      <w:hyperlink r:id="rId39" w:tgtFrame="blank" w:history="1">
        <w:r w:rsidRPr="002128DA">
          <w:rPr>
            <w:rStyle w:val="Hipervnculo"/>
            <w:color w:val="auto"/>
          </w:rPr>
          <w:t>Concepto - Instituto Colombiano de Derecho Tributario</w:t>
        </w:r>
      </w:hyperlink>
      <w:r w:rsidRPr="002128DA">
        <w:rPr>
          <w:lang w:val="es-ES"/>
        </w:rPr>
        <w:t>, folio 15.</w:t>
      </w:r>
    </w:p>
  </w:footnote>
  <w:footnote w:id="258">
    <w:p w:rsidR="003C247F" w:rsidRPr="002128DA" w:rsidRDefault="00EE2FA1" w:rsidP="003C247F">
      <w:pPr>
        <w:pStyle w:val="Textonotapie"/>
        <w:spacing w:line="0" w:lineRule="atLeast"/>
        <w:jc w:val="both"/>
      </w:pPr>
      <w:r w:rsidRPr="002128DA">
        <w:rPr>
          <w:rStyle w:val="Refdenotaalpie"/>
        </w:rPr>
        <w:footnoteRef/>
      </w:r>
      <w:r w:rsidRPr="002128DA">
        <w:t xml:space="preserve"> M. P. Paola Andrea Meneses Mosquera.</w:t>
      </w:r>
    </w:p>
  </w:footnote>
  <w:footnote w:id="259">
    <w:p w:rsidR="003C247F" w:rsidRPr="002128DA" w:rsidRDefault="00EE2FA1" w:rsidP="003C247F">
      <w:pPr>
        <w:pStyle w:val="Textonotapie"/>
        <w:spacing w:line="0" w:lineRule="atLeast"/>
        <w:jc w:val="both"/>
        <w:rPr>
          <w:lang w:val="es-ES_tradnl"/>
        </w:rPr>
      </w:pPr>
      <w:r w:rsidRPr="002128DA">
        <w:rPr>
          <w:rStyle w:val="Refdenotaalpie"/>
        </w:rPr>
        <w:footnoteRef/>
      </w:r>
      <w:r w:rsidRPr="002128DA">
        <w:t xml:space="preserve"> </w:t>
      </w:r>
      <w:r w:rsidRPr="002128DA">
        <w:rPr>
          <w:lang w:val="es-ES_tradnl"/>
        </w:rPr>
        <w:t xml:space="preserve">M.P. María Victoria Calle. </w:t>
      </w:r>
    </w:p>
  </w:footnote>
  <w:footnote w:id="260">
    <w:p w:rsidR="003C247F" w:rsidRPr="002128DA" w:rsidRDefault="00EE2FA1" w:rsidP="003C247F">
      <w:pPr>
        <w:pStyle w:val="NormalWeb"/>
        <w:spacing w:line="0" w:lineRule="atLeast"/>
        <w:jc w:val="both"/>
        <w:rPr>
          <w:sz w:val="20"/>
          <w:szCs w:val="20"/>
        </w:rPr>
      </w:pPr>
      <w:r w:rsidRPr="002128DA">
        <w:rPr>
          <w:rStyle w:val="Refdenotaalpie"/>
          <w:sz w:val="20"/>
          <w:szCs w:val="20"/>
        </w:rPr>
        <w:footnoteRef/>
      </w:r>
      <w:r w:rsidRPr="002128DA">
        <w:rPr>
          <w:sz w:val="20"/>
          <w:szCs w:val="20"/>
        </w:rPr>
        <w:t xml:space="preserve"> </w:t>
      </w:r>
      <w:r w:rsidRPr="002128DA">
        <w:rPr>
          <w:b/>
          <w:bCs/>
          <w:sz w:val="20"/>
          <w:szCs w:val="20"/>
        </w:rPr>
        <w:t>Artículo 69.</w:t>
      </w:r>
      <w:r w:rsidRPr="002128DA">
        <w:rPr>
          <w:rStyle w:val="apple-converted-space"/>
          <w:b/>
          <w:bCs/>
          <w:sz w:val="20"/>
          <w:szCs w:val="20"/>
        </w:rPr>
        <w:t> </w:t>
      </w:r>
      <w:r w:rsidRPr="002128DA">
        <w:rPr>
          <w:b/>
          <w:bCs/>
          <w:i/>
          <w:iCs/>
          <w:sz w:val="20"/>
          <w:szCs w:val="20"/>
        </w:rPr>
        <w:t xml:space="preserve">Contribución parafiscal a </w:t>
      </w:r>
      <w:r w:rsidRPr="002128DA">
        <w:rPr>
          <w:b/>
          <w:bCs/>
          <w:i/>
          <w:iCs/>
          <w:sz w:val="20"/>
          <w:szCs w:val="20"/>
        </w:rPr>
        <w:t>combustible</w:t>
      </w:r>
      <w:r w:rsidRPr="002128DA">
        <w:rPr>
          <w:i/>
          <w:iCs/>
          <w:sz w:val="20"/>
          <w:szCs w:val="20"/>
        </w:rPr>
        <w:t>.</w:t>
      </w:r>
      <w:r w:rsidRPr="002128DA">
        <w:rPr>
          <w:rStyle w:val="apple-converted-space"/>
          <w:i/>
          <w:iCs/>
          <w:sz w:val="20"/>
          <w:szCs w:val="20"/>
        </w:rPr>
        <w:t> </w:t>
      </w:r>
      <w:r w:rsidRPr="002128DA">
        <w:rPr>
          <w:sz w:val="20"/>
          <w:szCs w:val="20"/>
        </w:rPr>
        <w:t>Créase el "Diferencial de Participación" como contribución parafiscal, del Fondo de Estabilización de Precios de Combustibles para atenuar las fluctuaciones de los precios de los combustibles, de conformidad con las Leyes</w:t>
      </w:r>
      <w:r w:rsidRPr="002128DA">
        <w:rPr>
          <w:rStyle w:val="apple-converted-space"/>
          <w:sz w:val="20"/>
          <w:szCs w:val="20"/>
        </w:rPr>
        <w:t> </w:t>
      </w:r>
      <w:hyperlink r:id="rId40" w:anchor="0" w:history="1">
        <w:r w:rsidRPr="002128DA">
          <w:rPr>
            <w:rStyle w:val="Hipervnculo"/>
            <w:color w:val="auto"/>
            <w:sz w:val="20"/>
            <w:szCs w:val="20"/>
            <w:u w:val="none"/>
          </w:rPr>
          <w:t>1151</w:t>
        </w:r>
      </w:hyperlink>
      <w:r w:rsidRPr="002128DA">
        <w:rPr>
          <w:rStyle w:val="apple-converted-space"/>
          <w:sz w:val="20"/>
          <w:szCs w:val="20"/>
        </w:rPr>
        <w:t> </w:t>
      </w:r>
      <w:r w:rsidRPr="002128DA">
        <w:rPr>
          <w:sz w:val="20"/>
          <w:szCs w:val="20"/>
        </w:rPr>
        <w:t>de 2007 y</w:t>
      </w:r>
      <w:r w:rsidRPr="002128DA">
        <w:rPr>
          <w:rStyle w:val="apple-converted-space"/>
          <w:sz w:val="20"/>
          <w:szCs w:val="20"/>
        </w:rPr>
        <w:t> </w:t>
      </w:r>
      <w:hyperlink r:id="rId41" w:anchor="0" w:history="1">
        <w:r w:rsidRPr="002128DA">
          <w:rPr>
            <w:rStyle w:val="Hipervnculo"/>
            <w:color w:val="auto"/>
            <w:sz w:val="20"/>
            <w:szCs w:val="20"/>
            <w:u w:val="none"/>
          </w:rPr>
          <w:t>1450</w:t>
        </w:r>
      </w:hyperlink>
      <w:r w:rsidRPr="002128DA">
        <w:rPr>
          <w:rStyle w:val="apple-converted-space"/>
          <w:sz w:val="20"/>
          <w:szCs w:val="20"/>
        </w:rPr>
        <w:t> </w:t>
      </w:r>
      <w:r w:rsidRPr="002128DA">
        <w:rPr>
          <w:sz w:val="20"/>
          <w:szCs w:val="20"/>
        </w:rPr>
        <w:t>de 2011.</w:t>
      </w:r>
    </w:p>
    <w:p w:rsidR="003C247F" w:rsidRPr="002128DA" w:rsidRDefault="00EE2FA1" w:rsidP="003C247F">
      <w:pPr>
        <w:pStyle w:val="NormalWeb"/>
        <w:spacing w:line="0" w:lineRule="atLeast"/>
        <w:jc w:val="both"/>
        <w:rPr>
          <w:sz w:val="20"/>
          <w:szCs w:val="20"/>
        </w:rPr>
      </w:pPr>
      <w:r w:rsidRPr="002128DA">
        <w:rPr>
          <w:sz w:val="20"/>
          <w:szCs w:val="20"/>
        </w:rPr>
        <w:t xml:space="preserve">El Ministerio de Minas ejercerá las funciones de control, </w:t>
      </w:r>
      <w:r w:rsidRPr="002128DA">
        <w:rPr>
          <w:sz w:val="20"/>
          <w:szCs w:val="20"/>
        </w:rPr>
        <w:t>gestión, fiscalización, liquidación, determinación, discusión y cobro del Diferencial de Participación</w:t>
      </w:r>
    </w:p>
  </w:footnote>
  <w:footnote w:id="261">
    <w:p w:rsidR="003C247F" w:rsidRPr="002128DA" w:rsidRDefault="00EE2FA1" w:rsidP="003C247F">
      <w:pPr>
        <w:pStyle w:val="NormalWeb"/>
        <w:spacing w:line="0" w:lineRule="atLeast"/>
        <w:jc w:val="both"/>
        <w:rPr>
          <w:sz w:val="20"/>
          <w:szCs w:val="20"/>
        </w:rPr>
      </w:pPr>
      <w:r w:rsidRPr="002128DA">
        <w:rPr>
          <w:rStyle w:val="Refdenotaalpie"/>
          <w:sz w:val="20"/>
          <w:szCs w:val="20"/>
        </w:rPr>
        <w:footnoteRef/>
      </w:r>
      <w:r w:rsidRPr="002128DA">
        <w:rPr>
          <w:sz w:val="20"/>
          <w:szCs w:val="20"/>
        </w:rPr>
        <w:t xml:space="preserve"> </w:t>
      </w:r>
      <w:bookmarkStart w:id="9" w:name="70"/>
      <w:r w:rsidRPr="002128DA">
        <w:rPr>
          <w:b/>
          <w:bCs/>
          <w:sz w:val="20"/>
          <w:szCs w:val="20"/>
        </w:rPr>
        <w:t> </w:t>
      </w:r>
      <w:bookmarkEnd w:id="9"/>
      <w:r w:rsidRPr="002128DA">
        <w:rPr>
          <w:b/>
          <w:bCs/>
          <w:sz w:val="20"/>
          <w:szCs w:val="20"/>
        </w:rPr>
        <w:t>Artículo 70.</w:t>
      </w:r>
      <w:r w:rsidRPr="002128DA">
        <w:rPr>
          <w:rStyle w:val="apple-converted-space"/>
          <w:b/>
          <w:bCs/>
          <w:sz w:val="20"/>
          <w:szCs w:val="20"/>
        </w:rPr>
        <w:t> </w:t>
      </w:r>
      <w:r w:rsidRPr="002128DA">
        <w:rPr>
          <w:b/>
          <w:bCs/>
          <w:i/>
          <w:iCs/>
          <w:sz w:val="20"/>
          <w:szCs w:val="20"/>
        </w:rPr>
        <w:t>Elementos de la Contribución</w:t>
      </w:r>
      <w:r w:rsidRPr="002128DA">
        <w:rPr>
          <w:rStyle w:val="apple-converted-space"/>
          <w:i/>
          <w:iCs/>
          <w:sz w:val="20"/>
          <w:szCs w:val="20"/>
        </w:rPr>
        <w:t> </w:t>
      </w:r>
      <w:r w:rsidRPr="002128DA">
        <w:rPr>
          <w:sz w:val="20"/>
          <w:szCs w:val="20"/>
        </w:rPr>
        <w:t>"Diferencial de Participación".</w:t>
      </w:r>
    </w:p>
    <w:p w:rsidR="003C247F" w:rsidRPr="002128DA" w:rsidRDefault="00EE2FA1" w:rsidP="003C247F">
      <w:pPr>
        <w:spacing w:line="0" w:lineRule="atLeast"/>
        <w:jc w:val="both"/>
        <w:rPr>
          <w:sz w:val="20"/>
          <w:szCs w:val="20"/>
        </w:rPr>
      </w:pPr>
      <w:bookmarkStart w:id="10" w:name="70.1"/>
      <w:r w:rsidRPr="002128DA">
        <w:rPr>
          <w:sz w:val="20"/>
          <w:szCs w:val="20"/>
        </w:rPr>
        <w:t> </w:t>
      </w:r>
      <w:bookmarkEnd w:id="10"/>
      <w:r w:rsidRPr="002128DA">
        <w:rPr>
          <w:sz w:val="20"/>
          <w:szCs w:val="20"/>
        </w:rPr>
        <w:t>1. Hecho generador:</w:t>
      </w:r>
      <w:r w:rsidRPr="002128DA">
        <w:rPr>
          <w:rStyle w:val="apple-converted-space"/>
          <w:sz w:val="20"/>
          <w:szCs w:val="20"/>
        </w:rPr>
        <w:t> </w:t>
      </w:r>
      <w:hyperlink r:id="rId42" w:anchor="5" w:history="1">
        <w:r w:rsidRPr="002128DA">
          <w:rPr>
            <w:rStyle w:val="Hipervnculo"/>
            <w:color w:val="auto"/>
            <w:sz w:val="20"/>
            <w:szCs w:val="20"/>
            <w:u w:val="none"/>
          </w:rPr>
          <w:t>Corregido por el art. 5, Decreto Nacional 1050 de 2015</w:t>
        </w:r>
      </w:hyperlink>
      <w:r w:rsidRPr="002128DA">
        <w:rPr>
          <w:sz w:val="20"/>
          <w:szCs w:val="20"/>
        </w:rPr>
        <w:t>. Es el hecho generado del impuesto nacional a la gasolina y ACPM establecido en el artículo 43 de la present</w:t>
      </w:r>
      <w:r w:rsidRPr="002128DA">
        <w:rPr>
          <w:sz w:val="20"/>
          <w:szCs w:val="20"/>
        </w:rPr>
        <w:t>e ley.</w:t>
      </w:r>
      <w:r w:rsidRPr="002128DA">
        <w:rPr>
          <w:rStyle w:val="apple-converted-space"/>
          <w:sz w:val="20"/>
          <w:szCs w:val="20"/>
        </w:rPr>
        <w:t> </w:t>
      </w:r>
    </w:p>
    <w:p w:rsidR="003C247F" w:rsidRPr="002128DA" w:rsidRDefault="00EE2FA1" w:rsidP="003C247F">
      <w:pPr>
        <w:pStyle w:val="NormalWeb"/>
        <w:spacing w:line="0" w:lineRule="atLeast"/>
        <w:jc w:val="both"/>
        <w:rPr>
          <w:sz w:val="20"/>
          <w:szCs w:val="20"/>
        </w:rPr>
      </w:pPr>
      <w:r w:rsidRPr="002128DA">
        <w:rPr>
          <w:sz w:val="20"/>
          <w:szCs w:val="20"/>
        </w:rPr>
        <w:t>El diferencial se causará cuando el precio de paridad internacional, para el día en que el refinador y/o importador de combustible realice el hecho generador, sea inferior al precio de referencia.</w:t>
      </w:r>
    </w:p>
    <w:p w:rsidR="003C247F" w:rsidRPr="002128DA" w:rsidRDefault="00EE2FA1" w:rsidP="003C247F">
      <w:pPr>
        <w:pStyle w:val="NormalWeb"/>
        <w:spacing w:line="0" w:lineRule="atLeast"/>
        <w:jc w:val="both"/>
        <w:rPr>
          <w:sz w:val="20"/>
          <w:szCs w:val="20"/>
        </w:rPr>
      </w:pPr>
      <w:r w:rsidRPr="002128DA">
        <w:rPr>
          <w:sz w:val="20"/>
          <w:szCs w:val="20"/>
        </w:rPr>
        <w:t>2. Base gravable: Resulta de multiplicar la diferen</w:t>
      </w:r>
      <w:r w:rsidRPr="002128DA">
        <w:rPr>
          <w:sz w:val="20"/>
          <w:szCs w:val="20"/>
        </w:rPr>
        <w:t>cia entre el precio de referencia y el precio de paridad internacional, cuando esta sea positiva, por el volumen de combustible reportado en el momento de venta, retiro o importación; se aplicarán las siguientes definiciones:</w:t>
      </w:r>
    </w:p>
    <w:p w:rsidR="003C247F" w:rsidRPr="002128DA" w:rsidRDefault="00EE2FA1" w:rsidP="003C247F">
      <w:pPr>
        <w:pStyle w:val="NormalWeb"/>
        <w:spacing w:line="0" w:lineRule="atLeast"/>
        <w:jc w:val="both"/>
        <w:rPr>
          <w:sz w:val="20"/>
          <w:szCs w:val="20"/>
        </w:rPr>
      </w:pPr>
      <w:r w:rsidRPr="002128DA">
        <w:rPr>
          <w:sz w:val="20"/>
          <w:szCs w:val="20"/>
        </w:rPr>
        <w:t xml:space="preserve">a) Volumen de combustible: </w:t>
      </w:r>
      <w:r w:rsidRPr="002128DA">
        <w:rPr>
          <w:sz w:val="20"/>
          <w:szCs w:val="20"/>
        </w:rPr>
        <w:t>Volumen de gasolina motor corriente nacional o importada y el ACPM nacional o importado reportado por el refinador y/o importador de combustible;</w:t>
      </w:r>
    </w:p>
    <w:p w:rsidR="003C247F" w:rsidRPr="002128DA" w:rsidRDefault="00EE2FA1" w:rsidP="003C247F">
      <w:pPr>
        <w:pStyle w:val="NormalWeb"/>
        <w:spacing w:line="0" w:lineRule="atLeast"/>
        <w:jc w:val="both"/>
        <w:rPr>
          <w:sz w:val="20"/>
          <w:szCs w:val="20"/>
        </w:rPr>
      </w:pPr>
      <w:r w:rsidRPr="002128DA">
        <w:rPr>
          <w:sz w:val="20"/>
          <w:szCs w:val="20"/>
        </w:rPr>
        <w:t>b) Precio de referencia: Ingreso al productor y es la remuneración a refinadores e importadores por galón de c</w:t>
      </w:r>
      <w:r w:rsidRPr="002128DA">
        <w:rPr>
          <w:sz w:val="20"/>
          <w:szCs w:val="20"/>
        </w:rPr>
        <w:t>ombustible gasolina motor corriente y/o ACPM para el mercado nacional. Este precio se fijará por el Ministerio de Minas, de acuerdo con la metodología que defina el reglamento.</w:t>
      </w:r>
    </w:p>
    <w:p w:rsidR="003C247F" w:rsidRPr="002128DA" w:rsidRDefault="00EE2FA1" w:rsidP="003C247F">
      <w:pPr>
        <w:pStyle w:val="NormalWeb"/>
        <w:spacing w:line="0" w:lineRule="atLeast"/>
        <w:jc w:val="both"/>
        <w:rPr>
          <w:sz w:val="20"/>
          <w:szCs w:val="20"/>
        </w:rPr>
      </w:pPr>
      <w:r w:rsidRPr="002128DA">
        <w:rPr>
          <w:sz w:val="20"/>
          <w:szCs w:val="20"/>
        </w:rPr>
        <w:t>3. Tarifa: Ciento por ciento (100%) de la base gravable.</w:t>
      </w:r>
    </w:p>
    <w:p w:rsidR="003C247F" w:rsidRPr="002128DA" w:rsidRDefault="00EE2FA1" w:rsidP="003C247F">
      <w:pPr>
        <w:spacing w:line="0" w:lineRule="atLeast"/>
        <w:jc w:val="both"/>
        <w:rPr>
          <w:sz w:val="20"/>
          <w:szCs w:val="20"/>
        </w:rPr>
      </w:pPr>
      <w:bookmarkStart w:id="11" w:name="70.4"/>
      <w:r w:rsidRPr="002128DA">
        <w:rPr>
          <w:sz w:val="20"/>
          <w:szCs w:val="20"/>
        </w:rPr>
        <w:t> </w:t>
      </w:r>
      <w:bookmarkEnd w:id="11"/>
      <w:r w:rsidRPr="002128DA">
        <w:rPr>
          <w:sz w:val="20"/>
          <w:szCs w:val="20"/>
        </w:rPr>
        <w:t>4. Sujeto Pasivo:</w:t>
      </w:r>
      <w:r w:rsidRPr="002128DA">
        <w:rPr>
          <w:rStyle w:val="apple-converted-space"/>
          <w:sz w:val="20"/>
          <w:szCs w:val="20"/>
        </w:rPr>
        <w:t> </w:t>
      </w:r>
      <w:hyperlink r:id="rId43" w:anchor="5" w:history="1">
        <w:r w:rsidRPr="002128DA">
          <w:rPr>
            <w:rStyle w:val="Hipervnculo"/>
            <w:color w:val="auto"/>
            <w:sz w:val="20"/>
            <w:szCs w:val="20"/>
            <w:u w:val="none"/>
          </w:rPr>
          <w:t>Corregido por el art. 5, Decreto Nacional 1050 de 2015</w:t>
        </w:r>
      </w:hyperlink>
      <w:r w:rsidRPr="002128DA">
        <w:rPr>
          <w:sz w:val="20"/>
          <w:szCs w:val="20"/>
        </w:rPr>
        <w:t>. Es el sujeto pasivo al que se refiere el artículo 43 de la presente ley.</w:t>
      </w:r>
      <w:r w:rsidRPr="002128DA">
        <w:rPr>
          <w:rStyle w:val="apple-converted-space"/>
          <w:sz w:val="20"/>
          <w:szCs w:val="20"/>
        </w:rPr>
        <w:t> </w:t>
      </w:r>
    </w:p>
    <w:p w:rsidR="003C247F" w:rsidRPr="002128DA" w:rsidRDefault="00EE2FA1" w:rsidP="003C247F">
      <w:pPr>
        <w:pStyle w:val="NormalWeb"/>
        <w:spacing w:line="0" w:lineRule="atLeast"/>
        <w:jc w:val="both"/>
        <w:rPr>
          <w:sz w:val="20"/>
          <w:szCs w:val="20"/>
        </w:rPr>
      </w:pPr>
      <w:r w:rsidRPr="002128DA">
        <w:rPr>
          <w:sz w:val="20"/>
          <w:szCs w:val="20"/>
        </w:rPr>
        <w:t>5. Periodo y pago: El Ministerio d</w:t>
      </w:r>
      <w:r w:rsidRPr="002128DA">
        <w:rPr>
          <w:sz w:val="20"/>
          <w:szCs w:val="20"/>
        </w:rPr>
        <w:t>e Minas calculará y liquidará el diferencial, de acuerdo con el reglamento, trimestralmente. El pago, lo harán los responsables de la contribución, a favor del Tesoro Nacional, dentro de los 15 días calendario siguientes a la notificación que realice el Mi</w:t>
      </w:r>
      <w:r w:rsidRPr="002128DA">
        <w:rPr>
          <w:sz w:val="20"/>
          <w:szCs w:val="20"/>
        </w:rPr>
        <w:t>nisterio de Minas sobre el cálculo del diferencial.</w:t>
      </w:r>
    </w:p>
  </w:footnote>
  <w:footnote w:id="262">
    <w:p w:rsidR="003C247F" w:rsidRPr="002128DA" w:rsidRDefault="00EE2FA1" w:rsidP="003C247F">
      <w:pPr>
        <w:pStyle w:val="Textonotapie"/>
        <w:spacing w:line="0" w:lineRule="atLeast"/>
        <w:jc w:val="both"/>
      </w:pPr>
      <w:r w:rsidRPr="002128DA">
        <w:rPr>
          <w:rStyle w:val="Refdenotaalpie"/>
        </w:rPr>
        <w:footnoteRef/>
      </w:r>
      <w:r w:rsidRPr="002128DA">
        <w:t xml:space="preserve"> Corte Constitucional. Comunicado de prensa 03 del 14 y 15 de febrero de 2024, p. 13.</w:t>
      </w:r>
    </w:p>
  </w:footnote>
  <w:footnote w:id="263">
    <w:p w:rsidR="003C247F" w:rsidRPr="002128DA" w:rsidRDefault="00EE2FA1" w:rsidP="003C247F">
      <w:pPr>
        <w:pStyle w:val="Textonotapie"/>
        <w:spacing w:line="0" w:lineRule="atLeast"/>
        <w:jc w:val="both"/>
      </w:pPr>
      <w:r w:rsidRPr="002128DA">
        <w:rPr>
          <w:rStyle w:val="Refdenotaalpie"/>
        </w:rPr>
        <w:footnoteRef/>
      </w:r>
      <w:r w:rsidRPr="002128DA">
        <w:t xml:space="preserve"> Al respecto ver la Sentencia C-030 de 2019 M.P. Cristina Pardo Schlesinger. </w:t>
      </w:r>
    </w:p>
  </w:footnote>
  <w:footnote w:id="264">
    <w:p w:rsidR="008B6C5B" w:rsidRPr="002128DA" w:rsidRDefault="00EE2FA1" w:rsidP="008B6C5B">
      <w:pPr>
        <w:pStyle w:val="Textonotapie"/>
        <w:jc w:val="both"/>
      </w:pPr>
      <w:r w:rsidRPr="002128DA">
        <w:rPr>
          <w:rStyle w:val="Refdenotaalpie"/>
          <w:rFonts w:eastAsiaTheme="majorEastAsia"/>
        </w:rPr>
        <w:footnoteRef/>
      </w:r>
      <w:r w:rsidRPr="002128DA">
        <w:t xml:space="preserve"> Artículo 11 de la Resolución 164 de </w:t>
      </w:r>
      <w:r w:rsidRPr="002128DA">
        <w:t>2015, expedida por la ANH, modificado por el l artículo 3 de la Resolución 855 de 2020.</w:t>
      </w:r>
    </w:p>
  </w:footnote>
  <w:footnote w:id="265">
    <w:p w:rsidR="003C247F" w:rsidRPr="002128DA" w:rsidRDefault="00EE2FA1" w:rsidP="003C247F">
      <w:pPr>
        <w:pStyle w:val="Textonotapie"/>
        <w:spacing w:line="0" w:lineRule="atLeast"/>
        <w:jc w:val="both"/>
      </w:pPr>
      <w:r w:rsidRPr="002128DA">
        <w:rPr>
          <w:rStyle w:val="Refdenotaalpie"/>
        </w:rPr>
        <w:footnoteRef/>
      </w:r>
      <w:r w:rsidRPr="002128DA">
        <w:t xml:space="preserve"> </w:t>
      </w:r>
      <w:r w:rsidRPr="002128DA">
        <w:rPr>
          <w:lang w:val="es-ES"/>
        </w:rPr>
        <w:t xml:space="preserve">Expediente digital D-15253. </w:t>
      </w:r>
      <w:hyperlink r:id="rId44" w:tgtFrame="blank" w:history="1">
        <w:r w:rsidRPr="002128DA">
          <w:rPr>
            <w:rStyle w:val="Hipervnculo"/>
            <w:color w:val="auto"/>
          </w:rPr>
          <w:t>Respuesta a oficio OPC-101/23 - Minister</w:t>
        </w:r>
        <w:r w:rsidRPr="002128DA">
          <w:rPr>
            <w:rStyle w:val="Hipervnculo"/>
            <w:color w:val="auto"/>
          </w:rPr>
          <w:t>io de Hacienda</w:t>
        </w:r>
      </w:hyperlink>
      <w:r w:rsidRPr="002128DA">
        <w:rPr>
          <w:lang w:val="es-ES"/>
        </w:rPr>
        <w:t xml:space="preserve">, folios 5 y 6 y </w:t>
      </w:r>
      <w:hyperlink r:id="rId45" w:tgtFrame="blank" w:history="1">
        <w:r w:rsidRPr="002128DA">
          <w:rPr>
            <w:rStyle w:val="Hipervnculo"/>
            <w:color w:val="auto"/>
          </w:rPr>
          <w:t>Remisión de pruebas - Respuesta al oficio No. OPC-187 de 2023</w:t>
        </w:r>
      </w:hyperlink>
      <w:r w:rsidRPr="002128DA">
        <w:rPr>
          <w:lang w:val="es-ES"/>
        </w:rPr>
        <w:t>.</w:t>
      </w:r>
    </w:p>
  </w:footnote>
  <w:footnote w:id="266">
    <w:p w:rsidR="003C247F" w:rsidRPr="002128DA" w:rsidRDefault="00EE2FA1" w:rsidP="003C247F">
      <w:pPr>
        <w:pStyle w:val="Textonotapie"/>
        <w:spacing w:line="0" w:lineRule="atLeast"/>
        <w:jc w:val="both"/>
      </w:pPr>
      <w:r w:rsidRPr="002128DA">
        <w:rPr>
          <w:rStyle w:val="Refdenotaalpie"/>
        </w:rPr>
        <w:footnoteRef/>
      </w:r>
      <w:r w:rsidRPr="002128DA">
        <w:t xml:space="preserve"> </w:t>
      </w:r>
      <w:r w:rsidRPr="002128DA">
        <w:rPr>
          <w:lang w:val="es-ES"/>
        </w:rPr>
        <w:t xml:space="preserve">Expediente digital D-15253. </w:t>
      </w:r>
      <w:hyperlink r:id="rId46" w:tgtFrame="blank" w:history="1">
        <w:r w:rsidRPr="002128DA">
          <w:rPr>
            <w:rStyle w:val="Hipervnculo"/>
            <w:color w:val="auto"/>
          </w:rPr>
          <w:t>Respuesta a oficio OPC-101/23 - Ministerio de Hacienda</w:t>
        </w:r>
      </w:hyperlink>
      <w:r w:rsidRPr="002128DA">
        <w:rPr>
          <w:lang w:val="es-ES"/>
        </w:rPr>
        <w:t xml:space="preserve">, folio 8 y </w:t>
      </w:r>
      <w:hyperlink r:id="rId47" w:tgtFrame="blank" w:history="1">
        <w:r w:rsidRPr="002128DA">
          <w:rPr>
            <w:rStyle w:val="Hipervnculo"/>
            <w:color w:val="auto"/>
          </w:rPr>
          <w:t>Remisión de pruebas - Respuesta al oficio No. OPC-187 de 2023</w:t>
        </w:r>
      </w:hyperlink>
      <w:r w:rsidRPr="002128DA">
        <w:rPr>
          <w:lang w:val="es-ES"/>
        </w:rPr>
        <w:t>.</w:t>
      </w:r>
    </w:p>
  </w:footnote>
  <w:footnote w:id="267">
    <w:p w:rsidR="003C247F" w:rsidRPr="002128DA" w:rsidRDefault="00EE2FA1" w:rsidP="003C247F">
      <w:pPr>
        <w:pStyle w:val="Textonotapie"/>
        <w:spacing w:line="0" w:lineRule="atLeast"/>
        <w:jc w:val="both"/>
      </w:pPr>
      <w:r w:rsidRPr="002128DA">
        <w:rPr>
          <w:rStyle w:val="Refdenotaalpie"/>
        </w:rPr>
        <w:footnoteRef/>
      </w:r>
      <w:r w:rsidRPr="002128DA">
        <w:t xml:space="preserve"> Ponencia para segundo debate en la plenaria de la Cámara de Representantes al proyecto de ley número 118 de 2022 Cámara y 131 de 2022 Senado. Gaceta del Congreso 1358 de 2022, p. 11.</w:t>
      </w:r>
    </w:p>
  </w:footnote>
  <w:footnote w:id="268">
    <w:p w:rsidR="00202D96" w:rsidRPr="002128DA" w:rsidRDefault="00EE2FA1">
      <w:pPr>
        <w:pStyle w:val="Textonotapie"/>
        <w:rPr>
          <w:lang w:val="es-ES_tradnl"/>
        </w:rPr>
      </w:pPr>
      <w:r w:rsidRPr="002128DA">
        <w:rPr>
          <w:rStyle w:val="Refdenotaalpie"/>
        </w:rPr>
        <w:footnoteRef/>
      </w:r>
      <w:r w:rsidRPr="002128DA">
        <w:t xml:space="preserve"> Se</w:t>
      </w:r>
      <w:r w:rsidRPr="002128DA">
        <w:t xml:space="preserve">ntencia C-489 de 2023 MM.PP. Cristina Pardo Schlesinger y </w:t>
      </w:r>
      <w:r w:rsidRPr="002128DA">
        <w:t xml:space="preserve">Jorge Enrique Ibáñez Najar. </w:t>
      </w:r>
    </w:p>
  </w:footnote>
  <w:footnote w:id="269">
    <w:p w:rsidR="003C247F" w:rsidRPr="003D450D" w:rsidRDefault="00EE2FA1" w:rsidP="003C247F">
      <w:pPr>
        <w:pStyle w:val="Textonotapie"/>
        <w:spacing w:line="0" w:lineRule="atLeast"/>
        <w:jc w:val="both"/>
      </w:pPr>
      <w:r w:rsidRPr="002128DA">
        <w:rPr>
          <w:rStyle w:val="Refdenotaalpie"/>
        </w:rPr>
        <w:footnoteRef/>
      </w:r>
      <w:r w:rsidRPr="002128DA">
        <w:t xml:space="preserve"> Corte Constitucional. Comunicado de prensa 03 del 14 y 15 de febrero de 2024. P.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A7A"/>
    <w:multiLevelType w:val="hybridMultilevel"/>
    <w:tmpl w:val="08805C0A"/>
    <w:lvl w:ilvl="0" w:tplc="9D7639DC">
      <w:start w:val="2"/>
      <w:numFmt w:val="bullet"/>
      <w:lvlText w:val="-"/>
      <w:lvlJc w:val="left"/>
      <w:pPr>
        <w:ind w:left="720" w:hanging="360"/>
      </w:pPr>
      <w:rPr>
        <w:rFonts w:ascii="Times New Roman" w:eastAsia="Times New Roma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917DA5"/>
    <w:multiLevelType w:val="hybridMultilevel"/>
    <w:tmpl w:val="D0C23BE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D8C234E"/>
    <w:multiLevelType w:val="hybridMultilevel"/>
    <w:tmpl w:val="A7341476"/>
    <w:lvl w:ilvl="0" w:tplc="76421DA8">
      <w:start w:val="1"/>
      <w:numFmt w:val="decimal"/>
      <w:lvlText w:val="%1."/>
      <w:lvlJc w:val="left"/>
      <w:pPr>
        <w:ind w:left="720" w:hanging="360"/>
      </w:pPr>
    </w:lvl>
    <w:lvl w:ilvl="1" w:tplc="FEFCB4BA">
      <w:start w:val="1"/>
      <w:numFmt w:val="lowerLetter"/>
      <w:lvlText w:val="%2."/>
      <w:lvlJc w:val="left"/>
      <w:pPr>
        <w:ind w:left="1440" w:hanging="360"/>
      </w:pPr>
    </w:lvl>
    <w:lvl w:ilvl="2" w:tplc="F86E2012">
      <w:start w:val="1"/>
      <w:numFmt w:val="lowerRoman"/>
      <w:lvlText w:val="%3."/>
      <w:lvlJc w:val="right"/>
      <w:pPr>
        <w:ind w:left="2160" w:hanging="180"/>
      </w:pPr>
    </w:lvl>
    <w:lvl w:ilvl="3" w:tplc="A7A2792C">
      <w:start w:val="1"/>
      <w:numFmt w:val="decimal"/>
      <w:lvlText w:val="%4."/>
      <w:lvlJc w:val="left"/>
      <w:pPr>
        <w:ind w:left="2880" w:hanging="360"/>
      </w:pPr>
    </w:lvl>
    <w:lvl w:ilvl="4" w:tplc="23ECA026">
      <w:start w:val="1"/>
      <w:numFmt w:val="lowerLetter"/>
      <w:lvlText w:val="%5."/>
      <w:lvlJc w:val="left"/>
      <w:pPr>
        <w:ind w:left="3600" w:hanging="360"/>
      </w:pPr>
    </w:lvl>
    <w:lvl w:ilvl="5" w:tplc="6666B300">
      <w:start w:val="1"/>
      <w:numFmt w:val="lowerRoman"/>
      <w:lvlText w:val="%6."/>
      <w:lvlJc w:val="right"/>
      <w:pPr>
        <w:ind w:left="4320" w:hanging="180"/>
      </w:pPr>
    </w:lvl>
    <w:lvl w:ilvl="6" w:tplc="7E2A9820">
      <w:start w:val="1"/>
      <w:numFmt w:val="decimal"/>
      <w:lvlText w:val="%7."/>
      <w:lvlJc w:val="left"/>
      <w:pPr>
        <w:ind w:left="5040" w:hanging="360"/>
      </w:pPr>
    </w:lvl>
    <w:lvl w:ilvl="7" w:tplc="A97ED3DE">
      <w:start w:val="1"/>
      <w:numFmt w:val="lowerLetter"/>
      <w:lvlText w:val="%8."/>
      <w:lvlJc w:val="left"/>
      <w:pPr>
        <w:ind w:left="5760" w:hanging="360"/>
      </w:pPr>
    </w:lvl>
    <w:lvl w:ilvl="8" w:tplc="73980C58">
      <w:start w:val="1"/>
      <w:numFmt w:val="lowerRoman"/>
      <w:lvlText w:val="%9."/>
      <w:lvlJc w:val="right"/>
      <w:pPr>
        <w:ind w:left="6480" w:hanging="180"/>
      </w:pPr>
    </w:lvl>
  </w:abstractNum>
  <w:abstractNum w:abstractNumId="3" w15:restartNumberingAfterBreak="0">
    <w:nsid w:val="30235D72"/>
    <w:multiLevelType w:val="hybridMultilevel"/>
    <w:tmpl w:val="28A6DA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D7618E7"/>
    <w:multiLevelType w:val="hybridMultilevel"/>
    <w:tmpl w:val="6BCE2120"/>
    <w:lvl w:ilvl="0" w:tplc="7AA8206E">
      <w:start w:val="7"/>
      <w:numFmt w:val="bullet"/>
      <w:lvlText w:val="-"/>
      <w:lvlJc w:val="left"/>
      <w:pPr>
        <w:ind w:left="720" w:hanging="360"/>
      </w:pPr>
      <w:rPr>
        <w:rFonts w:ascii="Times New Roman" w:eastAsia="Times New Roma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B6B25A6"/>
    <w:multiLevelType w:val="hybridMultilevel"/>
    <w:tmpl w:val="36DE43B2"/>
    <w:lvl w:ilvl="0" w:tplc="B18CC94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E225A13"/>
    <w:multiLevelType w:val="hybridMultilevel"/>
    <w:tmpl w:val="0A0834D8"/>
    <w:lvl w:ilvl="0" w:tplc="A4F4BD46">
      <w:start w:val="1"/>
      <w:numFmt w:val="decimal"/>
      <w:lvlText w:val="%1."/>
      <w:lvlJc w:val="left"/>
      <w:pPr>
        <w:ind w:left="360" w:hanging="360"/>
      </w:pPr>
      <w:rPr>
        <w:rFonts w:hint="default"/>
        <w:b w:val="0"/>
        <w:bCs w:val="0"/>
        <w:i w:val="0"/>
        <w:iCs w:val="0"/>
        <w:sz w:val="28"/>
        <w:szCs w:val="2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2"/>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12A"/>
    <w:rsid w:val="004D312A"/>
    <w:rsid w:val="00E76952"/>
    <w:rsid w:val="00EE2F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0424C548-0A55-4376-B7A8-B743EEA7B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semiHidden/>
    <w:unhideWhenUsed/>
    <w:qFormat/>
    <w:rsid w:val="0043410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902297"/>
    <w:pPr>
      <w:keepNext/>
      <w:keepLines/>
      <w:spacing w:before="40"/>
      <w:outlineLvl w:val="5"/>
    </w:pPr>
    <w:rPr>
      <w:rFonts w:eastAsiaTheme="majorEastAsia" w:cstheme="majorBidi"/>
      <w:i/>
      <w:iCs/>
      <w:color w:val="595959" w:themeColor="text1" w:themeTint="A6"/>
      <w:kern w:val="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Ref. de nota al pi"/>
    <w:basedOn w:val="Normal"/>
    <w:link w:val="TextonotapieCar"/>
    <w:uiPriority w:val="99"/>
    <w:unhideWhenUsed/>
    <w:qFormat/>
    <w:rsid w:val="00673952"/>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r Car1,Ref. de nota al pi Car"/>
    <w:basedOn w:val="Fuentedeprrafopredeter"/>
    <w:link w:val="Textonotapie"/>
    <w:uiPriority w:val="99"/>
    <w:qFormat/>
    <w:rsid w:val="00673952"/>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673952"/>
    <w:rPr>
      <w:vertAlign w:val="superscript"/>
    </w:rPr>
  </w:style>
  <w:style w:type="character" w:styleId="Hipervnculo">
    <w:name w:val="Hyperlink"/>
    <w:basedOn w:val="Fuentedeprrafopredeter"/>
    <w:uiPriority w:val="99"/>
    <w:unhideWhenUsed/>
    <w:rsid w:val="00673952"/>
    <w:rPr>
      <w:color w:val="0563C1" w:themeColor="hyperlink"/>
      <w:u w:val="single"/>
    </w:rPr>
  </w:style>
  <w:style w:type="character" w:customStyle="1" w:styleId="Mencinsinresolver1">
    <w:name w:val="Mención sin resolver1"/>
    <w:basedOn w:val="Fuentedeprrafopredeter"/>
    <w:uiPriority w:val="99"/>
    <w:semiHidden/>
    <w:unhideWhenUsed/>
    <w:rsid w:val="00673952"/>
    <w:rPr>
      <w:color w:val="605E5C"/>
      <w:shd w:val="clear" w:color="auto" w:fill="E1DFDD"/>
    </w:rPr>
  </w:style>
  <w:style w:type="paragraph" w:styleId="Prrafodelista">
    <w:name w:val="List Paragraph"/>
    <w:aliases w:val="List1,titulo 3,Párrafo de lista1,Bullets,Párrafo de lista2,Dot pt,F5 List Paragraph,Normal1,párrafos sentencia,Colorful List - Accent 11,Ha,List Paragraph1,lp1,List Paragraph2,Lista vistosa - Énfasis 11,Normal2,No Spacing1,Lista1,normal"/>
    <w:basedOn w:val="Normal"/>
    <w:link w:val="PrrafodelistaCar"/>
    <w:uiPriority w:val="34"/>
    <w:qFormat/>
    <w:rsid w:val="00673952"/>
    <w:pPr>
      <w:ind w:left="720"/>
      <w:contextualSpacing/>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A5492F"/>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ar,Ref. de nota al pie1 Car,ft Car"/>
    <w:uiPriority w:val="99"/>
    <w:qFormat/>
    <w:locked/>
    <w:rsid w:val="00A5492F"/>
    <w:rPr>
      <w:rFonts w:ascii="Times New Roman" w:eastAsia="Calibri" w:hAnsi="Times New Roman" w:cs="Times New Roman"/>
      <w:sz w:val="20"/>
      <w:szCs w:val="20"/>
      <w:lang w:val="es-ES" w:eastAsia="es-ES"/>
    </w:rPr>
  </w:style>
  <w:style w:type="paragraph" w:styleId="Encabezado">
    <w:name w:val="header"/>
    <w:basedOn w:val="Normal"/>
    <w:link w:val="EncabezadoCar"/>
    <w:uiPriority w:val="99"/>
    <w:unhideWhenUsed/>
    <w:rsid w:val="00A5492F"/>
    <w:pPr>
      <w:tabs>
        <w:tab w:val="center" w:pos="4419"/>
        <w:tab w:val="right" w:pos="8838"/>
      </w:tabs>
    </w:pPr>
  </w:style>
  <w:style w:type="character" w:customStyle="1" w:styleId="EncabezadoCar">
    <w:name w:val="Encabezado Car"/>
    <w:basedOn w:val="Fuentedeprrafopredeter"/>
    <w:link w:val="Encabezado"/>
    <w:uiPriority w:val="99"/>
    <w:rsid w:val="00A5492F"/>
  </w:style>
  <w:style w:type="paragraph" w:styleId="Piedepgina">
    <w:name w:val="footer"/>
    <w:basedOn w:val="Normal"/>
    <w:link w:val="PiedepginaCar"/>
    <w:uiPriority w:val="99"/>
    <w:unhideWhenUsed/>
    <w:rsid w:val="00A5492F"/>
    <w:pPr>
      <w:tabs>
        <w:tab w:val="center" w:pos="4419"/>
        <w:tab w:val="right" w:pos="8838"/>
      </w:tabs>
    </w:pPr>
  </w:style>
  <w:style w:type="character" w:customStyle="1" w:styleId="PiedepginaCar">
    <w:name w:val="Pie de página Car"/>
    <w:basedOn w:val="Fuentedeprrafopredeter"/>
    <w:link w:val="Piedepgina"/>
    <w:uiPriority w:val="99"/>
    <w:rsid w:val="00A5492F"/>
  </w:style>
  <w:style w:type="paragraph" w:styleId="NormalWeb">
    <w:name w:val="Normal (Web)"/>
    <w:basedOn w:val="Normal"/>
    <w:uiPriority w:val="99"/>
    <w:unhideWhenUsed/>
    <w:rsid w:val="003B3285"/>
  </w:style>
  <w:style w:type="character" w:styleId="Refdecomentario">
    <w:name w:val="annotation reference"/>
    <w:basedOn w:val="Fuentedeprrafopredeter"/>
    <w:uiPriority w:val="99"/>
    <w:semiHidden/>
    <w:unhideWhenUsed/>
    <w:rsid w:val="009562C9"/>
    <w:rPr>
      <w:sz w:val="16"/>
      <w:szCs w:val="16"/>
    </w:rPr>
  </w:style>
  <w:style w:type="paragraph" w:styleId="Textocomentario">
    <w:name w:val="annotation text"/>
    <w:basedOn w:val="Normal"/>
    <w:link w:val="TextocomentarioCar"/>
    <w:uiPriority w:val="99"/>
    <w:unhideWhenUsed/>
    <w:rsid w:val="009562C9"/>
    <w:rPr>
      <w:sz w:val="20"/>
      <w:szCs w:val="20"/>
    </w:rPr>
  </w:style>
  <w:style w:type="character" w:customStyle="1" w:styleId="TextocomentarioCar">
    <w:name w:val="Texto comentario Car"/>
    <w:basedOn w:val="Fuentedeprrafopredeter"/>
    <w:link w:val="Textocomentario"/>
    <w:uiPriority w:val="99"/>
    <w:rsid w:val="009562C9"/>
    <w:rPr>
      <w:sz w:val="20"/>
      <w:szCs w:val="20"/>
    </w:rPr>
  </w:style>
  <w:style w:type="paragraph" w:styleId="Asuntodelcomentario">
    <w:name w:val="annotation subject"/>
    <w:basedOn w:val="Textocomentario"/>
    <w:next w:val="Textocomentario"/>
    <w:link w:val="AsuntodelcomentarioCar"/>
    <w:uiPriority w:val="99"/>
    <w:semiHidden/>
    <w:unhideWhenUsed/>
    <w:rsid w:val="009562C9"/>
    <w:rPr>
      <w:b/>
      <w:bCs/>
    </w:rPr>
  </w:style>
  <w:style w:type="character" w:customStyle="1" w:styleId="AsuntodelcomentarioCar">
    <w:name w:val="Asunto del comentario Car"/>
    <w:basedOn w:val="TextocomentarioCar"/>
    <w:link w:val="Asuntodelcomentario"/>
    <w:uiPriority w:val="99"/>
    <w:semiHidden/>
    <w:rsid w:val="009562C9"/>
    <w:rPr>
      <w:b/>
      <w:bCs/>
      <w:sz w:val="20"/>
      <w:szCs w:val="20"/>
    </w:rPr>
  </w:style>
  <w:style w:type="paragraph" w:styleId="Revisin">
    <w:name w:val="Revision"/>
    <w:hidden/>
    <w:uiPriority w:val="99"/>
    <w:semiHidden/>
    <w:rsid w:val="0089624B"/>
  </w:style>
  <w:style w:type="paragraph" w:customStyle="1" w:styleId="Refdenotaalpie2">
    <w:name w:val="Ref. de nota al pie2"/>
    <w:aliases w:val="Pie de pagina"/>
    <w:basedOn w:val="Normal"/>
    <w:uiPriority w:val="99"/>
    <w:rsid w:val="00AE40CB"/>
    <w:pPr>
      <w:spacing w:line="240" w:lineRule="exact"/>
    </w:pPr>
    <w:rPr>
      <w:rFonts w:ascii="Calibri" w:eastAsia="Calibri" w:hAnsi="Calibri" w:cs="Calibri"/>
      <w:vertAlign w:val="superscript"/>
    </w:rPr>
  </w:style>
  <w:style w:type="character" w:styleId="Hipervnculovisitado">
    <w:name w:val="FollowedHyperlink"/>
    <w:basedOn w:val="Fuentedeprrafopredeter"/>
    <w:uiPriority w:val="99"/>
    <w:semiHidden/>
    <w:unhideWhenUsed/>
    <w:rsid w:val="00FC40E7"/>
    <w:rPr>
      <w:color w:val="954F72" w:themeColor="followedHyperlink"/>
      <w:u w:val="single"/>
    </w:rPr>
  </w:style>
  <w:style w:type="paragraph" w:styleId="Textodeglobo">
    <w:name w:val="Balloon Text"/>
    <w:basedOn w:val="Normal"/>
    <w:link w:val="TextodegloboCar"/>
    <w:uiPriority w:val="99"/>
    <w:semiHidden/>
    <w:unhideWhenUsed/>
    <w:rsid w:val="00257E3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7E30"/>
    <w:rPr>
      <w:rFonts w:ascii="Segoe UI" w:hAnsi="Segoe UI" w:cs="Segoe UI"/>
      <w:sz w:val="18"/>
      <w:szCs w:val="18"/>
    </w:rPr>
  </w:style>
  <w:style w:type="table" w:styleId="Tablaconcuadrcula">
    <w:name w:val="Table Grid"/>
    <w:basedOn w:val="Tablanormal"/>
    <w:uiPriority w:val="39"/>
    <w:rsid w:val="00F0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420B15"/>
  </w:style>
  <w:style w:type="character" w:customStyle="1" w:styleId="Ttulo6Car">
    <w:name w:val="Título 6 Car"/>
    <w:basedOn w:val="Fuentedeprrafopredeter"/>
    <w:link w:val="Ttulo6"/>
    <w:uiPriority w:val="9"/>
    <w:semiHidden/>
    <w:rsid w:val="00902297"/>
    <w:rPr>
      <w:rFonts w:asciiTheme="minorHAnsi" w:eastAsiaTheme="majorEastAsia" w:hAnsiTheme="minorHAnsi" w:cstheme="majorBidi"/>
      <w:i/>
      <w:iCs/>
      <w:color w:val="595959" w:themeColor="text1" w:themeTint="A6"/>
      <w:kern w:val="2"/>
    </w:rPr>
  </w:style>
  <w:style w:type="character" w:customStyle="1" w:styleId="apple-converted-space">
    <w:name w:val="apple-converted-space"/>
    <w:basedOn w:val="Fuentedeprrafopredeter"/>
    <w:rsid w:val="00A4510F"/>
  </w:style>
  <w:style w:type="character" w:customStyle="1" w:styleId="PrrafodelistaCar">
    <w:name w:val="Párrafo de lista Car"/>
    <w:aliases w:val="List1 Car,titulo 3 Car,Párrafo de lista1 Car,Bullets Car,Párrafo de lista2 Car,Dot pt Car,F5 List Paragraph Car,Normal1 Car,párrafos sentencia Car,Colorful List - Accent 11 Car,Ha Car,List Paragraph1 Car,lp1 Car,List Paragraph2 Car"/>
    <w:link w:val="Prrafodelista"/>
    <w:uiPriority w:val="34"/>
    <w:qFormat/>
    <w:locked/>
    <w:rsid w:val="00B9100B"/>
    <w:rPr>
      <w:rFonts w:eastAsia="Times New Roman" w:cs="Times New Roman"/>
      <w:sz w:val="24"/>
      <w:szCs w:val="24"/>
      <w:lang w:eastAsia="es-MX"/>
    </w:rPr>
  </w:style>
  <w:style w:type="paragraph" w:styleId="Sinespaciado">
    <w:name w:val="No Spacing"/>
    <w:uiPriority w:val="1"/>
    <w:qFormat/>
    <w:rsid w:val="00B9100B"/>
    <w:rPr>
      <w:rFonts w:eastAsia="Times New Roman" w:cs="Times New Roman"/>
      <w:sz w:val="24"/>
      <w:szCs w:val="24"/>
      <w:lang w:eastAsia="es-ES_tradnl"/>
    </w:rPr>
  </w:style>
  <w:style w:type="character" w:customStyle="1" w:styleId="Ttulo2Car">
    <w:name w:val="Título 2 Car"/>
    <w:basedOn w:val="Fuentedeprrafopredeter"/>
    <w:link w:val="Ttulo2"/>
    <w:uiPriority w:val="9"/>
    <w:semiHidden/>
    <w:rsid w:val="00434109"/>
    <w:rPr>
      <w:rFonts w:asciiTheme="majorHAnsi" w:eastAsiaTheme="majorEastAsia" w:hAnsiTheme="majorHAnsi" w:cstheme="majorBidi"/>
      <w:color w:val="2E74B5" w:themeColor="accent1" w:themeShade="BF"/>
      <w:sz w:val="26"/>
      <w:szCs w:val="26"/>
      <w:lang w:eastAsia="es-MX"/>
    </w:rPr>
  </w:style>
  <w:style w:type="character" w:styleId="Nmerodepgina">
    <w:name w:val="page number"/>
    <w:basedOn w:val="Fuentedeprrafopredeter"/>
    <w:uiPriority w:val="99"/>
    <w:rsid w:val="00434109"/>
    <w:rPr>
      <w:rFonts w:cs="Times New Roman"/>
    </w:rPr>
  </w:style>
  <w:style w:type="paragraph" w:customStyle="1" w:styleId="Body">
    <w:name w:val="Body"/>
    <w:rsid w:val="00434109"/>
    <w:pPr>
      <w:pBdr>
        <w:top w:val="none" w:sz="96" w:space="31" w:color="FFFFFF" w:frame="1"/>
        <w:left w:val="none" w:sz="96" w:space="31" w:color="FFFFFF" w:frame="1"/>
        <w:bottom w:val="none" w:sz="96" w:space="31" w:color="FFFFFF" w:frame="1"/>
        <w:right w:val="none" w:sz="96" w:space="31" w:color="FFFFFF" w:frame="1"/>
      </w:pBdr>
    </w:pPr>
    <w:rPr>
      <w:rFonts w:eastAsia="Times New Roman" w:cs="Times New Roman"/>
      <w:color w:val="000000"/>
      <w:sz w:val="20"/>
      <w:szCs w:val="20"/>
      <w:u w:color="000000"/>
      <w:lang w:val="es-ES" w:eastAsia="es-ES"/>
    </w:rPr>
  </w:style>
  <w:style w:type="paragraph" w:customStyle="1" w:styleId="Cuadrculaclara-nfasis31">
    <w:name w:val="Cuadrícula clara - Énfasis 31"/>
    <w:basedOn w:val="Normal"/>
    <w:link w:val="Cuadrculaclara-nfasis3Car"/>
    <w:uiPriority w:val="34"/>
    <w:qFormat/>
    <w:rsid w:val="00E03343"/>
    <w:pPr>
      <w:ind w:left="708"/>
    </w:pPr>
  </w:style>
  <w:style w:type="character" w:customStyle="1" w:styleId="Cuadrculaclara-nfasis3Car">
    <w:name w:val="Cuadrícula clara - Énfasis 3 Car"/>
    <w:link w:val="Cuadrculaclara-nfasis31"/>
    <w:uiPriority w:val="34"/>
    <w:locked/>
    <w:rsid w:val="00E03343"/>
    <w:rPr>
      <w:rFonts w:eastAsia="Times New Roman" w:cs="Times New Roman"/>
      <w:sz w:val="24"/>
      <w:szCs w:val="24"/>
      <w:lang w:eastAsia="es-MX"/>
    </w:rPr>
  </w:style>
  <w:style w:type="paragraph" w:styleId="Lista">
    <w:name w:val="List"/>
    <w:basedOn w:val="Normal"/>
    <w:uiPriority w:val="99"/>
    <w:unhideWhenUsed/>
    <w:rsid w:val="00E704D9"/>
    <w:pPr>
      <w:spacing w:before="100" w:beforeAutospacing="1" w:after="100" w:afterAutospacing="1"/>
    </w:pPr>
  </w:style>
  <w:style w:type="character" w:styleId="Textoennegrita">
    <w:name w:val="Strong"/>
    <w:basedOn w:val="Fuentedeprrafopredeter"/>
    <w:uiPriority w:val="22"/>
    <w:qFormat/>
    <w:rsid w:val="002322FA"/>
    <w:rPr>
      <w:b/>
      <w:bCs/>
    </w:rPr>
  </w:style>
  <w:style w:type="paragraph" w:customStyle="1" w:styleId="Default">
    <w:name w:val="Default"/>
    <w:rsid w:val="009A4B55"/>
    <w:pPr>
      <w:autoSpaceDE w:val="0"/>
      <w:autoSpaceDN w:val="0"/>
      <w:adjustRightInd w:val="0"/>
    </w:pPr>
    <w:rPr>
      <w:rFonts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image" Target="media/image6.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bin"/><Relationship Id="rId5" Type="http://schemas.openxmlformats.org/officeDocument/2006/relationships/footnotes" Target="footnotes.xml"/><Relationship Id="rId10" Type="http://schemas.openxmlformats.org/officeDocument/2006/relationships/image" Target="media/image4.bin"/><Relationship Id="rId4" Type="http://schemas.openxmlformats.org/officeDocument/2006/relationships/webSettings" Target="webSettings.xml"/><Relationship Id="rId9" Type="http://schemas.openxmlformats.org/officeDocument/2006/relationships/image" Target="media/image3.bin"/><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corteconstitucional.gov.co/secretaria/archivo.php?id=69176" TargetMode="External"/><Relationship Id="rId18" Type="http://schemas.openxmlformats.org/officeDocument/2006/relationships/hyperlink" Target="https://www.corteconstitucional.gov.co/secretaria/archivo.php?id=69299" TargetMode="External"/><Relationship Id="rId26" Type="http://schemas.openxmlformats.org/officeDocument/2006/relationships/hyperlink" Target="https://www.corteconstitucional.gov.co/secretaria/archivo.php?id=71418" TargetMode="External"/><Relationship Id="rId39" Type="http://schemas.openxmlformats.org/officeDocument/2006/relationships/hyperlink" Target="https://www.corteconstitucional.gov.co/secretaria/archivo.php?id=69605" TargetMode="External"/><Relationship Id="rId21" Type="http://schemas.openxmlformats.org/officeDocument/2006/relationships/hyperlink" Target="https://www.corteconstitucional.gov.co/secretaria/archivo.php?id=71468" TargetMode="External"/><Relationship Id="rId34" Type="http://schemas.openxmlformats.org/officeDocument/2006/relationships/hyperlink" Target="https://www.corteconstitucional.gov.co/secretaria/archivo.php?id=61645" TargetMode="External"/><Relationship Id="rId42" Type="http://schemas.openxmlformats.org/officeDocument/2006/relationships/hyperlink" Target="https://www.funcionpublica.gov.co/eva/gestornormativo/norma.php?i=61839" TargetMode="External"/><Relationship Id="rId47" Type="http://schemas.openxmlformats.org/officeDocument/2006/relationships/hyperlink" Target="https://www.corteconstitucional.gov.co/secretaria/archivo.php?id=66547" TargetMode="External"/><Relationship Id="rId7" Type="http://schemas.openxmlformats.org/officeDocument/2006/relationships/hyperlink" Target="https://www.corteconstitucional.gov.co/secretaria/archivo.php?id=69089" TargetMode="External"/><Relationship Id="rId2" Type="http://schemas.openxmlformats.org/officeDocument/2006/relationships/hyperlink" Target="https://www.corteconstitucional.gov.co/secretaria/archivo.php?id=54710" TargetMode="External"/><Relationship Id="rId16" Type="http://schemas.openxmlformats.org/officeDocument/2006/relationships/hyperlink" Target="https://www.corteconstitucional.gov.co/secretaria/archivo.php?id=69200" TargetMode="External"/><Relationship Id="rId29" Type="http://schemas.openxmlformats.org/officeDocument/2006/relationships/hyperlink" Target="https://www.corteconstitucional.gov.co/secretaria/archivo.php?id=71169" TargetMode="External"/><Relationship Id="rId1" Type="http://schemas.openxmlformats.org/officeDocument/2006/relationships/hyperlink" Target="https://www.corteconstitucional.gov.co/secretaria/archivo.php?id=60589" TargetMode="External"/><Relationship Id="rId6" Type="http://schemas.openxmlformats.org/officeDocument/2006/relationships/hyperlink" Target="https://www.corteconstitucional.gov.co/secretaria/archivo.php?id=68874" TargetMode="External"/><Relationship Id="rId11" Type="http://schemas.openxmlformats.org/officeDocument/2006/relationships/hyperlink" Target="https://www.corteconstitucional.gov.co/secretaria/archivo.php?id=66626" TargetMode="External"/><Relationship Id="rId24" Type="http://schemas.openxmlformats.org/officeDocument/2006/relationships/hyperlink" Target="https://www.corteconstitucional.gov.co/secretaria/archivo.php?id=71472" TargetMode="External"/><Relationship Id="rId32" Type="http://schemas.openxmlformats.org/officeDocument/2006/relationships/hyperlink" Target="https://www.corteconstitucional.gov.co/secretaria/archivo.php?id=73149" TargetMode="External"/><Relationship Id="rId37" Type="http://schemas.openxmlformats.org/officeDocument/2006/relationships/hyperlink" Target="https://www.corteconstitucional.gov.co/secretaria/archivo.php?id=60589" TargetMode="External"/><Relationship Id="rId40" Type="http://schemas.openxmlformats.org/officeDocument/2006/relationships/hyperlink" Target="https://www.funcionpublica.gov.co/eva/gestornormativo/norma.php?i=25932" TargetMode="External"/><Relationship Id="rId45" Type="http://schemas.openxmlformats.org/officeDocument/2006/relationships/hyperlink" Target="https://www.corteconstitucional.gov.co/secretaria/archivo.php?id=66547" TargetMode="External"/><Relationship Id="rId5" Type="http://schemas.openxmlformats.org/officeDocument/2006/relationships/hyperlink" Target="https://www.corteconstitucional.gov.co/secretaria/archivo.php?id=65949" TargetMode="External"/><Relationship Id="rId15" Type="http://schemas.openxmlformats.org/officeDocument/2006/relationships/hyperlink" Target="https://www.corteconstitucional.gov.co/secretaria/archivo.php?id=69178" TargetMode="External"/><Relationship Id="rId23" Type="http://schemas.openxmlformats.org/officeDocument/2006/relationships/hyperlink" Target="https://www.corteconstitucional.gov.co/secretaria/archivo.php?id=69605" TargetMode="External"/><Relationship Id="rId28" Type="http://schemas.openxmlformats.org/officeDocument/2006/relationships/hyperlink" Target="https://www.corteconstitucional.gov.co/secretaria/archivo.php?id=71433" TargetMode="External"/><Relationship Id="rId36" Type="http://schemas.openxmlformats.org/officeDocument/2006/relationships/hyperlink" Target="https://www.corteconstitucional.gov.co/secretaria/archivo.php?id=60589" TargetMode="External"/><Relationship Id="rId10" Type="http://schemas.openxmlformats.org/officeDocument/2006/relationships/hyperlink" Target="https://www.corteconstitucional.gov.co/secretaria/archivo.php?id=66547" TargetMode="External"/><Relationship Id="rId19" Type="http://schemas.openxmlformats.org/officeDocument/2006/relationships/hyperlink" Target="https://www.corteconstitucional.gov.co/secretaria/archivo.php?id=69371" TargetMode="External"/><Relationship Id="rId31" Type="http://schemas.openxmlformats.org/officeDocument/2006/relationships/hyperlink" Target="https://www.corteconstitucional.gov.co/secretaria/archivo.php?id=71476" TargetMode="External"/><Relationship Id="rId44" Type="http://schemas.openxmlformats.org/officeDocument/2006/relationships/hyperlink" Target="https://www.corteconstitucional.gov.co/secretaria/archivo.php?id=63631" TargetMode="External"/><Relationship Id="rId4" Type="http://schemas.openxmlformats.org/officeDocument/2006/relationships/hyperlink" Target="https://www.corteconstitucional.gov.co/secretaria/archivo.php?id=60589" TargetMode="External"/><Relationship Id="rId9" Type="http://schemas.openxmlformats.org/officeDocument/2006/relationships/hyperlink" Target="https://www.corteconstitucional.gov.co/secretaria/archivo.php?id=63631" TargetMode="External"/><Relationship Id="rId14" Type="http://schemas.openxmlformats.org/officeDocument/2006/relationships/hyperlink" Target="https://www.corteconstitucional.gov.co/secretaria/archivo.php?id=69177" TargetMode="External"/><Relationship Id="rId22" Type="http://schemas.openxmlformats.org/officeDocument/2006/relationships/hyperlink" Target="https://www.corteconstitucional.gov.co/secretaria/archivo.php?id=71472" TargetMode="External"/><Relationship Id="rId27" Type="http://schemas.openxmlformats.org/officeDocument/2006/relationships/hyperlink" Target="https://www.corteconstitucional.gov.co/secretaria/archivo.php?id=71468" TargetMode="External"/><Relationship Id="rId30" Type="http://schemas.openxmlformats.org/officeDocument/2006/relationships/hyperlink" Target="https://www.corteconstitucional.gov.co/secretaria/archivo.php?id=71360" TargetMode="External"/><Relationship Id="rId35" Type="http://schemas.openxmlformats.org/officeDocument/2006/relationships/hyperlink" Target="https://www.corteconstitucional.gov.co/secretaria/archivo.php?id=69178" TargetMode="External"/><Relationship Id="rId43" Type="http://schemas.openxmlformats.org/officeDocument/2006/relationships/hyperlink" Target="https://www.funcionpublica.gov.co/eva/gestornormativo/norma.php?i=61839" TargetMode="External"/><Relationship Id="rId8" Type="http://schemas.openxmlformats.org/officeDocument/2006/relationships/hyperlink" Target="https://www.corteconstitucional.gov.co/secretaria/archivo.php?id=61899" TargetMode="External"/><Relationship Id="rId3" Type="http://schemas.openxmlformats.org/officeDocument/2006/relationships/hyperlink" Target="https://www.corteconstitucional.gov.co/secretaria/archivo.php?id=57270" TargetMode="External"/><Relationship Id="rId12" Type="http://schemas.openxmlformats.org/officeDocument/2006/relationships/hyperlink" Target="https://www.corteconstitucional.gov.co/secretaria/archivo.php?id=66547" TargetMode="External"/><Relationship Id="rId17" Type="http://schemas.openxmlformats.org/officeDocument/2006/relationships/hyperlink" Target="https://www.corteconstitucional.gov.co/secretaria/archivo.php?id=69298" TargetMode="External"/><Relationship Id="rId25" Type="http://schemas.openxmlformats.org/officeDocument/2006/relationships/hyperlink" Target="https://www.corteconstitucional.gov.co/secretaria/archivo.php?id=71439" TargetMode="External"/><Relationship Id="rId33" Type="http://schemas.openxmlformats.org/officeDocument/2006/relationships/hyperlink" Target="https://www.corteconstitucional.gov.co/secretaria/archivo.php?id=61645" TargetMode="External"/><Relationship Id="rId38" Type="http://schemas.openxmlformats.org/officeDocument/2006/relationships/hyperlink" Target="https://www.corteconstitucional.gov.co/secretaria/archivo.php?id=60589" TargetMode="External"/><Relationship Id="rId46" Type="http://schemas.openxmlformats.org/officeDocument/2006/relationships/hyperlink" Target="https://www.corteconstitucional.gov.co/secretaria/archivo.php?id=63631" TargetMode="External"/><Relationship Id="rId20" Type="http://schemas.openxmlformats.org/officeDocument/2006/relationships/hyperlink" Target="https://www.corteconstitucional.gov.co/secretaria/archivo.php?id=71601" TargetMode="External"/><Relationship Id="rId41" Type="http://schemas.openxmlformats.org/officeDocument/2006/relationships/hyperlink" Target="https://www.funcionpublica.gov.co/eva/gestornormativo/norma.php?i=4310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39779</Words>
  <Characters>218789</Characters>
  <Application>Microsoft Office Word</Application>
  <DocSecurity>0</DocSecurity>
  <Lines>1823</Lines>
  <Paragraphs>516</Paragraphs>
  <ScaleCrop>false</ScaleCrop>
  <Company/>
  <LinksUpToDate>false</LinksUpToDate>
  <CharactersWithSpaces>258052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2025-04-09T14:15:00Z</dcterms:created>
  <dcterms:modified xsi:type="dcterms:W3CDTF">2025-04-09T14:15:00Z</dcterms:modified>
</cp:coreProperties>
</file>