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0729" w:rsidRPr="00EC42C3" w:rsidRDefault="000328D3">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EC42C3">
        <w:rPr>
          <w:rFonts w:ascii="Times New Roman" w:hAnsi="Times New Roman" w:cs="Times New Roman"/>
          <w:sz w:val="28"/>
          <w:szCs w:val="24"/>
        </w:rPr>
        <w:t xml:space="preserve"> </w:t>
      </w:r>
    </w:p>
    <w:p w:rsidR="00A60729" w:rsidRPr="00EC42C3" w:rsidRDefault="00A60729">
      <w:pPr>
        <w:widowControl w:val="0"/>
        <w:autoSpaceDE w:val="0"/>
        <w:autoSpaceDN w:val="0"/>
        <w:adjustRightInd w:val="0"/>
        <w:spacing w:after="0" w:line="240" w:lineRule="auto"/>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center"/>
        <w:rPr>
          <w:rFonts w:ascii="Times New Roman" w:hAnsi="Times New Roman" w:cs="Times New Roman"/>
          <w:b/>
          <w:bCs/>
          <w:sz w:val="28"/>
          <w:szCs w:val="28"/>
        </w:rPr>
      </w:pPr>
      <w:r w:rsidRPr="00EC42C3">
        <w:rPr>
          <w:rFonts w:ascii="Times New Roman" w:hAnsi="Times New Roman" w:cs="Times New Roman"/>
          <w:b/>
          <w:bCs/>
          <w:sz w:val="28"/>
          <w:szCs w:val="28"/>
        </w:rPr>
        <w:t xml:space="preserve">TEMAS-SUBTEMAS </w:t>
      </w:r>
    </w:p>
    <w:p w:rsidR="00A60729" w:rsidRPr="00EC42C3" w:rsidRDefault="00A60729">
      <w:pPr>
        <w:widowControl w:val="0"/>
        <w:autoSpaceDE w:val="0"/>
        <w:autoSpaceDN w:val="0"/>
        <w:adjustRightInd w:val="0"/>
        <w:spacing w:after="0" w:line="240" w:lineRule="auto"/>
        <w:jc w:val="center"/>
        <w:rPr>
          <w:rFonts w:ascii="Times New Roman" w:hAnsi="Times New Roman" w:cs="Times New Roman"/>
          <w:b/>
          <w:bCs/>
          <w:sz w:val="28"/>
          <w:szCs w:val="28"/>
        </w:rPr>
      </w:pPr>
    </w:p>
    <w:p w:rsidR="00A60729" w:rsidRPr="00EC42C3" w:rsidRDefault="000328D3">
      <w:pPr>
        <w:widowControl w:val="0"/>
        <w:autoSpaceDE w:val="0"/>
        <w:autoSpaceDN w:val="0"/>
        <w:adjustRightInd w:val="0"/>
        <w:spacing w:after="0" w:line="240" w:lineRule="auto"/>
        <w:jc w:val="center"/>
        <w:rPr>
          <w:rFonts w:ascii="Times New Roman" w:hAnsi="Times New Roman" w:cs="Times New Roman"/>
          <w:sz w:val="28"/>
          <w:szCs w:val="28"/>
        </w:rPr>
      </w:pPr>
      <w:r w:rsidRPr="00EC42C3">
        <w:rPr>
          <w:rFonts w:ascii="Times New Roman" w:hAnsi="Times New Roman" w:cs="Times New Roman"/>
          <w:b/>
          <w:bCs/>
          <w:sz w:val="28"/>
          <w:szCs w:val="28"/>
        </w:rPr>
        <w:t xml:space="preserve">Sentencia C-428/25 </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b/>
          <w:bCs/>
          <w:sz w:val="28"/>
          <w:szCs w:val="28"/>
        </w:rPr>
        <w:t>OMISIÓN LEGISLATIVA RELATIVA</w:t>
      </w:r>
      <w:r w:rsidRPr="00EC42C3">
        <w:rPr>
          <w:rFonts w:ascii="Times New Roman" w:hAnsi="Times New Roman" w:cs="Times New Roman"/>
          <w:sz w:val="28"/>
          <w:szCs w:val="28"/>
        </w:rPr>
        <w:t>-Configuración en norma que excluye a los compañeros permanentes y a las parejas del mismo sexo de solicitar la rescisión del decreto de posesión definitiva por reaparición del presunto fallecido</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i/>
          <w:iCs/>
          <w:sz w:val="28"/>
          <w:szCs w:val="28"/>
        </w:rPr>
        <w:t>(...) la disposición en cuestión solo contempla como legitimado para solicitar la rescisión del decreto de posesión definitiva al “cónyuge, por matrimonio contraído en la misma época”, sin extender ese efecto a los compañeros o compañeras permanentes. De esta forma, el legislador omitió incluir a un grupo que, conforme al nuevo orden constitucional, es titular de los mismos derechos y deberes familiares. La exclusión carece de justificación objetiva, razonable y proporcional, y desconoce el deber estatal de garantizar igual protección a todas las formas de familia reconocidas por la Carta Política.</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b/>
          <w:bCs/>
          <w:sz w:val="28"/>
          <w:szCs w:val="28"/>
        </w:rPr>
        <w:t>OMISIÓN LEGISLATIVA RELATIVA</w:t>
      </w:r>
      <w:r w:rsidRPr="00EC42C3">
        <w:rPr>
          <w:rFonts w:ascii="Times New Roman" w:hAnsi="Times New Roman" w:cs="Times New Roman"/>
          <w:sz w:val="28"/>
          <w:szCs w:val="28"/>
        </w:rPr>
        <w:t xml:space="preserve">-Existencia conlleva a sentencia integradora </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b/>
          <w:bCs/>
          <w:sz w:val="28"/>
          <w:szCs w:val="28"/>
        </w:rPr>
        <w:t>IGUALDAD ENTRE TODAS LAS FORMAS DE FAMILIA</w:t>
      </w:r>
      <w:r w:rsidRPr="00EC42C3">
        <w:rPr>
          <w:rFonts w:ascii="Times New Roman" w:hAnsi="Times New Roman" w:cs="Times New Roman"/>
          <w:sz w:val="28"/>
          <w:szCs w:val="28"/>
        </w:rPr>
        <w:t xml:space="preserve">-Protección constitucional </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b/>
          <w:bCs/>
          <w:sz w:val="28"/>
          <w:szCs w:val="28"/>
        </w:rPr>
        <w:t>CONTROL DE CONSTITUCIONALIDAD DE NORMAS PRECONSTITUCIONALES</w:t>
      </w:r>
      <w:r w:rsidRPr="00EC42C3">
        <w:rPr>
          <w:rFonts w:ascii="Times New Roman" w:hAnsi="Times New Roman" w:cs="Times New Roman"/>
          <w:sz w:val="28"/>
          <w:szCs w:val="28"/>
        </w:rPr>
        <w:t xml:space="preserve">-Alcance </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b/>
          <w:bCs/>
          <w:sz w:val="28"/>
          <w:szCs w:val="28"/>
        </w:rPr>
        <w:t>DEMANDA DE INCONSTITUCIONALIDAD POR OMISION LEGISLATIVA RELATIVA</w:t>
      </w:r>
      <w:r w:rsidRPr="00EC42C3">
        <w:rPr>
          <w:rFonts w:ascii="Times New Roman" w:hAnsi="Times New Roman" w:cs="Times New Roman"/>
          <w:sz w:val="28"/>
          <w:szCs w:val="28"/>
        </w:rPr>
        <w:t>-Requisitos</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i/>
          <w:iCs/>
          <w:sz w:val="28"/>
          <w:szCs w:val="28"/>
        </w:rPr>
        <w:t>(...) cuando se presenta una demanda de inconstitucionalidad por omisión legislativa relativa, además de cumplir con los requisitos generales de cualquier demanda de inconstitucionalidad, el actor debe formular un razonamiento específico que demuestre la existencia de una carencia parcial de regulación que vulnere el ordenamiento superior. Esto implica una carga argumentativa más rigurosa, ya que corresponde al demandante, y no al juez constitucional, delimitar el marco dentro del cual se ejercerá el control sobre la norma acusada de incurrir en una omisión legislativa relativa.</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b/>
          <w:bCs/>
          <w:sz w:val="28"/>
          <w:szCs w:val="28"/>
        </w:rPr>
        <w:t>CONTROL DE CONSTITUCIONALIDAD DE OMISION LEGISLATIVA RELATIVA</w:t>
      </w:r>
      <w:r w:rsidRPr="00EC42C3">
        <w:rPr>
          <w:rFonts w:ascii="Times New Roman" w:hAnsi="Times New Roman" w:cs="Times New Roman"/>
          <w:sz w:val="28"/>
          <w:szCs w:val="28"/>
        </w:rPr>
        <w:t xml:space="preserve">-Procedencia por violación del principio de igualdad </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b/>
          <w:bCs/>
          <w:sz w:val="28"/>
          <w:szCs w:val="28"/>
        </w:rPr>
        <w:t>DECLARACION DE MUERTE PRESUNTA</w:t>
      </w:r>
      <w:r w:rsidRPr="00EC42C3">
        <w:rPr>
          <w:rFonts w:ascii="Times New Roman" w:hAnsi="Times New Roman" w:cs="Times New Roman"/>
          <w:sz w:val="28"/>
          <w:szCs w:val="28"/>
        </w:rPr>
        <w:t xml:space="preserve">-Regulación </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b/>
          <w:bCs/>
          <w:sz w:val="28"/>
          <w:szCs w:val="28"/>
        </w:rPr>
        <w:t>FAMILIA</w:t>
      </w:r>
      <w:r w:rsidRPr="00EC42C3">
        <w:rPr>
          <w:rFonts w:ascii="Times New Roman" w:hAnsi="Times New Roman" w:cs="Times New Roman"/>
          <w:sz w:val="28"/>
          <w:szCs w:val="28"/>
        </w:rPr>
        <w:t xml:space="preserve">-Evolución del concepto </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b/>
          <w:bCs/>
          <w:sz w:val="28"/>
          <w:szCs w:val="28"/>
        </w:rPr>
        <w:t>FAMILIA</w:t>
      </w:r>
      <w:r w:rsidRPr="00EC42C3">
        <w:rPr>
          <w:rFonts w:ascii="Times New Roman" w:hAnsi="Times New Roman" w:cs="Times New Roman"/>
          <w:sz w:val="28"/>
          <w:szCs w:val="28"/>
        </w:rPr>
        <w:t>-Reconocimiento y protección constitucional de los diferentes tipos</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i/>
          <w:iCs/>
          <w:sz w:val="28"/>
          <w:szCs w:val="28"/>
        </w:rPr>
        <w:t>(...) la jurisprudencia vigente establece que el concepto de familia es dinámico y variado. Por ende, incluye familias originadas en un matrimonio y en uniones maritales de hecho, sin que haga una diferencia el sexo de quienes las conforman. En esa medida, la Constitución consagra un mandato de protección integral respecto de cualquier tipo de familia, sin importar la manera en la que surge o su carácter heterosexual u homosexual. Esto pues el mandato de prohibición de discriminación sexual implica el goce y ejercicio de derechos, los cuales no pueden restringirse por la decisión de una persona de definir su orientación sexual. En consecuencia, al Legislador, de manera general, le está vedado establecer tratos diferenciados o discriminatorios, a partir de la manera en la que se originó la familia o del sexo de sus integrantes.</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b/>
          <w:bCs/>
          <w:sz w:val="28"/>
          <w:szCs w:val="28"/>
        </w:rPr>
        <w:t>FAMILIA</w:t>
      </w:r>
      <w:r w:rsidRPr="00EC42C3">
        <w:rPr>
          <w:rFonts w:ascii="Times New Roman" w:hAnsi="Times New Roman" w:cs="Times New Roman"/>
          <w:sz w:val="28"/>
          <w:szCs w:val="28"/>
        </w:rPr>
        <w:t xml:space="preserve">-Instrumentos internacionales que consagran la protección </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b/>
          <w:bCs/>
          <w:sz w:val="28"/>
          <w:szCs w:val="28"/>
        </w:rPr>
        <w:t>MATRIMONIO Y UNION MARITAL DE HECHO</w:t>
      </w:r>
      <w:r w:rsidRPr="00EC42C3">
        <w:rPr>
          <w:rFonts w:ascii="Times New Roman" w:hAnsi="Times New Roman" w:cs="Times New Roman"/>
          <w:sz w:val="28"/>
          <w:szCs w:val="28"/>
        </w:rPr>
        <w:t>-Diferencias</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i/>
          <w:iCs/>
          <w:sz w:val="28"/>
          <w:szCs w:val="28"/>
        </w:rPr>
        <w:t>(...) el matrimonio es un contrato solemne por el cual “un hombre y una mujer se unen con el fin de vivir juntos, procrear y auxiliarse mutuamente.” En contraste, la unión marital de hecho no cuenta con una regulación tan amplia ni sistemática como la del matrimonio. Disposiciones normativas como la Ley 54 de 1990 y la Ley 1564 de 2012 abordan únicamente aspectos puntuales, tales como el régimen patrimonial aplicable a los compañeros permanentes o los mecanismos para declarar la existencia de la unión marital de hecho. Sin embargo, el ordenamiento jurídico carece de una regulación integral que desarrolle de manera equivalente todos los aspectos que el Código Civil contempla para el matrimonio.</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b/>
          <w:bCs/>
          <w:sz w:val="28"/>
          <w:szCs w:val="28"/>
        </w:rPr>
        <w:t>MATRIMONIO Y UNION MARITAL DE HECHO</w:t>
      </w:r>
      <w:r w:rsidRPr="00EC42C3">
        <w:rPr>
          <w:rFonts w:ascii="Times New Roman" w:hAnsi="Times New Roman" w:cs="Times New Roman"/>
          <w:sz w:val="28"/>
          <w:szCs w:val="28"/>
        </w:rPr>
        <w:t xml:space="preserve">-Jurisprudencia constitucional </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b/>
          <w:bCs/>
          <w:sz w:val="28"/>
          <w:szCs w:val="28"/>
        </w:rPr>
        <w:t>UNION MARITAL DE HECHO</w:t>
      </w:r>
      <w:r w:rsidRPr="00EC42C3">
        <w:rPr>
          <w:rFonts w:ascii="Times New Roman" w:hAnsi="Times New Roman" w:cs="Times New Roman"/>
          <w:sz w:val="28"/>
          <w:szCs w:val="28"/>
        </w:rPr>
        <w:t>-Protección constitucional</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i/>
          <w:iCs/>
          <w:sz w:val="28"/>
          <w:szCs w:val="28"/>
        </w:rPr>
        <w:t>(...) las parejas conformadas por compañeros permanentes en unión marital de hecho reciben la misma protección que aquellas unidas mediante matrimonio. Sin embargo, esto no implica que la regulación deba ser idéntica para ambas instituciones. En aplicación del principio de igualdad, no deberían existir normas que otorguen privilegios o mayores derechos a las personas casadas frente a quienes conforman una unión marital. No obstante, el Legislador puede, de manera excepcional y con fundamento constitucional, establecer diferencias en su regulación, siempre que estas tengan como finalidad preservar características propias de la unión marital, como su informalidad o flexibilidad.</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b/>
          <w:bCs/>
          <w:sz w:val="28"/>
          <w:szCs w:val="28"/>
        </w:rPr>
        <w:t>PAREJAS DEL MISMO SEXO</w:t>
      </w:r>
      <w:r w:rsidRPr="00EC42C3">
        <w:rPr>
          <w:rFonts w:ascii="Times New Roman" w:hAnsi="Times New Roman" w:cs="Times New Roman"/>
          <w:sz w:val="28"/>
          <w:szCs w:val="28"/>
        </w:rPr>
        <w:t xml:space="preserve">-Modalidad de familia constitucionalmente protegida </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b/>
          <w:bCs/>
          <w:sz w:val="28"/>
          <w:szCs w:val="28"/>
        </w:rPr>
        <w:t>BLOQUE DE CONSTITUCIONALIDAD EN MATERIA DE IGUALDAD</w:t>
      </w:r>
      <w:r w:rsidRPr="00EC42C3">
        <w:rPr>
          <w:rFonts w:ascii="Times New Roman" w:hAnsi="Times New Roman" w:cs="Times New Roman"/>
          <w:sz w:val="28"/>
          <w:szCs w:val="28"/>
        </w:rPr>
        <w:t>-Reconocimiento del derecho a la igualdad</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i/>
          <w:iCs/>
          <w:sz w:val="28"/>
          <w:szCs w:val="28"/>
        </w:rPr>
        <w:t>(...) esta Corporación ha utilizado de manera reiterada las disposiciones sobre el derecho a la igualdad contenidas en el Pacto Internacional de Derechos Civiles y Políticos y en la Convención Americana sobre Derechos Humanos como parámetros de control de constitucionalidad frente a normas legales acusadas de desconocer el mandato de igualdad y no discriminación del artículo 13 Superior. Dichos instrumentos internacionales establecen que todas las personas son iguales ante la ley, deben gozar de igual protección y no pueden ser objeto de discriminación por razones de raza, color, sexo, idioma, religión, opiniones políticas o de cualquier índole, origen nacional o social, posición económica, nacimiento o cualquier otra condición.</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0328D3">
      <w:pPr>
        <w:widowControl w:val="0"/>
        <w:autoSpaceDE w:val="0"/>
        <w:autoSpaceDN w:val="0"/>
        <w:adjustRightInd w:val="0"/>
        <w:spacing w:after="0" w:line="240" w:lineRule="auto"/>
        <w:jc w:val="both"/>
        <w:rPr>
          <w:rFonts w:ascii="Times New Roman" w:hAnsi="Times New Roman" w:cs="Times New Roman"/>
          <w:sz w:val="28"/>
          <w:szCs w:val="28"/>
        </w:rPr>
      </w:pPr>
      <w:r w:rsidRPr="00EC42C3">
        <w:rPr>
          <w:rFonts w:ascii="Times New Roman" w:hAnsi="Times New Roman" w:cs="Times New Roman"/>
          <w:b/>
          <w:bCs/>
          <w:sz w:val="28"/>
          <w:szCs w:val="28"/>
        </w:rPr>
        <w:t>SENTENCIAS INTEGRADORAS</w:t>
      </w:r>
      <w:r w:rsidRPr="00EC42C3">
        <w:rPr>
          <w:rFonts w:ascii="Times New Roman" w:hAnsi="Times New Roman" w:cs="Times New Roman"/>
          <w:sz w:val="28"/>
          <w:szCs w:val="28"/>
        </w:rPr>
        <w:t xml:space="preserve">-Modalidad de la sentencia aditiva </w:t>
      </w:r>
    </w:p>
    <w:p w:rsidR="00A60729" w:rsidRPr="00EC42C3" w:rsidRDefault="00A60729">
      <w:pPr>
        <w:widowControl w:val="0"/>
        <w:autoSpaceDE w:val="0"/>
        <w:autoSpaceDN w:val="0"/>
        <w:adjustRightInd w:val="0"/>
        <w:spacing w:after="0" w:line="240" w:lineRule="auto"/>
        <w:jc w:val="both"/>
        <w:rPr>
          <w:rFonts w:ascii="Times New Roman" w:hAnsi="Times New Roman" w:cs="Times New Roman"/>
          <w:sz w:val="28"/>
          <w:szCs w:val="28"/>
        </w:rPr>
      </w:pPr>
    </w:p>
    <w:p w:rsidR="00A60729" w:rsidRPr="00EC42C3" w:rsidRDefault="00EC42C3">
      <w:pPr>
        <w:widowControl w:val="0"/>
        <w:autoSpaceDE w:val="0"/>
        <w:autoSpaceDN w:val="0"/>
        <w:adjustRightInd w:val="0"/>
        <w:spacing w:after="0" w:line="240" w:lineRule="auto"/>
        <w:jc w:val="both"/>
        <w:rPr>
          <w:rFonts w:ascii="Times New Roman" w:hAnsi="Times New Roman" w:cs="Times New Roman"/>
          <w:sz w:val="28"/>
        </w:rPr>
      </w:pPr>
      <w:r w:rsidRPr="00EC42C3">
        <w:rPr>
          <w:rFonts w:ascii="Times New Roman" w:hAnsi="Times New Roman" w:cs="Times New Roman"/>
          <w:sz w:val="28"/>
          <w:szCs w:val="28"/>
        </w:rPr>
        <w:pict>
          <v:rect id="_x0000_i1025" style="width:0;height:1.5pt" o:hralign="center" o:hrstd="t" o:hr="t" fillcolor="#a0a0a0" stroked="f"/>
        </w:pict>
      </w:r>
    </w:p>
    <w:p w:rsidR="00FD1C18" w:rsidRPr="00EC42C3" w:rsidRDefault="00EC42C3" w:rsidP="00481F8E">
      <w:pPr>
        <w:pStyle w:val="TimesNewRoman"/>
        <w:ind w:right="50"/>
        <w:rPr>
          <w:rFonts w:ascii="Times New Roman" w:hAnsi="Times New Roman" w:cs="Times New Roman"/>
          <w:szCs w:val="28"/>
          <w:lang w:val="es-ES"/>
        </w:rPr>
      </w:pPr>
      <w:r w:rsidRPr="00EC42C3">
        <w:rPr>
          <w:rFonts w:ascii="Times New Roman" w:hAnsi="Times New Roman" w:cs="Times New Roman"/>
          <w:szCs w:val="28"/>
          <w:lang w:val="es-ES"/>
        </w:rPr>
        <w:t>REPÚBLICA D</w:t>
      </w:r>
      <w:r w:rsidRPr="00EC42C3">
        <w:rPr>
          <w:rFonts w:ascii="Times New Roman" w:hAnsi="Times New Roman" w:cs="Times New Roman"/>
          <w:szCs w:val="28"/>
          <w:lang w:val="es-ES"/>
        </w:rPr>
        <w:t>E COLOMBIA</w:t>
      </w:r>
    </w:p>
    <w:p w:rsidR="00FD1C18" w:rsidRPr="00EC42C3" w:rsidRDefault="00EC42C3" w:rsidP="00481F8E">
      <w:pPr>
        <w:tabs>
          <w:tab w:val="left" w:pos="2410"/>
        </w:tabs>
        <w:ind w:right="50"/>
        <w:jc w:val="center"/>
        <w:rPr>
          <w:rFonts w:ascii="Times New Roman" w:hAnsi="Times New Roman" w:cs="Times New Roman"/>
          <w:b/>
          <w:sz w:val="28"/>
          <w:szCs w:val="28"/>
        </w:rPr>
      </w:pPr>
      <w:r w:rsidRPr="00EC42C3">
        <w:rPr>
          <w:rFonts w:ascii="Times New Roman" w:hAnsi="Times New Roman" w:cs="Times New Roman"/>
          <w:b/>
          <w:noProof/>
          <w:sz w:val="28"/>
          <w:szCs w:val="28"/>
        </w:rPr>
        <w:drawing>
          <wp:inline distT="0" distB="0" distL="0" distR="0" wp14:anchorId="001F0B79" wp14:editId="2D43698B">
            <wp:extent cx="798830" cy="792480"/>
            <wp:effectExtent l="0" t="0" r="127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8830" cy="792480"/>
                    </a:xfrm>
                    <a:prstGeom prst="rect">
                      <a:avLst/>
                    </a:prstGeom>
                    <a:noFill/>
                  </pic:spPr>
                </pic:pic>
              </a:graphicData>
            </a:graphic>
          </wp:inline>
        </w:drawing>
      </w:r>
    </w:p>
    <w:p w:rsidR="00FD1C18" w:rsidRPr="00EC42C3" w:rsidRDefault="00EC42C3" w:rsidP="00481F8E">
      <w:pPr>
        <w:ind w:right="51"/>
        <w:jc w:val="center"/>
        <w:rPr>
          <w:rFonts w:ascii="Times New Roman" w:hAnsi="Times New Roman" w:cs="Times New Roman"/>
          <w:b/>
          <w:sz w:val="28"/>
          <w:szCs w:val="28"/>
        </w:rPr>
      </w:pPr>
      <w:r w:rsidRPr="00EC42C3">
        <w:rPr>
          <w:rFonts w:ascii="Times New Roman" w:hAnsi="Times New Roman" w:cs="Times New Roman"/>
          <w:b/>
          <w:sz w:val="28"/>
          <w:szCs w:val="28"/>
        </w:rPr>
        <w:t>CORTE CONSTITUCIONAL</w:t>
      </w:r>
    </w:p>
    <w:p w:rsidR="00FD1C18" w:rsidRPr="00EC42C3" w:rsidRDefault="00EC42C3" w:rsidP="00481F8E">
      <w:pPr>
        <w:ind w:right="51"/>
        <w:jc w:val="center"/>
        <w:rPr>
          <w:rFonts w:ascii="Times New Roman" w:hAnsi="Times New Roman" w:cs="Times New Roman"/>
          <w:b/>
          <w:sz w:val="28"/>
          <w:szCs w:val="28"/>
        </w:rPr>
      </w:pPr>
      <w:r w:rsidRPr="00EC42C3">
        <w:rPr>
          <w:rFonts w:ascii="Times New Roman" w:hAnsi="Times New Roman" w:cs="Times New Roman"/>
          <w:b/>
          <w:sz w:val="28"/>
          <w:szCs w:val="28"/>
        </w:rPr>
        <w:t>Sala Plena</w:t>
      </w:r>
    </w:p>
    <w:p w:rsidR="00FD1C18" w:rsidRPr="00EC42C3" w:rsidRDefault="00EC42C3" w:rsidP="00FD1C18">
      <w:pPr>
        <w:ind w:left="3540" w:right="51"/>
        <w:rPr>
          <w:rFonts w:ascii="Times New Roman" w:hAnsi="Times New Roman" w:cs="Times New Roman"/>
          <w:b/>
          <w:sz w:val="28"/>
          <w:szCs w:val="28"/>
        </w:rPr>
      </w:pPr>
    </w:p>
    <w:p w:rsidR="00FD1C18" w:rsidRPr="00EC42C3" w:rsidRDefault="00EC42C3" w:rsidP="00FD1C18">
      <w:pPr>
        <w:ind w:left="3261" w:right="51"/>
        <w:rPr>
          <w:rFonts w:ascii="Times New Roman" w:hAnsi="Times New Roman" w:cs="Times New Roman"/>
          <w:b/>
          <w:sz w:val="28"/>
          <w:szCs w:val="28"/>
        </w:rPr>
      </w:pPr>
      <w:r w:rsidRPr="00EC42C3">
        <w:rPr>
          <w:rFonts w:ascii="Times New Roman" w:hAnsi="Times New Roman" w:cs="Times New Roman"/>
          <w:b/>
          <w:sz w:val="28"/>
          <w:szCs w:val="28"/>
        </w:rPr>
        <w:t>SENTENCIA C-</w:t>
      </w:r>
      <w:r w:rsidRPr="00EC42C3">
        <w:rPr>
          <w:rFonts w:ascii="Times New Roman" w:hAnsi="Times New Roman" w:cs="Times New Roman"/>
          <w:b/>
          <w:sz w:val="28"/>
          <w:szCs w:val="28"/>
        </w:rPr>
        <w:t xml:space="preserve">428 </w:t>
      </w:r>
      <w:r w:rsidRPr="00EC42C3">
        <w:rPr>
          <w:rFonts w:ascii="Times New Roman" w:hAnsi="Times New Roman" w:cs="Times New Roman"/>
          <w:b/>
          <w:sz w:val="28"/>
          <w:szCs w:val="28"/>
        </w:rPr>
        <w:t>DE 2025</w:t>
      </w:r>
    </w:p>
    <w:p w:rsidR="00FD1C18" w:rsidRPr="00EC42C3" w:rsidRDefault="00EC42C3" w:rsidP="00FD1C18">
      <w:pPr>
        <w:tabs>
          <w:tab w:val="left" w:pos="7344"/>
        </w:tabs>
        <w:rPr>
          <w:rFonts w:ascii="Times New Roman" w:hAnsi="Times New Roman" w:cs="Times New Roman"/>
          <w:b/>
          <w:sz w:val="28"/>
          <w:szCs w:val="28"/>
          <w:lang w:val="es-ES"/>
        </w:rPr>
      </w:pPr>
      <w:r w:rsidRPr="00EC42C3">
        <w:rPr>
          <w:rFonts w:ascii="Times New Roman" w:hAnsi="Times New Roman" w:cs="Times New Roman"/>
          <w:b/>
          <w:sz w:val="28"/>
          <w:szCs w:val="28"/>
          <w:lang w:val="es-ES"/>
        </w:rPr>
        <w:tab/>
      </w:r>
    </w:p>
    <w:p w:rsidR="00FD1C18" w:rsidRPr="00EC42C3" w:rsidRDefault="00EC42C3" w:rsidP="00FD1C18">
      <w:pPr>
        <w:pStyle w:val="Sinespaciado1"/>
        <w:ind w:left="3231"/>
        <w:jc w:val="both"/>
        <w:outlineLvl w:val="0"/>
        <w:rPr>
          <w:rFonts w:eastAsia="Times New Roman"/>
          <w:sz w:val="28"/>
          <w:szCs w:val="28"/>
          <w:lang w:val="es-ES"/>
        </w:rPr>
      </w:pPr>
      <w:r w:rsidRPr="00EC42C3">
        <w:rPr>
          <w:rFonts w:eastAsia="Times New Roman"/>
          <w:b/>
          <w:bCs/>
          <w:sz w:val="28"/>
          <w:szCs w:val="28"/>
          <w:lang w:val="es-ES"/>
        </w:rPr>
        <w:t xml:space="preserve">Referencia: </w:t>
      </w:r>
      <w:r w:rsidRPr="00EC42C3">
        <w:rPr>
          <w:rFonts w:eastAsia="Times New Roman"/>
          <w:sz w:val="28"/>
          <w:szCs w:val="28"/>
          <w:lang w:val="es-ES"/>
        </w:rPr>
        <w:t xml:space="preserve">Expediente </w:t>
      </w:r>
      <w:r w:rsidRPr="00EC42C3">
        <w:rPr>
          <w:sz w:val="28"/>
        </w:rPr>
        <w:t>D-16.526</w:t>
      </w:r>
    </w:p>
    <w:p w:rsidR="00FD1C18" w:rsidRPr="00EC42C3" w:rsidRDefault="00EC42C3" w:rsidP="00FD1C18">
      <w:pPr>
        <w:pStyle w:val="Sinespaciado1"/>
        <w:ind w:left="3231"/>
        <w:jc w:val="both"/>
        <w:outlineLvl w:val="0"/>
        <w:rPr>
          <w:sz w:val="28"/>
          <w:szCs w:val="28"/>
          <w:lang w:val="es-ES"/>
        </w:rPr>
      </w:pPr>
    </w:p>
    <w:p w:rsidR="00FD1C18" w:rsidRPr="00EC42C3" w:rsidRDefault="00EC42C3" w:rsidP="00FD1C18">
      <w:pPr>
        <w:pStyle w:val="Sinespaciado1"/>
        <w:ind w:left="3231"/>
        <w:jc w:val="both"/>
        <w:outlineLvl w:val="0"/>
        <w:rPr>
          <w:sz w:val="28"/>
          <w:szCs w:val="28"/>
          <w:lang w:val="es-ES"/>
        </w:rPr>
      </w:pPr>
      <w:r w:rsidRPr="00EC42C3">
        <w:rPr>
          <w:b/>
          <w:bCs/>
          <w:sz w:val="28"/>
          <w:szCs w:val="28"/>
          <w:lang w:val="es-ES"/>
        </w:rPr>
        <w:t xml:space="preserve">Demandantes: </w:t>
      </w:r>
      <w:r w:rsidRPr="00EC42C3">
        <w:rPr>
          <w:sz w:val="28"/>
          <w:szCs w:val="28"/>
          <w:lang w:val="es-ES"/>
        </w:rPr>
        <w:t>María Alejandra Londoño y otros</w:t>
      </w:r>
    </w:p>
    <w:p w:rsidR="00FD1C18" w:rsidRPr="00EC42C3" w:rsidRDefault="00EC42C3" w:rsidP="00FD1C18">
      <w:pPr>
        <w:pStyle w:val="Sinespaciado1"/>
        <w:ind w:left="3231"/>
        <w:jc w:val="both"/>
        <w:outlineLvl w:val="0"/>
        <w:rPr>
          <w:sz w:val="28"/>
          <w:szCs w:val="28"/>
          <w:lang w:val="es-ES"/>
        </w:rPr>
      </w:pPr>
    </w:p>
    <w:p w:rsidR="00FD1C18" w:rsidRPr="00EC42C3" w:rsidRDefault="00EC42C3" w:rsidP="00FD1C18">
      <w:pPr>
        <w:ind w:left="3231"/>
        <w:jc w:val="both"/>
        <w:rPr>
          <w:rFonts w:ascii="Times New Roman" w:hAnsi="Times New Roman" w:cs="Times New Roman"/>
          <w:i/>
          <w:iCs/>
          <w:sz w:val="28"/>
          <w:szCs w:val="28"/>
        </w:rPr>
      </w:pPr>
      <w:r w:rsidRPr="00EC42C3">
        <w:rPr>
          <w:rFonts w:ascii="Times New Roman" w:hAnsi="Times New Roman" w:cs="Times New Roman"/>
          <w:b/>
          <w:sz w:val="28"/>
          <w:szCs w:val="28"/>
        </w:rPr>
        <w:t xml:space="preserve">Asunto: </w:t>
      </w:r>
      <w:r w:rsidRPr="00EC42C3">
        <w:rPr>
          <w:rFonts w:ascii="Times New Roman" w:hAnsi="Times New Roman" w:cs="Times New Roman"/>
          <w:sz w:val="28"/>
          <w:szCs w:val="28"/>
        </w:rPr>
        <w:t xml:space="preserve">Acción pública de inconstitucionalidad en contra de la norma enunciada en la expresión </w:t>
      </w:r>
      <w:r w:rsidRPr="00EC42C3">
        <w:rPr>
          <w:rFonts w:ascii="Times New Roman" w:hAnsi="Times New Roman" w:cs="Times New Roman"/>
          <w:i/>
          <w:iCs/>
          <w:sz w:val="28"/>
          <w:szCs w:val="28"/>
        </w:rPr>
        <w:t xml:space="preserve">“o de su cónyuge, por matrimonio contraído en la misma época”, </w:t>
      </w:r>
      <w:r w:rsidRPr="00EC42C3">
        <w:rPr>
          <w:rFonts w:ascii="Times New Roman" w:hAnsi="Times New Roman" w:cs="Times New Roman"/>
          <w:sz w:val="28"/>
          <w:szCs w:val="28"/>
        </w:rPr>
        <w:t>contenida en el artículo 108 del Código Civil (parcial)</w:t>
      </w:r>
    </w:p>
    <w:p w:rsidR="00FD1C18" w:rsidRPr="00EC42C3" w:rsidRDefault="00EC42C3" w:rsidP="00FD1C18">
      <w:pPr>
        <w:ind w:left="3231"/>
        <w:jc w:val="both"/>
        <w:rPr>
          <w:rFonts w:ascii="Times New Roman" w:hAnsi="Times New Roman" w:cs="Times New Roman"/>
          <w:sz w:val="28"/>
          <w:szCs w:val="28"/>
        </w:rPr>
      </w:pPr>
    </w:p>
    <w:p w:rsidR="00FD1C18" w:rsidRPr="00EC42C3" w:rsidRDefault="00EC42C3" w:rsidP="00FD1C18">
      <w:pPr>
        <w:widowControl w:val="0"/>
        <w:tabs>
          <w:tab w:val="left" w:pos="8505"/>
        </w:tabs>
        <w:autoSpaceDE w:val="0"/>
        <w:autoSpaceDN w:val="0"/>
        <w:adjustRightInd w:val="0"/>
        <w:ind w:left="3231"/>
        <w:jc w:val="both"/>
        <w:outlineLvl w:val="0"/>
        <w:rPr>
          <w:rFonts w:ascii="Times New Roman" w:hAnsi="Times New Roman" w:cs="Times New Roman"/>
          <w:b/>
          <w:sz w:val="28"/>
          <w:szCs w:val="28"/>
        </w:rPr>
      </w:pPr>
      <w:r w:rsidRPr="00EC42C3">
        <w:rPr>
          <w:rFonts w:ascii="Times New Roman" w:hAnsi="Times New Roman" w:cs="Times New Roman"/>
          <w:b/>
          <w:sz w:val="28"/>
          <w:szCs w:val="28"/>
        </w:rPr>
        <w:t xml:space="preserve">Magistrado Ponente: </w:t>
      </w:r>
      <w:r w:rsidRPr="00EC42C3">
        <w:rPr>
          <w:rFonts w:ascii="Times New Roman" w:hAnsi="Times New Roman" w:cs="Times New Roman"/>
          <w:sz w:val="28"/>
          <w:szCs w:val="28"/>
        </w:rPr>
        <w:t>Jorge Enrique Ibáñez Najar</w:t>
      </w:r>
    </w:p>
    <w:p w:rsidR="00FD1C18" w:rsidRPr="00EC42C3" w:rsidRDefault="00EC42C3" w:rsidP="00FD1C18">
      <w:pPr>
        <w:tabs>
          <w:tab w:val="left" w:pos="8505"/>
        </w:tabs>
        <w:jc w:val="both"/>
        <w:rPr>
          <w:rFonts w:ascii="Times New Roman" w:hAnsi="Times New Roman" w:cs="Times New Roman"/>
          <w:sz w:val="28"/>
          <w:szCs w:val="20"/>
          <w:lang w:eastAsia="es-ES"/>
        </w:rPr>
      </w:pPr>
    </w:p>
    <w:p w:rsidR="000C5DB9" w:rsidRPr="00EC42C3" w:rsidRDefault="00EC42C3" w:rsidP="00FD1C18">
      <w:pPr>
        <w:tabs>
          <w:tab w:val="left" w:pos="8505"/>
        </w:tabs>
        <w:jc w:val="both"/>
        <w:rPr>
          <w:rFonts w:ascii="Times New Roman" w:hAnsi="Times New Roman" w:cs="Times New Roman"/>
          <w:sz w:val="28"/>
          <w:szCs w:val="20"/>
          <w:lang w:eastAsia="es-ES"/>
        </w:rPr>
      </w:pPr>
    </w:p>
    <w:p w:rsidR="00FD1C18" w:rsidRPr="00EC42C3" w:rsidRDefault="00EC42C3" w:rsidP="00FD1C18">
      <w:pPr>
        <w:tabs>
          <w:tab w:val="left" w:pos="8505"/>
        </w:tabs>
        <w:jc w:val="both"/>
        <w:rPr>
          <w:rFonts w:ascii="Times New Roman" w:hAnsi="Times New Roman" w:cs="Times New Roman"/>
          <w:sz w:val="28"/>
          <w:szCs w:val="28"/>
          <w:lang w:val="es-ES" w:eastAsia="es-ES"/>
        </w:rPr>
      </w:pPr>
      <w:r w:rsidRPr="00EC42C3">
        <w:rPr>
          <w:rFonts w:ascii="Times New Roman" w:hAnsi="Times New Roman" w:cs="Times New Roman"/>
          <w:sz w:val="28"/>
          <w:szCs w:val="20"/>
          <w:lang w:val="es-ES" w:eastAsia="es-ES"/>
        </w:rPr>
        <w:t xml:space="preserve">Bogotá </w:t>
      </w:r>
      <w:r w:rsidRPr="00EC42C3">
        <w:rPr>
          <w:rFonts w:ascii="Times New Roman" w:hAnsi="Times New Roman" w:cs="Times New Roman"/>
          <w:sz w:val="28"/>
          <w:szCs w:val="28"/>
          <w:lang w:val="es-ES" w:eastAsia="es-ES"/>
        </w:rPr>
        <w:t>D.C.,</w:t>
      </w:r>
      <w:r w:rsidRPr="00EC42C3">
        <w:rPr>
          <w:rFonts w:ascii="Times New Roman" w:hAnsi="Times New Roman" w:cs="Times New Roman"/>
          <w:sz w:val="28"/>
          <w:szCs w:val="28"/>
          <w:lang w:val="es-ES" w:eastAsia="es-ES"/>
        </w:rPr>
        <w:t xml:space="preserve"> quince</w:t>
      </w:r>
      <w:r w:rsidRPr="00EC42C3">
        <w:rPr>
          <w:rFonts w:ascii="Times New Roman" w:hAnsi="Times New Roman" w:cs="Times New Roman"/>
          <w:sz w:val="28"/>
          <w:szCs w:val="28"/>
          <w:lang w:val="es-ES" w:eastAsia="es-ES"/>
        </w:rPr>
        <w:t xml:space="preserve"> (</w:t>
      </w:r>
      <w:r w:rsidRPr="00EC42C3">
        <w:rPr>
          <w:rFonts w:ascii="Times New Roman" w:hAnsi="Times New Roman" w:cs="Times New Roman"/>
          <w:sz w:val="28"/>
          <w:szCs w:val="28"/>
          <w:lang w:val="es-ES" w:eastAsia="es-ES"/>
        </w:rPr>
        <w:t>15</w:t>
      </w:r>
      <w:r w:rsidRPr="00EC42C3">
        <w:rPr>
          <w:rFonts w:ascii="Times New Roman" w:hAnsi="Times New Roman" w:cs="Times New Roman"/>
          <w:sz w:val="28"/>
          <w:szCs w:val="28"/>
          <w:lang w:val="es-ES" w:eastAsia="es-ES"/>
        </w:rPr>
        <w:t xml:space="preserve">) de </w:t>
      </w:r>
      <w:r w:rsidRPr="00EC42C3">
        <w:rPr>
          <w:rFonts w:ascii="Times New Roman" w:hAnsi="Times New Roman" w:cs="Times New Roman"/>
          <w:sz w:val="28"/>
          <w:szCs w:val="28"/>
          <w:lang w:val="es-ES" w:eastAsia="es-ES"/>
        </w:rPr>
        <w:t>octubre</w:t>
      </w:r>
      <w:r w:rsidRPr="00EC42C3">
        <w:rPr>
          <w:rFonts w:ascii="Times New Roman" w:hAnsi="Times New Roman" w:cs="Times New Roman"/>
          <w:sz w:val="28"/>
          <w:szCs w:val="28"/>
          <w:lang w:val="es-ES" w:eastAsia="es-ES"/>
        </w:rPr>
        <w:t xml:space="preserve"> de dos mil veinticinco (2025)</w:t>
      </w:r>
    </w:p>
    <w:p w:rsidR="00FD1C18" w:rsidRPr="00EC42C3" w:rsidRDefault="00EC42C3" w:rsidP="00FD1C18">
      <w:pPr>
        <w:tabs>
          <w:tab w:val="left" w:pos="8505"/>
        </w:tabs>
        <w:jc w:val="both"/>
        <w:rPr>
          <w:rFonts w:ascii="Times New Roman" w:hAnsi="Times New Roman" w:cs="Times New Roman"/>
          <w:sz w:val="28"/>
          <w:szCs w:val="28"/>
          <w:lang w:val="es-ES" w:eastAsia="es-ES"/>
        </w:rPr>
      </w:pPr>
    </w:p>
    <w:p w:rsidR="00FD1C18" w:rsidRPr="00EC42C3" w:rsidRDefault="00EC42C3" w:rsidP="00FD1C18">
      <w:pPr>
        <w:ind w:right="51"/>
        <w:jc w:val="both"/>
        <w:textAlignment w:val="baseline"/>
        <w:rPr>
          <w:rFonts w:ascii="Times New Roman" w:hAnsi="Times New Roman" w:cs="Times New Roman"/>
          <w:sz w:val="28"/>
          <w:szCs w:val="27"/>
        </w:rPr>
      </w:pPr>
      <w:r w:rsidRPr="00EC42C3">
        <w:rPr>
          <w:rFonts w:ascii="Times New Roman" w:hAnsi="Times New Roman" w:cs="Times New Roman"/>
          <w:sz w:val="28"/>
          <w:szCs w:val="28"/>
        </w:rPr>
        <w:t>La Sala Plena de la Corte Constitucional, en ejercicio de sus atribuciones constitucionales y luego de cumplir con los requisitos y trámites previstos en el Decreto Ley 2067 de 1991,</w:t>
      </w:r>
      <w:r w:rsidRPr="00EC42C3">
        <w:rPr>
          <w:rStyle w:val="apple-converted-space"/>
          <w:rFonts w:ascii="Times New Roman" w:eastAsiaTheme="majorEastAsia" w:hAnsi="Times New Roman" w:cs="Times New Roman"/>
          <w:sz w:val="28"/>
          <w:szCs w:val="28"/>
        </w:rPr>
        <w:t> </w:t>
      </w:r>
      <w:r w:rsidRPr="00EC42C3">
        <w:rPr>
          <w:rFonts w:ascii="Times New Roman" w:hAnsi="Times New Roman" w:cs="Times New Roman"/>
          <w:sz w:val="28"/>
          <w:szCs w:val="28"/>
        </w:rPr>
        <w:t>profie</w:t>
      </w:r>
      <w:r w:rsidRPr="00EC42C3">
        <w:rPr>
          <w:rFonts w:ascii="Times New Roman" w:hAnsi="Times New Roman" w:cs="Times New Roman"/>
          <w:sz w:val="28"/>
          <w:szCs w:val="28"/>
        </w:rPr>
        <w:t>re la siguiente</w:t>
      </w:r>
    </w:p>
    <w:p w:rsidR="00FD1C18" w:rsidRPr="00EC42C3" w:rsidRDefault="00EC42C3" w:rsidP="00FD1C18">
      <w:pPr>
        <w:jc w:val="both"/>
        <w:textAlignment w:val="baseline"/>
        <w:rPr>
          <w:rFonts w:ascii="Times New Roman" w:hAnsi="Times New Roman" w:cs="Times New Roman"/>
          <w:sz w:val="28"/>
          <w:szCs w:val="28"/>
        </w:rPr>
      </w:pPr>
      <w:r w:rsidRPr="00EC42C3">
        <w:rPr>
          <w:rFonts w:ascii="Times New Roman" w:hAnsi="Times New Roman" w:cs="Times New Roman"/>
          <w:sz w:val="28"/>
          <w:szCs w:val="28"/>
        </w:rPr>
        <w:t> </w:t>
      </w:r>
    </w:p>
    <w:p w:rsidR="00FD1C18" w:rsidRPr="00EC42C3" w:rsidRDefault="00EC42C3" w:rsidP="00FD1C18">
      <w:pPr>
        <w:jc w:val="both"/>
        <w:textAlignment w:val="baseline"/>
        <w:rPr>
          <w:rFonts w:ascii="Times New Roman" w:hAnsi="Times New Roman" w:cs="Times New Roman"/>
          <w:sz w:val="28"/>
          <w:szCs w:val="27"/>
        </w:rPr>
      </w:pPr>
    </w:p>
    <w:p w:rsidR="00FD1C18" w:rsidRPr="00EC42C3" w:rsidRDefault="00EC42C3" w:rsidP="00FD1C18">
      <w:pPr>
        <w:spacing w:line="360" w:lineRule="atLeast"/>
        <w:ind w:right="51"/>
        <w:jc w:val="center"/>
        <w:textAlignment w:val="baseline"/>
        <w:rPr>
          <w:rFonts w:ascii="Times New Roman" w:hAnsi="Times New Roman" w:cs="Times New Roman"/>
          <w:sz w:val="28"/>
          <w:szCs w:val="27"/>
        </w:rPr>
      </w:pPr>
      <w:r w:rsidRPr="00EC42C3">
        <w:rPr>
          <w:rFonts w:ascii="Times New Roman" w:hAnsi="Times New Roman" w:cs="Times New Roman"/>
          <w:b/>
          <w:bCs/>
          <w:sz w:val="28"/>
          <w:szCs w:val="28"/>
        </w:rPr>
        <w:t>SENTENCIA</w:t>
      </w:r>
    </w:p>
    <w:p w:rsidR="00FD1C18" w:rsidRPr="00EC42C3" w:rsidRDefault="00EC42C3" w:rsidP="00FD1C18">
      <w:pPr>
        <w:jc w:val="both"/>
        <w:rPr>
          <w:rFonts w:ascii="Times New Roman" w:hAnsi="Times New Roman" w:cs="Times New Roman"/>
          <w:b/>
          <w:sz w:val="28"/>
        </w:rPr>
      </w:pPr>
    </w:p>
    <w:p w:rsidR="00C80BEE" w:rsidRPr="00EC42C3" w:rsidRDefault="00EC42C3" w:rsidP="00FD1C18">
      <w:pPr>
        <w:jc w:val="both"/>
        <w:rPr>
          <w:rFonts w:ascii="Times New Roman" w:hAnsi="Times New Roman" w:cs="Times New Roman"/>
          <w:b/>
          <w:sz w:val="28"/>
        </w:rPr>
      </w:pPr>
    </w:p>
    <w:p w:rsidR="00FD1C18" w:rsidRPr="00EC42C3" w:rsidRDefault="00EC42C3" w:rsidP="00FD1C18">
      <w:pPr>
        <w:jc w:val="both"/>
        <w:rPr>
          <w:rFonts w:ascii="Times New Roman" w:hAnsi="Times New Roman" w:cs="Times New Roman"/>
          <w:b/>
          <w:bCs/>
          <w:sz w:val="28"/>
          <w:szCs w:val="28"/>
          <w:lang w:val="es-ES_tradnl"/>
        </w:rPr>
      </w:pPr>
      <w:r w:rsidRPr="00EC42C3">
        <w:rPr>
          <w:rFonts w:ascii="Times New Roman" w:hAnsi="Times New Roman" w:cs="Times New Roman"/>
          <w:b/>
          <w:bCs/>
          <w:sz w:val="28"/>
          <w:szCs w:val="28"/>
          <w:lang w:val="es-ES_tradnl"/>
        </w:rPr>
        <w:t>Síntesis de la decisión</w:t>
      </w:r>
    </w:p>
    <w:p w:rsidR="00FD1C18" w:rsidRPr="00EC42C3" w:rsidRDefault="00EC42C3" w:rsidP="00FD1C18">
      <w:pPr>
        <w:tabs>
          <w:tab w:val="left" w:pos="8505"/>
        </w:tabs>
        <w:jc w:val="both"/>
        <w:rPr>
          <w:rFonts w:ascii="Times New Roman" w:hAnsi="Times New Roman" w:cs="Times New Roman"/>
          <w:sz w:val="28"/>
          <w:szCs w:val="28"/>
          <w:lang w:val="es-ES_tradnl" w:eastAsia="es-ES"/>
        </w:rPr>
      </w:pPr>
    </w:p>
    <w:p w:rsidR="00FD1C18" w:rsidRPr="00EC42C3" w:rsidRDefault="00EC42C3" w:rsidP="00FD1C18">
      <w:pPr>
        <w:jc w:val="both"/>
        <w:rPr>
          <w:rFonts w:ascii="Times New Roman" w:hAnsi="Times New Roman" w:cs="Times New Roman"/>
          <w:sz w:val="28"/>
          <w:szCs w:val="28"/>
          <w:lang w:val="es-ES"/>
        </w:rPr>
      </w:pPr>
      <w:r w:rsidRPr="00EC42C3">
        <w:rPr>
          <w:rFonts w:ascii="Times New Roman" w:hAnsi="Times New Roman" w:cs="Times New Roman"/>
          <w:sz w:val="28"/>
          <w:szCs w:val="28"/>
          <w:lang w:val="es-ES_tradnl" w:eastAsia="es-ES"/>
        </w:rPr>
        <w:t xml:space="preserve">Esta Corte decidió la demanda presentada por </w:t>
      </w:r>
      <w:r w:rsidRPr="00EC42C3">
        <w:rPr>
          <w:rFonts w:ascii="Times New Roman" w:hAnsi="Times New Roman" w:cs="Times New Roman"/>
          <w:sz w:val="28"/>
          <w:szCs w:val="28"/>
          <w:lang w:val="es-ES"/>
        </w:rPr>
        <w:t xml:space="preserve">María Alejandra Londoño Flórez, Tomás Arango Bedoya, Valeria Agudelo Cárcamo y Jorge Iván Marín Tapiero </w:t>
      </w:r>
      <w:r w:rsidRPr="00EC42C3">
        <w:rPr>
          <w:rFonts w:ascii="Times New Roman" w:hAnsi="Times New Roman" w:cs="Times New Roman"/>
          <w:sz w:val="28"/>
          <w:szCs w:val="28"/>
          <w:lang w:val="es-ES_tradnl"/>
        </w:rPr>
        <w:t xml:space="preserve">en contra de </w:t>
      </w:r>
      <w:r w:rsidRPr="00EC42C3">
        <w:rPr>
          <w:rFonts w:ascii="Times New Roman" w:hAnsi="Times New Roman" w:cs="Times New Roman"/>
          <w:sz w:val="28"/>
          <w:szCs w:val="28"/>
          <w:lang w:val="es-ES"/>
        </w:rPr>
        <w:t xml:space="preserve">la norma enunciada en la </w:t>
      </w:r>
      <w:r w:rsidRPr="00EC42C3">
        <w:rPr>
          <w:rFonts w:ascii="Times New Roman" w:hAnsi="Times New Roman" w:cs="Times New Roman"/>
          <w:sz w:val="28"/>
          <w:szCs w:val="28"/>
        </w:rPr>
        <w:t xml:space="preserve">expresión </w:t>
      </w:r>
      <w:r w:rsidRPr="00EC42C3">
        <w:rPr>
          <w:rFonts w:ascii="Times New Roman" w:hAnsi="Times New Roman" w:cs="Times New Roman"/>
          <w:i/>
          <w:iCs/>
          <w:sz w:val="28"/>
          <w:szCs w:val="28"/>
        </w:rPr>
        <w:t xml:space="preserve">“o de su cónyuge, por matrimonio contraído en la misma época”, </w:t>
      </w:r>
      <w:r w:rsidRPr="00EC42C3">
        <w:rPr>
          <w:rFonts w:ascii="Times New Roman" w:hAnsi="Times New Roman" w:cs="Times New Roman"/>
          <w:sz w:val="28"/>
          <w:szCs w:val="28"/>
        </w:rPr>
        <w:t>contenida en el artículo 108 del Código Civil</w:t>
      </w:r>
      <w:r w:rsidRPr="00EC42C3">
        <w:rPr>
          <w:rFonts w:ascii="Times New Roman" w:hAnsi="Times New Roman" w:cs="Times New Roman"/>
          <w:sz w:val="28"/>
          <w:szCs w:val="28"/>
          <w:lang w:val="es-ES"/>
        </w:rPr>
        <w:t xml:space="preserve">. </w:t>
      </w:r>
      <w:r w:rsidRPr="00EC42C3">
        <w:rPr>
          <w:rFonts w:ascii="Times New Roman" w:hAnsi="Times New Roman" w:cs="Times New Roman"/>
          <w:sz w:val="28"/>
          <w:szCs w:val="28"/>
          <w:lang w:val="es-ES_tradnl"/>
        </w:rPr>
        <w:t xml:space="preserve">Los actores </w:t>
      </w:r>
      <w:r w:rsidRPr="00EC42C3">
        <w:rPr>
          <w:rFonts w:ascii="Times New Roman" w:hAnsi="Times New Roman" w:cs="Times New Roman"/>
          <w:sz w:val="28"/>
          <w:szCs w:val="28"/>
          <w:lang w:val="es-ES_tradnl"/>
        </w:rPr>
        <w:t>alegaron</w:t>
      </w:r>
      <w:r w:rsidRPr="00EC42C3">
        <w:rPr>
          <w:rFonts w:ascii="Times New Roman" w:hAnsi="Times New Roman" w:cs="Times New Roman"/>
          <w:sz w:val="28"/>
          <w:szCs w:val="28"/>
          <w:lang w:val="es-ES_tradnl"/>
        </w:rPr>
        <w:t xml:space="preserve"> que esta norma incurre en una omisión legislativa relativa, al excluir injustificadamente a los compañeros y compañeras perma</w:t>
      </w:r>
      <w:r w:rsidRPr="00EC42C3">
        <w:rPr>
          <w:rFonts w:ascii="Times New Roman" w:hAnsi="Times New Roman" w:cs="Times New Roman"/>
          <w:sz w:val="28"/>
          <w:szCs w:val="28"/>
          <w:lang w:val="es-ES_tradnl"/>
        </w:rPr>
        <w:t>nentes de las personas legitimadas para solicitar la rescisión de la sentencia que aprueba la partición o adjudicación de la sucesión, en caso de reaparición del presunto desaparecido.</w:t>
      </w:r>
    </w:p>
    <w:p w:rsidR="00FD1C18" w:rsidRPr="00EC42C3" w:rsidRDefault="00EC42C3" w:rsidP="00FD1C18">
      <w:pPr>
        <w:jc w:val="both"/>
        <w:rPr>
          <w:rFonts w:ascii="Times New Roman" w:hAnsi="Times New Roman" w:cs="Times New Roman"/>
          <w:sz w:val="28"/>
          <w:szCs w:val="28"/>
          <w:lang w:val="es-ES"/>
        </w:rPr>
      </w:pPr>
    </w:p>
    <w:p w:rsidR="00FD1C18" w:rsidRPr="00EC42C3" w:rsidRDefault="00EC42C3" w:rsidP="00D70EAF">
      <w:pPr>
        <w:jc w:val="both"/>
        <w:rPr>
          <w:rFonts w:ascii="Times New Roman" w:hAnsi="Times New Roman" w:cs="Times New Roman"/>
          <w:sz w:val="28"/>
          <w:szCs w:val="28"/>
          <w:lang w:val="es-ES_tradnl"/>
        </w:rPr>
      </w:pPr>
      <w:r w:rsidRPr="00EC42C3">
        <w:rPr>
          <w:rFonts w:ascii="Times New Roman" w:hAnsi="Times New Roman" w:cs="Times New Roman"/>
          <w:sz w:val="28"/>
          <w:szCs w:val="28"/>
          <w:lang w:val="es-ES_tradnl"/>
        </w:rPr>
        <w:t>Sost</w:t>
      </w:r>
      <w:r w:rsidRPr="00EC42C3">
        <w:rPr>
          <w:rFonts w:ascii="Times New Roman" w:hAnsi="Times New Roman" w:cs="Times New Roman"/>
          <w:sz w:val="28"/>
          <w:szCs w:val="28"/>
          <w:lang w:val="es-ES_tradnl"/>
        </w:rPr>
        <w:t>uvieron</w:t>
      </w:r>
      <w:r w:rsidRPr="00EC42C3">
        <w:rPr>
          <w:rFonts w:ascii="Times New Roman" w:hAnsi="Times New Roman" w:cs="Times New Roman"/>
          <w:sz w:val="28"/>
          <w:szCs w:val="28"/>
          <w:lang w:val="es-ES_tradnl"/>
        </w:rPr>
        <w:t xml:space="preserve"> que esta exclusión vulnera lo previsto en los artículos 5,</w:t>
      </w:r>
      <w:r w:rsidRPr="00EC42C3">
        <w:rPr>
          <w:rFonts w:ascii="Times New Roman" w:hAnsi="Times New Roman" w:cs="Times New Roman"/>
          <w:sz w:val="28"/>
          <w:szCs w:val="28"/>
          <w:lang w:val="es-ES_tradnl"/>
        </w:rPr>
        <w:t xml:space="preserve"> 13 y 42 de la Constitución, al establecer una diferencia de trato injustificada frente a los cónyuges, pese a que los compañeros permanentes y la familia que con ellos se conforma tiene la misma protección constitucional. Señala</w:t>
      </w:r>
      <w:r w:rsidRPr="00EC42C3">
        <w:rPr>
          <w:rFonts w:ascii="Times New Roman" w:hAnsi="Times New Roman" w:cs="Times New Roman"/>
          <w:sz w:val="28"/>
          <w:szCs w:val="28"/>
          <w:lang w:val="es-ES_tradnl"/>
        </w:rPr>
        <w:t>ro</w:t>
      </w:r>
      <w:r w:rsidRPr="00EC42C3">
        <w:rPr>
          <w:rFonts w:ascii="Times New Roman" w:hAnsi="Times New Roman" w:cs="Times New Roman"/>
          <w:sz w:val="28"/>
          <w:szCs w:val="28"/>
          <w:lang w:val="es-ES_tradnl"/>
        </w:rPr>
        <w:t>n que, si bien la finalid</w:t>
      </w:r>
      <w:r w:rsidRPr="00EC42C3">
        <w:rPr>
          <w:rFonts w:ascii="Times New Roman" w:hAnsi="Times New Roman" w:cs="Times New Roman"/>
          <w:sz w:val="28"/>
          <w:szCs w:val="28"/>
          <w:lang w:val="es-ES_tradnl"/>
        </w:rPr>
        <w:t xml:space="preserve">ad de la norma es legítima, el medio elegido no es idóneo ni proporcional, ya que discrimina por </w:t>
      </w:r>
      <w:r w:rsidRPr="00EC42C3">
        <w:rPr>
          <w:rFonts w:ascii="Times New Roman" w:hAnsi="Times New Roman" w:cs="Times New Roman"/>
          <w:sz w:val="28"/>
          <w:szCs w:val="28"/>
          <w:lang w:val="es-ES_tradnl"/>
        </w:rPr>
        <w:t xml:space="preserve">el </w:t>
      </w:r>
      <w:r w:rsidRPr="00EC42C3">
        <w:rPr>
          <w:rFonts w:ascii="Times New Roman" w:hAnsi="Times New Roman" w:cs="Times New Roman"/>
          <w:sz w:val="28"/>
          <w:szCs w:val="28"/>
          <w:lang w:val="es-ES_tradnl"/>
        </w:rPr>
        <w:t>origen familiar. Además, indica</w:t>
      </w:r>
      <w:r w:rsidRPr="00EC42C3">
        <w:rPr>
          <w:rFonts w:ascii="Times New Roman" w:hAnsi="Times New Roman" w:cs="Times New Roman"/>
          <w:sz w:val="28"/>
          <w:szCs w:val="28"/>
          <w:lang w:val="es-ES_tradnl"/>
        </w:rPr>
        <w:t>ro</w:t>
      </w:r>
      <w:r w:rsidRPr="00EC42C3">
        <w:rPr>
          <w:rFonts w:ascii="Times New Roman" w:hAnsi="Times New Roman" w:cs="Times New Roman"/>
          <w:sz w:val="28"/>
          <w:szCs w:val="28"/>
          <w:lang w:val="es-ES_tradnl"/>
        </w:rPr>
        <w:t>n que la omisión es evidente en el texto legal, que ella carece de justificación constitucional y que genera una desigualda</w:t>
      </w:r>
      <w:r w:rsidRPr="00EC42C3">
        <w:rPr>
          <w:rFonts w:ascii="Times New Roman" w:hAnsi="Times New Roman" w:cs="Times New Roman"/>
          <w:sz w:val="28"/>
          <w:szCs w:val="28"/>
          <w:lang w:val="es-ES_tradnl"/>
        </w:rPr>
        <w:t>d negativa, contraria a la igualdad de derechos entre cónyuges y compañeros permanentes.</w:t>
      </w:r>
    </w:p>
    <w:p w:rsidR="000F4D09" w:rsidRPr="00EC42C3" w:rsidRDefault="00EC42C3" w:rsidP="00D70EAF">
      <w:pPr>
        <w:jc w:val="both"/>
        <w:rPr>
          <w:rFonts w:ascii="Times New Roman" w:hAnsi="Times New Roman" w:cs="Times New Roman"/>
          <w:sz w:val="28"/>
          <w:szCs w:val="28"/>
          <w:lang w:val="es-ES_tradnl"/>
        </w:rPr>
      </w:pPr>
    </w:p>
    <w:p w:rsidR="00FD1C18" w:rsidRPr="00EC42C3" w:rsidRDefault="00EC42C3" w:rsidP="00FD1C18">
      <w:pPr>
        <w:tabs>
          <w:tab w:val="left" w:pos="8505"/>
        </w:tabs>
        <w:jc w:val="both"/>
        <w:rPr>
          <w:rFonts w:ascii="Times New Roman" w:hAnsi="Times New Roman" w:cs="Times New Roman"/>
          <w:sz w:val="28"/>
          <w:szCs w:val="28"/>
          <w:lang w:val="es-ES_tradnl"/>
        </w:rPr>
      </w:pPr>
      <w:r w:rsidRPr="00EC42C3">
        <w:rPr>
          <w:rFonts w:ascii="Times New Roman" w:hAnsi="Times New Roman" w:cs="Times New Roman"/>
          <w:sz w:val="28"/>
          <w:szCs w:val="28"/>
          <w:lang w:val="es-ES_tradnl"/>
        </w:rPr>
        <w:t xml:space="preserve">Como cuestión previa, la Sala examinó si el cargo formulado </w:t>
      </w:r>
      <w:r w:rsidRPr="00EC42C3">
        <w:rPr>
          <w:rFonts w:ascii="Times New Roman" w:hAnsi="Times New Roman" w:cs="Times New Roman"/>
          <w:sz w:val="28"/>
          <w:szCs w:val="28"/>
          <w:lang w:val="es-ES_tradnl"/>
        </w:rPr>
        <w:t>permite emitir un pronunciamiento de fondo</w:t>
      </w:r>
      <w:r w:rsidRPr="00EC42C3">
        <w:rPr>
          <w:rFonts w:ascii="Times New Roman" w:hAnsi="Times New Roman" w:cs="Times New Roman"/>
          <w:sz w:val="28"/>
          <w:szCs w:val="28"/>
          <w:lang w:val="es-ES_tradnl"/>
        </w:rPr>
        <w:t>. Para ello, precisó los criterios que debe reunir una demanda d</w:t>
      </w:r>
      <w:r w:rsidRPr="00EC42C3">
        <w:rPr>
          <w:rFonts w:ascii="Times New Roman" w:hAnsi="Times New Roman" w:cs="Times New Roman"/>
          <w:sz w:val="28"/>
          <w:szCs w:val="28"/>
          <w:lang w:val="es-ES_tradnl"/>
        </w:rPr>
        <w:t>e inconstitucionalidad y, en particular, las exigencias propias de los cargos por omisión legislativa relativa.</w:t>
      </w:r>
      <w:r w:rsidRPr="00EC42C3">
        <w:rPr>
          <w:rFonts w:ascii="Times New Roman" w:hAnsi="Times New Roman" w:cs="Times New Roman"/>
          <w:sz w:val="28"/>
          <w:szCs w:val="28"/>
          <w:lang w:val="es-ES_tradnl"/>
        </w:rPr>
        <w:t xml:space="preserve"> Y, además, se ocupó de analizar lo relativo al control de constitucionalidad sobre normas promulgadas con anterioridad a la vigencia de la Const</w:t>
      </w:r>
      <w:r w:rsidRPr="00EC42C3">
        <w:rPr>
          <w:rFonts w:ascii="Times New Roman" w:hAnsi="Times New Roman" w:cs="Times New Roman"/>
          <w:sz w:val="28"/>
          <w:szCs w:val="28"/>
          <w:lang w:val="es-ES_tradnl"/>
        </w:rPr>
        <w:t>itución de 1991.</w:t>
      </w:r>
    </w:p>
    <w:p w:rsidR="002462CC" w:rsidRPr="00EC42C3" w:rsidRDefault="00EC42C3" w:rsidP="00FD1C18">
      <w:pPr>
        <w:tabs>
          <w:tab w:val="left" w:pos="8505"/>
        </w:tabs>
        <w:jc w:val="both"/>
        <w:rPr>
          <w:rFonts w:ascii="Times New Roman" w:hAnsi="Times New Roman" w:cs="Times New Roman"/>
          <w:sz w:val="28"/>
          <w:szCs w:val="28"/>
          <w:lang w:val="es-ES_tradnl"/>
        </w:rPr>
      </w:pPr>
    </w:p>
    <w:p w:rsidR="00120DDD" w:rsidRPr="00EC42C3" w:rsidRDefault="00EC42C3" w:rsidP="00120DDD">
      <w:pPr>
        <w:tabs>
          <w:tab w:val="left" w:pos="8505"/>
        </w:tabs>
        <w:jc w:val="both"/>
        <w:rPr>
          <w:rFonts w:ascii="Times New Roman" w:hAnsi="Times New Roman" w:cs="Times New Roman"/>
          <w:sz w:val="28"/>
          <w:szCs w:val="28"/>
        </w:rPr>
      </w:pPr>
      <w:r w:rsidRPr="00EC42C3">
        <w:rPr>
          <w:rFonts w:ascii="Times New Roman" w:hAnsi="Times New Roman" w:cs="Times New Roman"/>
          <w:sz w:val="28"/>
          <w:szCs w:val="28"/>
          <w:lang w:val="es-ES"/>
        </w:rPr>
        <w:t xml:space="preserve">Luego de superar el análisis de aptitud de la demanda, </w:t>
      </w:r>
      <w:r w:rsidRPr="00EC42C3">
        <w:rPr>
          <w:rFonts w:ascii="Times New Roman" w:hAnsi="Times New Roman" w:cs="Times New Roman"/>
          <w:sz w:val="28"/>
          <w:szCs w:val="28"/>
          <w:lang w:val="es-ES"/>
        </w:rPr>
        <w:t xml:space="preserve">a esta </w:t>
      </w:r>
      <w:r w:rsidRPr="00EC42C3">
        <w:rPr>
          <w:rFonts w:ascii="Times New Roman" w:hAnsi="Times New Roman" w:cs="Times New Roman"/>
          <w:sz w:val="28"/>
          <w:szCs w:val="28"/>
          <w:lang w:val="es-ES"/>
        </w:rPr>
        <w:t xml:space="preserve">Sala </w:t>
      </w:r>
      <w:r w:rsidRPr="00EC42C3">
        <w:rPr>
          <w:rFonts w:ascii="Times New Roman" w:hAnsi="Times New Roman" w:cs="Times New Roman"/>
          <w:sz w:val="28"/>
          <w:szCs w:val="28"/>
          <w:lang w:val="es-ES"/>
        </w:rPr>
        <w:t xml:space="preserve">le correspondió </w:t>
      </w:r>
      <w:r w:rsidRPr="00EC42C3">
        <w:rPr>
          <w:rFonts w:ascii="Times New Roman" w:hAnsi="Times New Roman" w:cs="Times New Roman"/>
          <w:sz w:val="28"/>
          <w:szCs w:val="28"/>
        </w:rPr>
        <w:t>determinar si</w:t>
      </w:r>
      <w:r w:rsidRPr="00EC42C3">
        <w:rPr>
          <w:rFonts w:ascii="Times New Roman" w:hAnsi="Times New Roman" w:cs="Times New Roman"/>
          <w:sz w:val="28"/>
          <w:szCs w:val="28"/>
        </w:rPr>
        <w:t xml:space="preserve"> </w:t>
      </w:r>
      <w:r w:rsidRPr="00EC42C3">
        <w:rPr>
          <w:rFonts w:ascii="Times New Roman" w:eastAsia="TimesNewRomanPSMT" w:hAnsi="Times New Roman" w:cs="Times New Roman"/>
          <w:color w:val="000000" w:themeColor="text1"/>
          <w:sz w:val="28"/>
          <w:szCs w:val="28"/>
          <w:lang w:val="es"/>
        </w:rPr>
        <w:t xml:space="preserve">la norma demandada, al no incluir a los compañeros y compañeros permanentes, para que en su favor se pueda rescindir el decreto de posesión </w:t>
      </w:r>
      <w:r w:rsidRPr="00EC42C3">
        <w:rPr>
          <w:rFonts w:ascii="Times New Roman" w:eastAsia="TimesNewRomanPSMT" w:hAnsi="Times New Roman" w:cs="Times New Roman"/>
          <w:color w:val="000000" w:themeColor="text1"/>
          <w:sz w:val="28"/>
          <w:szCs w:val="28"/>
          <w:lang w:val="es"/>
        </w:rPr>
        <w:t>por reaparición, conforme a lo previsto en el artículo 108 del Código Civil, incurre en una omisión legislativa relativa, al desconocer lo previsto en los artículos 5, 13 y 42 de la Constitución.</w:t>
      </w:r>
    </w:p>
    <w:p w:rsidR="00F74943" w:rsidRPr="00EC42C3" w:rsidRDefault="00EC42C3" w:rsidP="000B0F40">
      <w:pPr>
        <w:tabs>
          <w:tab w:val="left" w:pos="8505"/>
        </w:tabs>
        <w:jc w:val="both"/>
        <w:rPr>
          <w:rFonts w:ascii="Times New Roman" w:hAnsi="Times New Roman" w:cs="Times New Roman"/>
          <w:sz w:val="28"/>
          <w:szCs w:val="28"/>
          <w:lang w:val="es-ES_tradnl"/>
        </w:rPr>
      </w:pPr>
    </w:p>
    <w:p w:rsidR="002462CC" w:rsidRPr="00EC42C3" w:rsidRDefault="00EC42C3" w:rsidP="00FD1C18">
      <w:pPr>
        <w:tabs>
          <w:tab w:val="left" w:pos="8505"/>
        </w:tabs>
        <w:jc w:val="both"/>
        <w:rPr>
          <w:rFonts w:ascii="Times New Roman" w:hAnsi="Times New Roman" w:cs="Times New Roman"/>
          <w:sz w:val="28"/>
          <w:szCs w:val="28"/>
          <w:lang w:val="es-ES"/>
        </w:rPr>
      </w:pPr>
      <w:r w:rsidRPr="00EC42C3">
        <w:rPr>
          <w:rFonts w:ascii="Times New Roman" w:hAnsi="Times New Roman" w:cs="Times New Roman"/>
          <w:sz w:val="28"/>
          <w:szCs w:val="28"/>
          <w:lang w:val="es-ES"/>
        </w:rPr>
        <w:t>Para</w:t>
      </w:r>
      <w:r w:rsidRPr="00EC42C3">
        <w:rPr>
          <w:rFonts w:ascii="Times New Roman" w:hAnsi="Times New Roman" w:cs="Times New Roman"/>
          <w:sz w:val="28"/>
          <w:szCs w:val="28"/>
          <w:lang w:val="es-ES"/>
        </w:rPr>
        <w:t xml:space="preserve"> resolver este problema jurídico, la Sala </w:t>
      </w:r>
      <w:r w:rsidRPr="00EC42C3">
        <w:rPr>
          <w:rFonts w:ascii="Times New Roman" w:hAnsi="Times New Roman" w:cs="Times New Roman"/>
          <w:i/>
          <w:iCs/>
          <w:sz w:val="28"/>
          <w:szCs w:val="28"/>
          <w:lang w:val="es-ES"/>
        </w:rPr>
        <w:t xml:space="preserve">(i) </w:t>
      </w:r>
      <w:r w:rsidRPr="00EC42C3">
        <w:rPr>
          <w:rFonts w:ascii="Times New Roman" w:hAnsi="Times New Roman" w:cs="Times New Roman"/>
          <w:sz w:val="28"/>
          <w:szCs w:val="28"/>
          <w:lang w:val="es-ES"/>
        </w:rPr>
        <w:t xml:space="preserve">se </w:t>
      </w:r>
      <w:r w:rsidRPr="00EC42C3">
        <w:rPr>
          <w:rFonts w:ascii="Times New Roman" w:hAnsi="Times New Roman" w:cs="Times New Roman"/>
          <w:sz w:val="28"/>
          <w:szCs w:val="28"/>
          <w:lang w:val="es-ES"/>
        </w:rPr>
        <w:t xml:space="preserve">refirió al </w:t>
      </w:r>
      <w:r w:rsidRPr="00EC42C3">
        <w:rPr>
          <w:rFonts w:ascii="Times New Roman" w:hAnsi="Times New Roman" w:cs="Times New Roman"/>
          <w:sz w:val="28"/>
          <w:szCs w:val="28"/>
          <w:lang w:val="es-ES"/>
        </w:rPr>
        <w:t xml:space="preserve">marco normativo de la </w:t>
      </w:r>
      <w:r w:rsidRPr="00EC42C3">
        <w:rPr>
          <w:rFonts w:ascii="Times New Roman" w:hAnsi="Times New Roman" w:cs="Times New Roman"/>
          <w:sz w:val="28"/>
          <w:szCs w:val="28"/>
          <w:lang w:val="es-ES"/>
        </w:rPr>
        <w:t xml:space="preserve">declaración de </w:t>
      </w:r>
      <w:r w:rsidRPr="00EC42C3">
        <w:rPr>
          <w:rFonts w:ascii="Times New Roman" w:hAnsi="Times New Roman" w:cs="Times New Roman"/>
          <w:sz w:val="28"/>
          <w:szCs w:val="28"/>
          <w:lang w:val="es-ES"/>
        </w:rPr>
        <w:t xml:space="preserve">ausencia de una persona, </w:t>
      </w:r>
      <w:r w:rsidRPr="00EC42C3">
        <w:rPr>
          <w:rFonts w:ascii="Times New Roman" w:hAnsi="Times New Roman" w:cs="Times New Roman"/>
          <w:sz w:val="28"/>
          <w:szCs w:val="28"/>
          <w:lang w:val="es-ES"/>
        </w:rPr>
        <w:t xml:space="preserve">la </w:t>
      </w:r>
      <w:r w:rsidRPr="00EC42C3">
        <w:rPr>
          <w:rFonts w:ascii="Times New Roman" w:hAnsi="Times New Roman" w:cs="Times New Roman"/>
          <w:sz w:val="28"/>
          <w:szCs w:val="28"/>
          <w:lang w:val="es-ES"/>
        </w:rPr>
        <w:t xml:space="preserve">presunción de muerte y </w:t>
      </w:r>
      <w:r w:rsidRPr="00EC42C3">
        <w:rPr>
          <w:rFonts w:ascii="Times New Roman" w:hAnsi="Times New Roman" w:cs="Times New Roman"/>
          <w:sz w:val="28"/>
          <w:szCs w:val="28"/>
          <w:lang w:val="es-ES"/>
        </w:rPr>
        <w:t xml:space="preserve">la </w:t>
      </w:r>
      <w:r w:rsidRPr="00EC42C3">
        <w:rPr>
          <w:rFonts w:ascii="Times New Roman" w:hAnsi="Times New Roman" w:cs="Times New Roman"/>
          <w:sz w:val="28"/>
          <w:szCs w:val="28"/>
          <w:lang w:val="es-ES"/>
        </w:rPr>
        <w:t>rescisión del decreto de posesión por reaparición</w:t>
      </w:r>
      <w:r w:rsidRPr="00EC42C3">
        <w:rPr>
          <w:rFonts w:ascii="Times New Roman" w:hAnsi="Times New Roman" w:cs="Times New Roman"/>
          <w:sz w:val="28"/>
          <w:szCs w:val="28"/>
          <w:lang w:val="es-ES"/>
        </w:rPr>
        <w:t>;</w:t>
      </w:r>
      <w:r w:rsidRPr="00EC42C3">
        <w:rPr>
          <w:rFonts w:ascii="Times New Roman" w:hAnsi="Times New Roman" w:cs="Times New Roman"/>
          <w:sz w:val="28"/>
          <w:szCs w:val="28"/>
          <w:lang w:val="es-ES"/>
        </w:rPr>
        <w:t xml:space="preserve"> </w:t>
      </w:r>
      <w:r w:rsidRPr="00EC42C3">
        <w:rPr>
          <w:rFonts w:ascii="Times New Roman" w:hAnsi="Times New Roman" w:cs="Times New Roman"/>
          <w:i/>
          <w:iCs/>
          <w:sz w:val="28"/>
          <w:szCs w:val="28"/>
          <w:lang w:val="es-ES"/>
        </w:rPr>
        <w:t>(ii)</w:t>
      </w:r>
      <w:r w:rsidRPr="00EC42C3">
        <w:rPr>
          <w:rFonts w:ascii="Times New Roman" w:hAnsi="Times New Roman" w:cs="Times New Roman"/>
          <w:sz w:val="28"/>
          <w:szCs w:val="28"/>
          <w:lang w:val="es-ES"/>
        </w:rPr>
        <w:t xml:space="preserve"> </w:t>
      </w:r>
      <w:r w:rsidRPr="00EC42C3">
        <w:rPr>
          <w:rFonts w:ascii="Times New Roman" w:hAnsi="Times New Roman" w:cs="Times New Roman"/>
          <w:sz w:val="28"/>
          <w:szCs w:val="28"/>
          <w:lang w:val="es-ES"/>
        </w:rPr>
        <w:t>reiteró sus consideraciones relativas a la protección vigente y actual de la familia</w:t>
      </w:r>
      <w:r w:rsidRPr="00EC42C3">
        <w:rPr>
          <w:rFonts w:ascii="Times New Roman" w:hAnsi="Times New Roman" w:cs="Times New Roman"/>
          <w:sz w:val="28"/>
          <w:szCs w:val="28"/>
          <w:lang w:val="es-ES"/>
        </w:rPr>
        <w:t xml:space="preserve">; </w:t>
      </w:r>
      <w:r w:rsidRPr="00EC42C3">
        <w:rPr>
          <w:rFonts w:ascii="Times New Roman" w:hAnsi="Times New Roman" w:cs="Times New Roman"/>
          <w:i/>
          <w:iCs/>
          <w:sz w:val="28"/>
          <w:szCs w:val="28"/>
          <w:lang w:val="es-ES"/>
        </w:rPr>
        <w:t>(iii)</w:t>
      </w:r>
      <w:r w:rsidRPr="00EC42C3">
        <w:rPr>
          <w:rFonts w:ascii="Times New Roman" w:hAnsi="Times New Roman" w:cs="Times New Roman"/>
          <w:sz w:val="28"/>
          <w:szCs w:val="28"/>
          <w:lang w:val="es-ES"/>
        </w:rPr>
        <w:t xml:space="preserve"> </w:t>
      </w:r>
      <w:r w:rsidRPr="00EC42C3">
        <w:rPr>
          <w:rFonts w:ascii="Times New Roman" w:hAnsi="Times New Roman" w:cs="Times New Roman"/>
          <w:sz w:val="28"/>
          <w:szCs w:val="28"/>
          <w:lang w:val="es-ES"/>
        </w:rPr>
        <w:t>abordó</w:t>
      </w:r>
      <w:r w:rsidRPr="00EC42C3">
        <w:rPr>
          <w:rFonts w:ascii="Times New Roman" w:hAnsi="Times New Roman" w:cs="Times New Roman"/>
          <w:sz w:val="28"/>
          <w:szCs w:val="28"/>
          <w:lang w:val="es-ES"/>
        </w:rPr>
        <w:t xml:space="preserve"> las diferencias de regulación existentes entre matrimonios y uniones maritales de hecho</w:t>
      </w:r>
      <w:r w:rsidRPr="00EC42C3">
        <w:rPr>
          <w:rFonts w:ascii="Times New Roman" w:hAnsi="Times New Roman" w:cs="Times New Roman"/>
          <w:sz w:val="28"/>
          <w:szCs w:val="28"/>
          <w:lang w:val="es-ES"/>
        </w:rPr>
        <w:t xml:space="preserve">; </w:t>
      </w:r>
      <w:r w:rsidRPr="00EC42C3">
        <w:rPr>
          <w:rFonts w:ascii="Times New Roman" w:hAnsi="Times New Roman" w:cs="Times New Roman"/>
          <w:i/>
          <w:iCs/>
          <w:sz w:val="28"/>
          <w:szCs w:val="28"/>
          <w:lang w:val="es-ES"/>
        </w:rPr>
        <w:t xml:space="preserve">(iv) </w:t>
      </w:r>
      <w:r w:rsidRPr="00EC42C3">
        <w:rPr>
          <w:rFonts w:ascii="Times New Roman" w:hAnsi="Times New Roman" w:cs="Times New Roman"/>
          <w:sz w:val="28"/>
          <w:szCs w:val="28"/>
          <w:lang w:val="es-ES"/>
        </w:rPr>
        <w:t xml:space="preserve">aludió a la protección constitucional de las familias conformadas por parejas del mismo sexo. </w:t>
      </w:r>
      <w:r w:rsidRPr="00EC42C3">
        <w:rPr>
          <w:rFonts w:ascii="Times New Roman" w:hAnsi="Times New Roman" w:cs="Times New Roman"/>
          <w:sz w:val="28"/>
          <w:szCs w:val="28"/>
          <w:lang w:val="es-ES"/>
        </w:rPr>
        <w:t>También hizo alusión a las normas internacionales (aplicables vía b</w:t>
      </w:r>
      <w:r w:rsidRPr="00EC42C3">
        <w:rPr>
          <w:rFonts w:ascii="Times New Roman" w:hAnsi="Times New Roman" w:cs="Times New Roman"/>
          <w:sz w:val="28"/>
          <w:szCs w:val="28"/>
          <w:lang w:val="es-ES"/>
        </w:rPr>
        <w:t>loque de constitucionalidad) referentes a la igualdad y no discriminación, consagradas en el</w:t>
      </w:r>
      <w:r w:rsidRPr="00EC42C3">
        <w:rPr>
          <w:rStyle w:val="apple-converted-space"/>
          <w:rFonts w:ascii="Times New Roman" w:eastAsiaTheme="majorEastAsia" w:hAnsi="Times New Roman" w:cs="Times New Roman"/>
          <w:sz w:val="28"/>
          <w:szCs w:val="28"/>
          <w:lang w:val="es-ES"/>
        </w:rPr>
        <w:t> </w:t>
      </w:r>
      <w:r w:rsidRPr="00EC42C3">
        <w:rPr>
          <w:rFonts w:ascii="Times New Roman" w:hAnsi="Times New Roman" w:cs="Times New Roman"/>
          <w:sz w:val="28"/>
          <w:szCs w:val="28"/>
        </w:rPr>
        <w:t>Pacto Internacional de Derechos Civiles y Políticos y en la Convención Americana de Derechos Humanos.</w:t>
      </w:r>
    </w:p>
    <w:p w:rsidR="00C80BEE" w:rsidRPr="00EC42C3" w:rsidRDefault="00EC42C3" w:rsidP="00FD1C18">
      <w:pPr>
        <w:tabs>
          <w:tab w:val="left" w:pos="8505"/>
        </w:tabs>
        <w:jc w:val="both"/>
        <w:rPr>
          <w:rFonts w:ascii="Times New Roman" w:hAnsi="Times New Roman" w:cs="Times New Roman"/>
          <w:sz w:val="28"/>
          <w:szCs w:val="28"/>
        </w:rPr>
      </w:pPr>
    </w:p>
    <w:p w:rsidR="00883B3A" w:rsidRPr="00EC42C3" w:rsidRDefault="00EC42C3" w:rsidP="00FD1C18">
      <w:pPr>
        <w:tabs>
          <w:tab w:val="left" w:pos="8505"/>
        </w:tabs>
        <w:jc w:val="both"/>
        <w:rPr>
          <w:rFonts w:ascii="Times New Roman" w:hAnsi="Times New Roman" w:cs="Times New Roman"/>
          <w:sz w:val="28"/>
          <w:szCs w:val="28"/>
        </w:rPr>
      </w:pPr>
      <w:r w:rsidRPr="00EC42C3">
        <w:rPr>
          <w:rFonts w:ascii="Times New Roman" w:hAnsi="Times New Roman" w:cs="Times New Roman"/>
          <w:sz w:val="28"/>
          <w:szCs w:val="28"/>
        </w:rPr>
        <w:t>Con fundamento en los anteriores elementos de juicio, la Sal</w:t>
      </w:r>
      <w:r w:rsidRPr="00EC42C3">
        <w:rPr>
          <w:rFonts w:ascii="Times New Roman" w:hAnsi="Times New Roman" w:cs="Times New Roman"/>
          <w:sz w:val="28"/>
          <w:szCs w:val="28"/>
        </w:rPr>
        <w:t>a con</w:t>
      </w:r>
      <w:r w:rsidRPr="00EC42C3">
        <w:rPr>
          <w:rFonts w:ascii="Times New Roman" w:hAnsi="Times New Roman" w:cs="Times New Roman"/>
          <w:sz w:val="28"/>
          <w:szCs w:val="28"/>
        </w:rPr>
        <w:t xml:space="preserve">cluyó que la exclusión de los compañeros y compañeras permanentes no persigue un fin constitucional imperioso que justifique el trato diferenciado entre formas de familia materialmente equivalentes. En consecuencia, constató la existencia de </w:t>
      </w:r>
      <w:r w:rsidRPr="00EC42C3">
        <w:rPr>
          <w:rFonts w:ascii="Times New Roman" w:hAnsi="Times New Roman" w:cs="Times New Roman"/>
          <w:sz w:val="28"/>
          <w:szCs w:val="28"/>
        </w:rPr>
        <w:t>una omisi</w:t>
      </w:r>
      <w:r w:rsidRPr="00EC42C3">
        <w:rPr>
          <w:rFonts w:ascii="Times New Roman" w:hAnsi="Times New Roman" w:cs="Times New Roman"/>
          <w:sz w:val="28"/>
          <w:szCs w:val="28"/>
        </w:rPr>
        <w:t xml:space="preserve">ón legislativa relativa contraria a los artículos 5, 13 y 42 de la Constitución Política. </w:t>
      </w:r>
    </w:p>
    <w:p w:rsidR="00BD0251" w:rsidRPr="00EC42C3" w:rsidRDefault="00EC42C3" w:rsidP="00FD1C18">
      <w:pPr>
        <w:tabs>
          <w:tab w:val="left" w:pos="8505"/>
        </w:tabs>
        <w:jc w:val="both"/>
        <w:rPr>
          <w:rFonts w:ascii="Times New Roman" w:hAnsi="Times New Roman" w:cs="Times New Roman"/>
          <w:sz w:val="28"/>
          <w:szCs w:val="28"/>
        </w:rPr>
      </w:pPr>
    </w:p>
    <w:p w:rsidR="00BD0251" w:rsidRPr="00EC42C3" w:rsidRDefault="00EC42C3" w:rsidP="00FD1C18">
      <w:pPr>
        <w:tabs>
          <w:tab w:val="left" w:pos="8505"/>
        </w:tabs>
        <w:jc w:val="both"/>
        <w:rPr>
          <w:rFonts w:ascii="Times New Roman" w:hAnsi="Times New Roman" w:cs="Times New Roman"/>
          <w:sz w:val="28"/>
          <w:szCs w:val="28"/>
        </w:rPr>
      </w:pPr>
      <w:r w:rsidRPr="00EC42C3">
        <w:rPr>
          <w:rFonts w:ascii="Times New Roman" w:hAnsi="Times New Roman" w:cs="Times New Roman"/>
          <w:sz w:val="28"/>
          <w:szCs w:val="28"/>
        </w:rPr>
        <w:t>Por ello, la Corte adoptó una sentencia integradora de carácter aditivo y declaró la exequibilidad de la expresión demandada, en el entendido de que esta comprende,</w:t>
      </w:r>
      <w:r w:rsidRPr="00EC42C3">
        <w:rPr>
          <w:rFonts w:ascii="Times New Roman" w:hAnsi="Times New Roman" w:cs="Times New Roman"/>
          <w:sz w:val="28"/>
          <w:szCs w:val="28"/>
        </w:rPr>
        <w:t xml:space="preserve"> en igualdad</w:t>
      </w:r>
      <w:r w:rsidRPr="00EC42C3">
        <w:rPr>
          <w:rFonts w:ascii="Times New Roman" w:hAnsi="Times New Roman" w:cs="Times New Roman"/>
          <w:sz w:val="28"/>
          <w:szCs w:val="28"/>
        </w:rPr>
        <w:t xml:space="preserve"> de derechos y deberes, tanto a los cónyuges como a los compañeros y compañeras permanentes en unión marital de hecho, de parejas de distinto sexo o del mismo sexo, siempre que la unión se hubiere conformado en la misma época.</w:t>
      </w:r>
    </w:p>
    <w:p w:rsidR="000C5DB9" w:rsidRPr="00EC42C3" w:rsidRDefault="00EC42C3" w:rsidP="00FD1C18">
      <w:pPr>
        <w:tabs>
          <w:tab w:val="left" w:pos="8505"/>
        </w:tabs>
        <w:jc w:val="both"/>
        <w:rPr>
          <w:rFonts w:ascii="Times New Roman" w:hAnsi="Times New Roman" w:cs="Times New Roman"/>
          <w:sz w:val="28"/>
          <w:szCs w:val="28"/>
        </w:rPr>
      </w:pPr>
    </w:p>
    <w:p w:rsidR="008935AC" w:rsidRPr="00EC42C3" w:rsidRDefault="00EC42C3" w:rsidP="00FD1C18">
      <w:pPr>
        <w:tabs>
          <w:tab w:val="left" w:pos="8505"/>
        </w:tabs>
        <w:jc w:val="both"/>
        <w:rPr>
          <w:rFonts w:ascii="Times New Roman" w:hAnsi="Times New Roman" w:cs="Times New Roman"/>
          <w:sz w:val="28"/>
          <w:szCs w:val="28"/>
        </w:rPr>
      </w:pPr>
    </w:p>
    <w:p w:rsidR="00FD1C18" w:rsidRPr="00EC42C3" w:rsidRDefault="00EC42C3" w:rsidP="00FD1C18">
      <w:pPr>
        <w:jc w:val="both"/>
        <w:rPr>
          <w:rFonts w:ascii="Times New Roman" w:hAnsi="Times New Roman" w:cs="Times New Roman"/>
          <w:b/>
          <w:sz w:val="28"/>
          <w:szCs w:val="28"/>
        </w:rPr>
      </w:pPr>
      <w:r w:rsidRPr="00EC42C3">
        <w:rPr>
          <w:rFonts w:ascii="Times New Roman" w:hAnsi="Times New Roman" w:cs="Times New Roman"/>
          <w:b/>
          <w:sz w:val="28"/>
          <w:szCs w:val="28"/>
        </w:rPr>
        <w:t>I.</w:t>
      </w:r>
      <w:r w:rsidRPr="00EC42C3">
        <w:rPr>
          <w:rFonts w:ascii="Times New Roman" w:hAnsi="Times New Roman" w:cs="Times New Roman"/>
          <w:b/>
          <w:sz w:val="28"/>
          <w:szCs w:val="28"/>
        </w:rPr>
        <w:tab/>
        <w:t>ANTECEDENTES</w:t>
      </w:r>
    </w:p>
    <w:p w:rsidR="00FD1C18" w:rsidRPr="00EC42C3" w:rsidRDefault="00EC42C3" w:rsidP="00FD1C18">
      <w:pPr>
        <w:jc w:val="both"/>
        <w:rPr>
          <w:rFonts w:ascii="Times New Roman" w:hAnsi="Times New Roman" w:cs="Times New Roman"/>
          <w:b/>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sz w:val="28"/>
          <w:szCs w:val="28"/>
          <w:lang w:val="es-ES"/>
        </w:rPr>
        <w:t xml:space="preserve">El 2 de abril de 2025, los ciudadanos María Alejandra Londoño Flórez, Tomás Arango Bedoya, Valeria Agudelo Cárcamo y Jorge Iván Marín Tapiero presentaron demanda de inconstitucionalidad en contra de la norma enunciada </w:t>
      </w:r>
      <w:r w:rsidRPr="00EC42C3">
        <w:rPr>
          <w:rFonts w:ascii="Times New Roman" w:hAnsi="Times New Roman" w:cs="Times New Roman"/>
          <w:sz w:val="28"/>
          <w:szCs w:val="28"/>
        </w:rPr>
        <w:t xml:space="preserve">en la expresión </w:t>
      </w:r>
      <w:r w:rsidRPr="00EC42C3">
        <w:rPr>
          <w:rFonts w:ascii="Times New Roman" w:hAnsi="Times New Roman" w:cs="Times New Roman"/>
          <w:i/>
          <w:iCs/>
          <w:sz w:val="28"/>
          <w:szCs w:val="28"/>
        </w:rPr>
        <w:t xml:space="preserve">“o de su cónyuge, por matrimonio contraído en la misma época”, </w:t>
      </w:r>
      <w:r w:rsidRPr="00EC42C3">
        <w:rPr>
          <w:rFonts w:ascii="Times New Roman" w:hAnsi="Times New Roman" w:cs="Times New Roman"/>
          <w:sz w:val="28"/>
          <w:szCs w:val="28"/>
        </w:rPr>
        <w:t>contenida en el artículo 108 del Código Civil</w:t>
      </w:r>
      <w:r w:rsidRPr="00EC42C3">
        <w:rPr>
          <w:rFonts w:ascii="Times New Roman" w:hAnsi="Times New Roman" w:cs="Times New Roman"/>
          <w:sz w:val="28"/>
          <w:szCs w:val="28"/>
          <w:lang w:val="es-ES"/>
        </w:rPr>
        <w:t>.</w:t>
      </w:r>
      <w:r w:rsidRPr="00EC42C3">
        <w:rPr>
          <w:rStyle w:val="Refdenotaalpie"/>
          <w:rFonts w:ascii="Times New Roman" w:eastAsiaTheme="majorEastAsia" w:hAnsi="Times New Roman" w:cs="Times New Roman"/>
          <w:sz w:val="28"/>
          <w:szCs w:val="28"/>
          <w:lang w:val="es-ES"/>
        </w:rPr>
        <w:footnoteReference w:id="1"/>
      </w:r>
      <w:r w:rsidRPr="00EC42C3">
        <w:rPr>
          <w:rFonts w:ascii="Times New Roman" w:hAnsi="Times New Roman" w:cs="Times New Roman"/>
          <w:sz w:val="28"/>
          <w:szCs w:val="28"/>
          <w:lang w:val="es-ES"/>
        </w:rPr>
        <w:t xml:space="preserve"> </w:t>
      </w:r>
    </w:p>
    <w:p w:rsidR="00FD1C18" w:rsidRPr="00EC42C3" w:rsidRDefault="00EC42C3" w:rsidP="00FD1C18">
      <w:pPr>
        <w:pStyle w:val="Prrafodelista"/>
        <w:tabs>
          <w:tab w:val="left" w:pos="426"/>
        </w:tabs>
        <w:ind w:left="0"/>
        <w:contextualSpacing w:val="0"/>
        <w:jc w:val="both"/>
        <w:rPr>
          <w:rFonts w:ascii="Times New Roman" w:hAnsi="Times New Roman" w:cs="Times New Roman"/>
          <w:i/>
          <w:iCs/>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sz w:val="28"/>
          <w:szCs w:val="28"/>
          <w:lang w:val="es-ES"/>
        </w:rPr>
        <w:t>Mediante Auto del 9 de mayo de 2025, la demanda fue admitida. En esta providencia se ordenó realizar las comunicaciones pertinentes, fijar en l</w:t>
      </w:r>
      <w:r w:rsidRPr="00EC42C3">
        <w:rPr>
          <w:rFonts w:ascii="Times New Roman" w:hAnsi="Times New Roman" w:cs="Times New Roman"/>
          <w:sz w:val="28"/>
          <w:szCs w:val="28"/>
          <w:lang w:val="es-ES"/>
        </w:rPr>
        <w:t>ista el asunto, dar traslado al Procurador General de la Nación para que emitiera el concepto correspondiente, e invitar a expertos a presentar sus conceptos técnicos especializados.</w:t>
      </w:r>
    </w:p>
    <w:p w:rsidR="00FD1C18" w:rsidRPr="00EC42C3" w:rsidRDefault="00EC42C3" w:rsidP="00FD1C18">
      <w:pPr>
        <w:rPr>
          <w:rFonts w:ascii="Times New Roman" w:hAnsi="Times New Roman" w:cs="Times New Roman"/>
          <w:sz w:val="28"/>
          <w:szCs w:val="28"/>
          <w:lang w:val="es-ES"/>
        </w:rPr>
      </w:pPr>
    </w:p>
    <w:p w:rsidR="00FD1C18" w:rsidRPr="00EC42C3" w:rsidRDefault="00EC42C3" w:rsidP="00FD1C18">
      <w:pPr>
        <w:rPr>
          <w:rFonts w:ascii="Times New Roman" w:hAnsi="Times New Roman" w:cs="Times New Roman"/>
          <w:sz w:val="28"/>
          <w:szCs w:val="28"/>
          <w:lang w:val="es-ES"/>
        </w:rPr>
      </w:pPr>
    </w:p>
    <w:p w:rsidR="00FD1C18" w:rsidRPr="00EC42C3" w:rsidRDefault="00EC42C3" w:rsidP="00FD1C18">
      <w:pPr>
        <w:rPr>
          <w:rFonts w:ascii="Times New Roman" w:hAnsi="Times New Roman" w:cs="Times New Roman"/>
          <w:b/>
          <w:bCs/>
          <w:sz w:val="28"/>
          <w:szCs w:val="28"/>
          <w:lang w:val="es-ES"/>
        </w:rPr>
      </w:pPr>
      <w:r w:rsidRPr="00EC42C3">
        <w:rPr>
          <w:rFonts w:ascii="Times New Roman" w:hAnsi="Times New Roman" w:cs="Times New Roman"/>
          <w:b/>
          <w:bCs/>
          <w:sz w:val="28"/>
          <w:szCs w:val="28"/>
          <w:lang w:val="es-ES"/>
        </w:rPr>
        <w:t>La norma demandada</w:t>
      </w:r>
    </w:p>
    <w:p w:rsidR="00FD1C18" w:rsidRPr="00EC42C3" w:rsidRDefault="00EC42C3" w:rsidP="00FD1C18">
      <w:pPr>
        <w:rPr>
          <w:rFonts w:ascii="Times New Roman" w:hAnsi="Times New Roman" w:cs="Times New Roman"/>
          <w:sz w:val="28"/>
          <w:szCs w:val="28"/>
          <w:lang w:val="es-ES"/>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sz w:val="28"/>
          <w:szCs w:val="28"/>
          <w:lang w:val="es-ES"/>
        </w:rPr>
        <w:t xml:space="preserve">El texto del artículo 108 del Código Civil, con lo </w:t>
      </w:r>
      <w:r w:rsidRPr="00EC42C3">
        <w:rPr>
          <w:rFonts w:ascii="Times New Roman" w:hAnsi="Times New Roman" w:cs="Times New Roman"/>
          <w:sz w:val="28"/>
          <w:szCs w:val="28"/>
          <w:lang w:val="es-ES"/>
        </w:rPr>
        <w:t>demandado en subrayas, es el siguiente:</w:t>
      </w:r>
    </w:p>
    <w:p w:rsidR="00FD1C18" w:rsidRPr="00EC42C3" w:rsidRDefault="00EC42C3" w:rsidP="00FD1C18">
      <w:pPr>
        <w:pStyle w:val="Prrafodelista"/>
        <w:tabs>
          <w:tab w:val="left" w:pos="426"/>
        </w:tabs>
        <w:ind w:left="0"/>
        <w:jc w:val="both"/>
        <w:rPr>
          <w:rFonts w:ascii="Times New Roman" w:hAnsi="Times New Roman" w:cs="Times New Roman"/>
          <w:sz w:val="28"/>
          <w:szCs w:val="28"/>
        </w:rPr>
      </w:pPr>
    </w:p>
    <w:p w:rsidR="00FD1C18" w:rsidRPr="00EC42C3" w:rsidRDefault="00EC42C3" w:rsidP="00FD1C18">
      <w:pPr>
        <w:pStyle w:val="Sinespaciado"/>
        <w:ind w:left="284" w:right="284"/>
        <w:jc w:val="center"/>
        <w:rPr>
          <w:rStyle w:val="baj"/>
          <w:rFonts w:ascii="Times New Roman" w:hAnsi="Times New Roman" w:cs="Times New Roman"/>
          <w:b/>
          <w:bCs/>
          <w:i/>
          <w:iCs/>
          <w:sz w:val="28"/>
        </w:rPr>
      </w:pPr>
      <w:r w:rsidRPr="00EC42C3">
        <w:rPr>
          <w:rStyle w:val="baj"/>
          <w:rFonts w:ascii="Times New Roman" w:hAnsi="Times New Roman" w:cs="Times New Roman"/>
          <w:i/>
          <w:iCs/>
          <w:sz w:val="28"/>
        </w:rPr>
        <w:t>“</w:t>
      </w:r>
      <w:r w:rsidRPr="00EC42C3">
        <w:rPr>
          <w:rStyle w:val="baj"/>
          <w:rFonts w:ascii="Times New Roman" w:hAnsi="Times New Roman" w:cs="Times New Roman"/>
          <w:b/>
          <w:bCs/>
          <w:i/>
          <w:iCs/>
          <w:sz w:val="28"/>
        </w:rPr>
        <w:t>Ley 84 de 1873</w:t>
      </w:r>
    </w:p>
    <w:p w:rsidR="00FD1C18" w:rsidRPr="00EC42C3" w:rsidRDefault="00EC42C3" w:rsidP="00FD1C18">
      <w:pPr>
        <w:pStyle w:val="Sinespaciado"/>
        <w:ind w:left="567" w:right="284"/>
        <w:jc w:val="center"/>
        <w:rPr>
          <w:rFonts w:ascii="Times New Roman" w:hAnsi="Times New Roman" w:cs="Times New Roman"/>
          <w:i/>
          <w:iCs/>
          <w:sz w:val="28"/>
        </w:rPr>
      </w:pPr>
      <w:r w:rsidRPr="00EC42C3">
        <w:rPr>
          <w:rFonts w:ascii="Times New Roman" w:hAnsi="Times New Roman" w:cs="Times New Roman"/>
          <w:i/>
          <w:iCs/>
          <w:sz w:val="28"/>
        </w:rPr>
        <w:t>(26 de mayo)</w:t>
      </w:r>
      <w:r w:rsidRPr="00EC42C3">
        <w:rPr>
          <w:rStyle w:val="Refdenotaalpie"/>
          <w:rFonts w:ascii="Times New Roman" w:hAnsi="Times New Roman" w:cs="Times New Roman"/>
          <w:sz w:val="28"/>
        </w:rPr>
        <w:footnoteReference w:id="2"/>
      </w:r>
    </w:p>
    <w:p w:rsidR="00FD1C18" w:rsidRPr="00EC42C3" w:rsidRDefault="00EC42C3" w:rsidP="00FD1C18">
      <w:pPr>
        <w:pStyle w:val="Sinespaciado"/>
        <w:ind w:left="567" w:right="284"/>
        <w:jc w:val="center"/>
        <w:rPr>
          <w:rFonts w:ascii="Times New Roman" w:hAnsi="Times New Roman" w:cs="Times New Roman"/>
          <w:i/>
          <w:iCs/>
          <w:sz w:val="28"/>
        </w:rPr>
      </w:pPr>
    </w:p>
    <w:p w:rsidR="00FD1C18" w:rsidRPr="00EC42C3" w:rsidRDefault="00EC42C3" w:rsidP="00FD1C18">
      <w:pPr>
        <w:pStyle w:val="Sinespaciado"/>
        <w:ind w:left="567" w:right="284"/>
        <w:jc w:val="center"/>
        <w:rPr>
          <w:rFonts w:ascii="Times New Roman" w:hAnsi="Times New Roman" w:cs="Times New Roman"/>
          <w:i/>
          <w:iCs/>
          <w:sz w:val="28"/>
        </w:rPr>
      </w:pPr>
      <w:r w:rsidRPr="00EC42C3">
        <w:rPr>
          <w:rFonts w:ascii="Times New Roman" w:hAnsi="Times New Roman" w:cs="Times New Roman"/>
          <w:i/>
          <w:iCs/>
          <w:sz w:val="28"/>
        </w:rPr>
        <w:t>Código Civil</w:t>
      </w:r>
    </w:p>
    <w:p w:rsidR="00FD1C18" w:rsidRPr="00EC42C3" w:rsidRDefault="00EC42C3" w:rsidP="00FD1C18">
      <w:pPr>
        <w:pStyle w:val="Sinespaciado"/>
        <w:ind w:left="567" w:right="284"/>
        <w:jc w:val="center"/>
        <w:rPr>
          <w:rFonts w:ascii="Times New Roman" w:hAnsi="Times New Roman" w:cs="Times New Roman"/>
          <w:i/>
          <w:iCs/>
          <w:sz w:val="28"/>
        </w:rPr>
      </w:pPr>
    </w:p>
    <w:p w:rsidR="00FD1C18" w:rsidRPr="00EC42C3" w:rsidRDefault="00EC42C3" w:rsidP="00FD1C18">
      <w:pPr>
        <w:pStyle w:val="Sinespaciado"/>
        <w:ind w:left="567" w:right="284"/>
        <w:jc w:val="center"/>
        <w:rPr>
          <w:rFonts w:ascii="Times New Roman" w:hAnsi="Times New Roman" w:cs="Times New Roman"/>
          <w:i/>
          <w:iCs/>
          <w:sz w:val="28"/>
        </w:rPr>
      </w:pPr>
      <w:r w:rsidRPr="00EC42C3">
        <w:rPr>
          <w:rFonts w:ascii="Times New Roman" w:hAnsi="Times New Roman" w:cs="Times New Roman"/>
          <w:i/>
          <w:iCs/>
          <w:sz w:val="28"/>
        </w:rPr>
        <w:t>[…]</w:t>
      </w:r>
    </w:p>
    <w:p w:rsidR="00FD1C18" w:rsidRPr="00EC42C3" w:rsidRDefault="00EC42C3" w:rsidP="00FD1C18">
      <w:pPr>
        <w:pStyle w:val="Sinespaciado"/>
        <w:ind w:left="567" w:right="284"/>
        <w:jc w:val="center"/>
        <w:rPr>
          <w:rFonts w:ascii="Times New Roman" w:hAnsi="Times New Roman" w:cs="Times New Roman"/>
          <w:i/>
          <w:iCs/>
          <w:sz w:val="28"/>
        </w:rPr>
      </w:pPr>
    </w:p>
    <w:p w:rsidR="00FD1C18" w:rsidRPr="00EC42C3" w:rsidRDefault="00EC42C3" w:rsidP="00FD1C18">
      <w:pPr>
        <w:shd w:val="clear" w:color="auto" w:fill="FFFFFF"/>
        <w:ind w:left="567" w:right="284"/>
        <w:jc w:val="both"/>
        <w:rPr>
          <w:rFonts w:ascii="Times New Roman" w:hAnsi="Times New Roman" w:cs="Times New Roman"/>
          <w:i/>
          <w:iCs/>
          <w:sz w:val="28"/>
        </w:rPr>
      </w:pPr>
      <w:r w:rsidRPr="00EC42C3">
        <w:rPr>
          <w:rFonts w:ascii="Times New Roman" w:hAnsi="Times New Roman" w:cs="Times New Roman"/>
          <w:b/>
          <w:bCs/>
          <w:i/>
          <w:iCs/>
          <w:sz w:val="28"/>
        </w:rPr>
        <w:t xml:space="preserve">ARTÍCULO 108. </w:t>
      </w:r>
      <w:r w:rsidRPr="00EC42C3">
        <w:rPr>
          <w:rFonts w:ascii="Times New Roman" w:hAnsi="Times New Roman" w:cs="Times New Roman"/>
          <w:b/>
          <w:bCs/>
          <w:i/>
          <w:iCs/>
          <w:sz w:val="28"/>
        </w:rPr>
        <w:sym w:font="Symbol" w:char="F03C"/>
      </w:r>
      <w:r w:rsidRPr="00EC42C3">
        <w:rPr>
          <w:rFonts w:ascii="Times New Roman" w:hAnsi="Times New Roman" w:cs="Times New Roman"/>
          <w:b/>
          <w:bCs/>
          <w:i/>
          <w:iCs/>
          <w:sz w:val="28"/>
        </w:rPr>
        <w:t>RESCISIÓN DEL DECRETO DE POSESIÓN POR REAPARICIÓN</w:t>
      </w:r>
      <w:r w:rsidRPr="00EC42C3">
        <w:rPr>
          <w:rFonts w:ascii="Times New Roman" w:hAnsi="Times New Roman" w:cs="Times New Roman"/>
          <w:b/>
          <w:bCs/>
          <w:i/>
          <w:iCs/>
          <w:sz w:val="28"/>
        </w:rPr>
        <w:sym w:font="Symbol" w:char="F03E"/>
      </w:r>
      <w:r w:rsidRPr="00EC42C3">
        <w:rPr>
          <w:rFonts w:ascii="Times New Roman" w:hAnsi="Times New Roman" w:cs="Times New Roman"/>
          <w:b/>
          <w:bCs/>
          <w:i/>
          <w:iCs/>
          <w:sz w:val="28"/>
        </w:rPr>
        <w:t xml:space="preserve">. </w:t>
      </w:r>
      <w:r w:rsidRPr="00EC42C3">
        <w:rPr>
          <w:rFonts w:ascii="Times New Roman" w:hAnsi="Times New Roman" w:cs="Times New Roman"/>
          <w:i/>
          <w:iCs/>
          <w:sz w:val="28"/>
        </w:rPr>
        <w:t xml:space="preserve">El decreto de posesión definitiva podrá rescindirse a favor del desaparecido si reapareciere, o de sus legitimarios habidos durante el desaparecimiento, </w:t>
      </w:r>
      <w:r w:rsidRPr="00EC42C3">
        <w:rPr>
          <w:rFonts w:ascii="Times New Roman" w:hAnsi="Times New Roman" w:cs="Times New Roman"/>
          <w:i/>
          <w:iCs/>
          <w:sz w:val="28"/>
          <w:u w:val="single"/>
        </w:rPr>
        <w:t>o de su cónyuge, por matrimonio contraído en la misma época.”</w:t>
      </w:r>
    </w:p>
    <w:p w:rsidR="00FD1C18" w:rsidRPr="00EC42C3" w:rsidRDefault="00EC42C3" w:rsidP="00FD1C18">
      <w:pPr>
        <w:shd w:val="clear" w:color="auto" w:fill="FFFFFF"/>
        <w:ind w:left="567" w:right="284"/>
        <w:jc w:val="both"/>
        <w:rPr>
          <w:rFonts w:ascii="Times New Roman" w:hAnsi="Times New Roman" w:cs="Times New Roman"/>
          <w:b/>
          <w:bCs/>
          <w:i/>
          <w:iCs/>
          <w:sz w:val="28"/>
        </w:rPr>
      </w:pPr>
    </w:p>
    <w:p w:rsidR="00FD1C18" w:rsidRPr="00EC42C3" w:rsidRDefault="00EC42C3" w:rsidP="00FD1C18">
      <w:pPr>
        <w:pStyle w:val="Prrafodelista"/>
        <w:tabs>
          <w:tab w:val="left" w:pos="426"/>
        </w:tabs>
        <w:ind w:left="0"/>
        <w:jc w:val="both"/>
        <w:rPr>
          <w:rFonts w:ascii="Times New Roman" w:hAnsi="Times New Roman" w:cs="Times New Roman"/>
          <w:b/>
          <w:bCs/>
          <w:sz w:val="28"/>
          <w:szCs w:val="28"/>
        </w:rPr>
      </w:pPr>
      <w:r w:rsidRPr="00EC42C3">
        <w:rPr>
          <w:rFonts w:ascii="Times New Roman" w:hAnsi="Times New Roman" w:cs="Times New Roman"/>
          <w:b/>
          <w:bCs/>
          <w:sz w:val="28"/>
          <w:szCs w:val="28"/>
        </w:rPr>
        <w:t xml:space="preserve"> </w:t>
      </w:r>
    </w:p>
    <w:p w:rsidR="00FD1C18" w:rsidRPr="00EC42C3" w:rsidRDefault="00EC42C3" w:rsidP="00FD1C18">
      <w:pPr>
        <w:pStyle w:val="Prrafodelista"/>
        <w:tabs>
          <w:tab w:val="left" w:pos="426"/>
        </w:tabs>
        <w:ind w:left="0"/>
        <w:jc w:val="both"/>
        <w:rPr>
          <w:rFonts w:ascii="Times New Roman" w:hAnsi="Times New Roman" w:cs="Times New Roman"/>
          <w:b/>
          <w:bCs/>
          <w:sz w:val="28"/>
          <w:szCs w:val="28"/>
        </w:rPr>
      </w:pPr>
      <w:r w:rsidRPr="00EC42C3">
        <w:rPr>
          <w:rFonts w:ascii="Times New Roman" w:hAnsi="Times New Roman" w:cs="Times New Roman"/>
          <w:b/>
          <w:bCs/>
          <w:sz w:val="28"/>
          <w:szCs w:val="28"/>
        </w:rPr>
        <w:t>La demanda</w:t>
      </w:r>
    </w:p>
    <w:p w:rsidR="00FD1C18" w:rsidRPr="00EC42C3" w:rsidRDefault="00EC42C3" w:rsidP="00FD1C18">
      <w:pPr>
        <w:pStyle w:val="Prrafodelista"/>
        <w:tabs>
          <w:tab w:val="left" w:pos="426"/>
        </w:tabs>
        <w:ind w:left="0"/>
        <w:jc w:val="both"/>
        <w:rPr>
          <w:rFonts w:ascii="Times New Roman" w:hAnsi="Times New Roman" w:cs="Times New Roman"/>
          <w:i/>
          <w:iCs/>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sz w:val="28"/>
          <w:szCs w:val="28"/>
          <w:lang w:val="es-ES"/>
        </w:rPr>
        <w:t>Los actores consideran que</w:t>
      </w:r>
      <w:r w:rsidRPr="00EC42C3">
        <w:rPr>
          <w:rFonts w:ascii="Times New Roman" w:hAnsi="Times New Roman" w:cs="Times New Roman"/>
          <w:sz w:val="28"/>
          <w:szCs w:val="28"/>
          <w:lang w:val="es-ES"/>
        </w:rPr>
        <w:t xml:space="preserve"> la norma demandada es incompatible con lo previsto en los artículos 5, 13 y 42 de la Constitución.</w:t>
      </w:r>
      <w:r w:rsidRPr="00EC42C3">
        <w:rPr>
          <w:rFonts w:ascii="Times New Roman" w:hAnsi="Times New Roman" w:cs="Times New Roman"/>
          <w:sz w:val="28"/>
          <w:szCs w:val="28"/>
        </w:rPr>
        <w:t xml:space="preserve"> A su juicio, la disposición </w:t>
      </w:r>
      <w:r w:rsidRPr="00EC42C3">
        <w:rPr>
          <w:rFonts w:ascii="Times New Roman" w:hAnsi="Times New Roman" w:cs="Times New Roman"/>
          <w:i/>
          <w:iCs/>
          <w:sz w:val="28"/>
          <w:szCs w:val="28"/>
        </w:rPr>
        <w:t xml:space="preserve">“impone un trato discriminatorio y más gravoso hacia las familias conformadas en el seno de uniones maritales de hecho, al </w:t>
      </w:r>
      <w:r w:rsidRPr="00EC42C3">
        <w:rPr>
          <w:rFonts w:ascii="Times New Roman" w:hAnsi="Times New Roman" w:cs="Times New Roman"/>
          <w:i/>
          <w:iCs/>
          <w:sz w:val="28"/>
          <w:szCs w:val="28"/>
        </w:rPr>
        <w:t>excluir injustificadamente a los compañeros y compañeras permanentes de la legitimación en la causa por activa para solicitar la recisión de la sentencia aprobatoria de la partición o adjudicación de la sucesión por reaparición del presuntamente muerto.”</w:t>
      </w:r>
    </w:p>
    <w:p w:rsidR="00FD1C18" w:rsidRPr="00EC42C3" w:rsidRDefault="00EC42C3" w:rsidP="00FD1C18">
      <w:pPr>
        <w:pStyle w:val="Prrafodelista"/>
        <w:rPr>
          <w:rFonts w:ascii="Times New Roman" w:hAnsi="Times New Roman" w:cs="Times New Roman"/>
          <w:i/>
          <w:iCs/>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sz w:val="28"/>
          <w:szCs w:val="28"/>
        </w:rPr>
        <w:t>En la primera parte de la acusación se presentan argumentos sobre el alcance de la norma demandada, con el fin de señalar que en ella se incurre en una diferencia de trato injustificada entre categorías equiparables y que tal diferencia carece de justifica</w:t>
      </w:r>
      <w:r w:rsidRPr="00EC42C3">
        <w:rPr>
          <w:rFonts w:ascii="Times New Roman" w:hAnsi="Times New Roman" w:cs="Times New Roman"/>
          <w:sz w:val="28"/>
          <w:szCs w:val="28"/>
        </w:rPr>
        <w:t>ción. En este sentido, se destaca que el precepto normativo, al excluir a las personas vinculadas mediante unión marital de hecho de la legitimación por activa para solicitar la rescisión de la sentencia que aprueba la partición o adjudicación de la sucesi</w:t>
      </w:r>
      <w:r w:rsidRPr="00EC42C3">
        <w:rPr>
          <w:rFonts w:ascii="Times New Roman" w:hAnsi="Times New Roman" w:cs="Times New Roman"/>
          <w:sz w:val="28"/>
          <w:szCs w:val="28"/>
        </w:rPr>
        <w:t>ón por reaparición del presuntamente fallecido, genera una desigualdad normativa carente de justificación.</w:t>
      </w:r>
    </w:p>
    <w:p w:rsidR="00FD1C18" w:rsidRPr="00EC42C3" w:rsidRDefault="00EC42C3" w:rsidP="00FD1C18">
      <w:pPr>
        <w:pStyle w:val="Prrafodelista"/>
        <w:tabs>
          <w:tab w:val="left" w:pos="426"/>
        </w:tabs>
        <w:ind w:left="0"/>
        <w:contextualSpacing w:val="0"/>
        <w:jc w:val="both"/>
        <w:rPr>
          <w:rFonts w:ascii="Times New Roman" w:hAnsi="Times New Roman" w:cs="Times New Roman"/>
          <w:i/>
          <w:iCs/>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sz w:val="28"/>
          <w:szCs w:val="28"/>
        </w:rPr>
        <w:t xml:space="preserve">Se sostiene que los compañeros permanentes y los cónyuges son equiparables a efectos de lo regulado en el artículo 108 del Código Civil, pues ambos vínculos responden a formas de familia reconocidas por la Constitución, en particular por sus artículos 5 y </w:t>
      </w:r>
      <w:r w:rsidRPr="00EC42C3">
        <w:rPr>
          <w:rFonts w:ascii="Times New Roman" w:hAnsi="Times New Roman" w:cs="Times New Roman"/>
          <w:sz w:val="28"/>
          <w:szCs w:val="28"/>
        </w:rPr>
        <w:t xml:space="preserve">42. No obstante, la norma establece una diferencia de trato, al incluir únicamente a los cónyuges como legitimados para solicitar la rescisión, excluyendo de manera injustificada a los compañeros permanentes. </w:t>
      </w:r>
    </w:p>
    <w:p w:rsidR="00FD1C18" w:rsidRPr="00EC42C3" w:rsidRDefault="00EC42C3" w:rsidP="00FD1C18">
      <w:pPr>
        <w:pStyle w:val="Prrafodelista"/>
        <w:rPr>
          <w:rFonts w:ascii="Times New Roman" w:hAnsi="Times New Roman" w:cs="Times New Roman"/>
          <w:i/>
          <w:iCs/>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Para evaluar la razonabilidad de esa exclusió</w:t>
      </w:r>
      <w:r w:rsidRPr="00EC42C3">
        <w:rPr>
          <w:rFonts w:ascii="Times New Roman" w:hAnsi="Times New Roman" w:cs="Times New Roman"/>
          <w:sz w:val="28"/>
          <w:szCs w:val="28"/>
        </w:rPr>
        <w:t>n, los demandantes proponen aplicar un test de proporcionalidad, aunque sin precisar el nivel de escrutinio exigido. Argumentan que, si bien la norma pudo haber sido razonable bajo la Constitución anterior, no lo es bajo la actual, que reconoce en condicio</w:t>
      </w:r>
      <w:r w:rsidRPr="00EC42C3">
        <w:rPr>
          <w:rFonts w:ascii="Times New Roman" w:hAnsi="Times New Roman" w:cs="Times New Roman"/>
          <w:sz w:val="28"/>
          <w:szCs w:val="28"/>
        </w:rPr>
        <w:t>nes de igualdad a las distintas formas de familia. Así, si bien es legítima la protección patrimonial de los integrantes del núcleo familiar, no resulta admisible excluir de dicha protección al compañero permanente, quien también tiene derechos patrimonial</w:t>
      </w:r>
      <w:r w:rsidRPr="00EC42C3">
        <w:rPr>
          <w:rFonts w:ascii="Times New Roman" w:hAnsi="Times New Roman" w:cs="Times New Roman"/>
          <w:sz w:val="28"/>
          <w:szCs w:val="28"/>
        </w:rPr>
        <w:t xml:space="preserve">es, como pueden ser las gananciales derivadas de la sociedad patrimonial o la porción marital. </w:t>
      </w:r>
    </w:p>
    <w:p w:rsidR="00FD1C18" w:rsidRPr="00EC42C3" w:rsidRDefault="00EC42C3" w:rsidP="00FD1C18">
      <w:pPr>
        <w:pStyle w:val="Prrafodelista"/>
        <w:tabs>
          <w:tab w:val="left" w:pos="426"/>
        </w:tabs>
        <w:ind w:left="0"/>
        <w:contextualSpacing w:val="0"/>
        <w:jc w:val="both"/>
        <w:rPr>
          <w:rFonts w:ascii="Times New Roman" w:hAnsi="Times New Roman" w:cs="Times New Roman"/>
          <w:i/>
          <w:iCs/>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Añaden que el medio usado para proteger dichos intereses no es del todo idóneo, porque desprotege a los compañeros permanentes, y tampoco es necesario. En efec</w:t>
      </w:r>
      <w:r w:rsidRPr="00EC42C3">
        <w:rPr>
          <w:rFonts w:ascii="Times New Roman" w:hAnsi="Times New Roman" w:cs="Times New Roman"/>
          <w:sz w:val="28"/>
          <w:szCs w:val="28"/>
        </w:rPr>
        <w:t>to, para proteger al núcleo familiar no se requiere desproteger a uno de sus integrantes, en este caso, al compañero permanente, quien resulta discriminado por su origen familiar. Por tanto, concluyen que la medida no cumple con un criterio de proporcional</w:t>
      </w:r>
      <w:r w:rsidRPr="00EC42C3">
        <w:rPr>
          <w:rFonts w:ascii="Times New Roman" w:hAnsi="Times New Roman" w:cs="Times New Roman"/>
          <w:sz w:val="28"/>
          <w:szCs w:val="28"/>
        </w:rPr>
        <w:t xml:space="preserve">idad, pues sus efectos nocivos superan significativamente a los positivos. </w:t>
      </w:r>
    </w:p>
    <w:p w:rsidR="00FD1C18" w:rsidRPr="00EC42C3" w:rsidRDefault="00EC42C3" w:rsidP="00FD1C18">
      <w:pPr>
        <w:pStyle w:val="Prrafodelista"/>
        <w:rPr>
          <w:rFonts w:ascii="Times New Roman" w:hAnsi="Times New Roman" w:cs="Times New Roman"/>
          <w:i/>
          <w:iCs/>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sz w:val="28"/>
          <w:szCs w:val="28"/>
        </w:rPr>
        <w:t>En la segunda parte de la acusación, luego de destacar que la jurisprudencia constitucional ha equiparado, para efectos de su protección, a los cónyuges con los compañeros permane</w:t>
      </w:r>
      <w:r w:rsidRPr="00EC42C3">
        <w:rPr>
          <w:rFonts w:ascii="Times New Roman" w:hAnsi="Times New Roman" w:cs="Times New Roman"/>
          <w:sz w:val="28"/>
          <w:szCs w:val="28"/>
        </w:rPr>
        <w:t>ntes, lo cual se ilustra con la Sentencias C-755 de 2008, T-667 de 2012, T-278 de 2013, C-456 de 2020 y C-156 de 2022, y de dar cuenta de los elementos que deben tenerse en cuenta para presentar un cargo por omisión legislativa relativa, los actores se ref</w:t>
      </w:r>
      <w:r w:rsidRPr="00EC42C3">
        <w:rPr>
          <w:rFonts w:ascii="Times New Roman" w:hAnsi="Times New Roman" w:cs="Times New Roman"/>
          <w:sz w:val="28"/>
          <w:szCs w:val="28"/>
        </w:rPr>
        <w:t>ieren a dichos elementos en los siguientes términos.</w:t>
      </w:r>
    </w:p>
    <w:p w:rsidR="00FD1C18" w:rsidRPr="00EC42C3" w:rsidRDefault="00EC42C3" w:rsidP="00FD1C18">
      <w:pPr>
        <w:pStyle w:val="Prrafodelista"/>
        <w:tabs>
          <w:tab w:val="left" w:pos="426"/>
        </w:tabs>
        <w:ind w:left="0"/>
        <w:contextualSpacing w:val="0"/>
        <w:jc w:val="both"/>
        <w:rPr>
          <w:rFonts w:ascii="Times New Roman" w:hAnsi="Times New Roman" w:cs="Times New Roman"/>
          <w:i/>
          <w:iCs/>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sz w:val="28"/>
          <w:szCs w:val="28"/>
        </w:rPr>
        <w:t>En cuanto a que exista una norma respecto de la cual se predique necesariamente el cargo, se destaca que la norma demandada regula en favor de quienes puede rescindirse el decreto de posesión definitiva</w:t>
      </w:r>
      <w:r w:rsidRPr="00EC42C3">
        <w:rPr>
          <w:rFonts w:ascii="Times New Roman" w:hAnsi="Times New Roman" w:cs="Times New Roman"/>
          <w:sz w:val="28"/>
          <w:szCs w:val="28"/>
        </w:rPr>
        <w:t xml:space="preserve">: el desaparecido que reaparece, sus legitimarios habidos durante el desaparecimiento o su cónyuge por matrimonio contraído en la misma época, pero no incluye dentro de tales personas a los compañeros permanentes. A juicio de los actores, </w:t>
      </w:r>
      <w:r w:rsidRPr="00EC42C3">
        <w:rPr>
          <w:rFonts w:ascii="Times New Roman" w:hAnsi="Times New Roman" w:cs="Times New Roman"/>
          <w:i/>
          <w:iCs/>
          <w:sz w:val="28"/>
          <w:szCs w:val="28"/>
        </w:rPr>
        <w:t>“erró el legislad</w:t>
      </w:r>
      <w:r w:rsidRPr="00EC42C3">
        <w:rPr>
          <w:rFonts w:ascii="Times New Roman" w:hAnsi="Times New Roman" w:cs="Times New Roman"/>
          <w:i/>
          <w:iCs/>
          <w:sz w:val="28"/>
          <w:szCs w:val="28"/>
        </w:rPr>
        <w:t>or al no incluir dicho ingrediente dentro de la consagración normativa, ya que era absolutamente necesario para conciliar la norma legal con las disposiciones constitucionales, especialmente aquellas que reconocen la familia como la institución fundamental</w:t>
      </w:r>
      <w:r w:rsidRPr="00EC42C3">
        <w:rPr>
          <w:rFonts w:ascii="Times New Roman" w:hAnsi="Times New Roman" w:cs="Times New Roman"/>
          <w:i/>
          <w:iCs/>
          <w:sz w:val="28"/>
          <w:szCs w:val="28"/>
        </w:rPr>
        <w:t xml:space="preserve"> de la sociedad, los derechos y deberes que le corresponden, así como el principio de igualdad entre los diversos tipos de parentesco y filiación.”</w:t>
      </w:r>
    </w:p>
    <w:p w:rsidR="00FD1C18" w:rsidRPr="00EC42C3" w:rsidRDefault="00EC42C3" w:rsidP="00FD1C18">
      <w:pPr>
        <w:pStyle w:val="Prrafodelista"/>
        <w:rPr>
          <w:rFonts w:ascii="Times New Roman" w:hAnsi="Times New Roman" w:cs="Times New Roman"/>
          <w:i/>
          <w:iCs/>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sz w:val="28"/>
          <w:szCs w:val="28"/>
        </w:rPr>
        <w:t>Frente al deber constitucional específico omitido, se señala que, de una parte, se desconoce el deber de pr</w:t>
      </w:r>
      <w:r w:rsidRPr="00EC42C3">
        <w:rPr>
          <w:rFonts w:ascii="Times New Roman" w:hAnsi="Times New Roman" w:cs="Times New Roman"/>
          <w:sz w:val="28"/>
          <w:szCs w:val="28"/>
        </w:rPr>
        <w:t>oteger a la familia, previsto en los artículos 5 y 42 de la Carta, al dejar desprotegidos a los compañeros permanentes y, de otra, se desconoce el deber de tratar igual a los cónyuges y a los compañeros permanentes, pues, conforme al artículo 13 de la Cons</w:t>
      </w:r>
      <w:r w:rsidRPr="00EC42C3">
        <w:rPr>
          <w:rFonts w:ascii="Times New Roman" w:hAnsi="Times New Roman" w:cs="Times New Roman"/>
          <w:sz w:val="28"/>
          <w:szCs w:val="28"/>
        </w:rPr>
        <w:t>titución, el origen familiar no es un criterio en el cual pueda fundarse una diferencia de trato, valga decir, es un criterio de distinción constitucionalmente reprochable, como se señala en la Sentencia C-156 de 2022.</w:t>
      </w:r>
    </w:p>
    <w:p w:rsidR="00FD1C18" w:rsidRPr="00EC42C3" w:rsidRDefault="00EC42C3" w:rsidP="00FD1C18">
      <w:pPr>
        <w:pStyle w:val="Prrafodelista"/>
        <w:rPr>
          <w:rFonts w:ascii="Times New Roman" w:hAnsi="Times New Roman" w:cs="Times New Roman"/>
          <w:i/>
          <w:iCs/>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sz w:val="28"/>
          <w:szCs w:val="28"/>
        </w:rPr>
        <w:t>En cuanto a que la omisión carece de</w:t>
      </w:r>
      <w:r w:rsidRPr="00EC42C3">
        <w:rPr>
          <w:rFonts w:ascii="Times New Roman" w:hAnsi="Times New Roman" w:cs="Times New Roman"/>
          <w:sz w:val="28"/>
          <w:szCs w:val="28"/>
        </w:rPr>
        <w:t xml:space="preserve"> una razón suficiente, se indica que </w:t>
      </w:r>
      <w:r w:rsidRPr="00EC42C3">
        <w:rPr>
          <w:rFonts w:ascii="Times New Roman" w:hAnsi="Times New Roman" w:cs="Times New Roman"/>
          <w:i/>
          <w:iCs/>
          <w:sz w:val="28"/>
          <w:szCs w:val="28"/>
        </w:rPr>
        <w:t>“no se halla fundamento alguno que justifique la omisión del legislador al no incluir a los compañeros permanentes, contrariando los preceptos normativos constitucionales de protección a la familia e igualdad en la cons</w:t>
      </w:r>
      <w:r w:rsidRPr="00EC42C3">
        <w:rPr>
          <w:rFonts w:ascii="Times New Roman" w:hAnsi="Times New Roman" w:cs="Times New Roman"/>
          <w:i/>
          <w:iCs/>
          <w:sz w:val="28"/>
          <w:szCs w:val="28"/>
        </w:rPr>
        <w:t>agración de derechos, deberes y obligaciones sin atender al origen familiar o a las formas de constitución de la familia.”</w:t>
      </w:r>
    </w:p>
    <w:p w:rsidR="00FD1C18" w:rsidRPr="00EC42C3" w:rsidRDefault="00EC42C3" w:rsidP="00FD1C18">
      <w:pPr>
        <w:pStyle w:val="Prrafodelista"/>
        <w:rPr>
          <w:rFonts w:ascii="Times New Roman" w:hAnsi="Times New Roman" w:cs="Times New Roman"/>
          <w:i/>
          <w:iCs/>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sz w:val="28"/>
          <w:szCs w:val="28"/>
        </w:rPr>
        <w:t>En relación con la desigualdad negativa generada por la omisión, se pone de presente que la norma demandada reconoce un derecho a fa</w:t>
      </w:r>
      <w:r w:rsidRPr="00EC42C3">
        <w:rPr>
          <w:rFonts w:ascii="Times New Roman" w:hAnsi="Times New Roman" w:cs="Times New Roman"/>
          <w:sz w:val="28"/>
          <w:szCs w:val="28"/>
        </w:rPr>
        <w:t xml:space="preserve">vor de los cónyuges, pero no de los compañeros permanentes. A juicio de los actores, es </w:t>
      </w:r>
      <w:r w:rsidRPr="00EC42C3">
        <w:rPr>
          <w:rFonts w:ascii="Times New Roman" w:hAnsi="Times New Roman" w:cs="Times New Roman"/>
          <w:i/>
          <w:iCs/>
          <w:sz w:val="28"/>
          <w:szCs w:val="28"/>
        </w:rPr>
        <w:t>“inconcebible que no se incluya a los compañeros cuyo vínculo se genera como consecuencia de la decisión libre y voluntaria de conformar familia, basados en las relacio</w:t>
      </w:r>
      <w:r w:rsidRPr="00EC42C3">
        <w:rPr>
          <w:rFonts w:ascii="Times New Roman" w:hAnsi="Times New Roman" w:cs="Times New Roman"/>
          <w:i/>
          <w:iCs/>
          <w:sz w:val="28"/>
          <w:szCs w:val="28"/>
        </w:rPr>
        <w:t>nes de afecto, amor y solidaridad, en el sentido de que el fin de la norma quedaría inconcluso y dicha protección quedaría vulnerada por cuanto en determinado caso un compañero permanente no puede hacerse acreedor de dicho derecho en los mismos términos qu</w:t>
      </w:r>
      <w:r w:rsidRPr="00EC42C3">
        <w:rPr>
          <w:rFonts w:ascii="Times New Roman" w:hAnsi="Times New Roman" w:cs="Times New Roman"/>
          <w:i/>
          <w:iCs/>
          <w:sz w:val="28"/>
          <w:szCs w:val="28"/>
        </w:rPr>
        <w:t>e los cónyuges, que procura servir como vehículo de protección de sus derechos patrimoniales, lo que no solo genera una desigualdad negativa con relación a los compañeros permanentes sino también que la norma queda totalmente blindada en su principal objet</w:t>
      </w:r>
      <w:r w:rsidRPr="00EC42C3">
        <w:rPr>
          <w:rFonts w:ascii="Times New Roman" w:hAnsi="Times New Roman" w:cs="Times New Roman"/>
          <w:i/>
          <w:iCs/>
          <w:sz w:val="28"/>
          <w:szCs w:val="28"/>
        </w:rPr>
        <w:t>ivo de proteger a los integrantes de una familia.”</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sz w:val="28"/>
          <w:szCs w:val="28"/>
        </w:rPr>
        <w:t>Finalmente, respecto a la exigencia de que la omisión surja del texto mismo, se subraya que la lectura del artículo 108 permite advertir de manera ostensible la exclusión de los compañeros permanentes com</w:t>
      </w:r>
      <w:r w:rsidRPr="00EC42C3">
        <w:rPr>
          <w:rFonts w:ascii="Times New Roman" w:hAnsi="Times New Roman" w:cs="Times New Roman"/>
          <w:sz w:val="28"/>
          <w:szCs w:val="28"/>
        </w:rPr>
        <w:t>o legitimados para solicitar la rescisión.</w:t>
      </w:r>
    </w:p>
    <w:p w:rsidR="00FD1C18" w:rsidRPr="00EC42C3" w:rsidRDefault="00EC42C3" w:rsidP="00FD1C18">
      <w:pPr>
        <w:pStyle w:val="Prrafodelista"/>
        <w:tabs>
          <w:tab w:val="left" w:pos="426"/>
        </w:tabs>
        <w:ind w:left="0"/>
        <w:contextualSpacing w:val="0"/>
        <w:jc w:val="both"/>
        <w:rPr>
          <w:rFonts w:ascii="Times New Roman" w:hAnsi="Times New Roman" w:cs="Times New Roman"/>
          <w:i/>
          <w:iCs/>
          <w:sz w:val="28"/>
          <w:szCs w:val="28"/>
        </w:rPr>
      </w:pPr>
    </w:p>
    <w:p w:rsidR="00FD1C18" w:rsidRPr="00EC42C3" w:rsidRDefault="00EC42C3" w:rsidP="00FD1C18">
      <w:pPr>
        <w:pStyle w:val="Prrafodelista"/>
        <w:tabs>
          <w:tab w:val="left" w:pos="426"/>
        </w:tabs>
        <w:ind w:left="0"/>
        <w:contextualSpacing w:val="0"/>
        <w:jc w:val="both"/>
        <w:rPr>
          <w:rFonts w:ascii="Times New Roman" w:hAnsi="Times New Roman" w:cs="Times New Roman"/>
          <w:i/>
          <w:iCs/>
          <w:sz w:val="28"/>
          <w:szCs w:val="28"/>
        </w:rPr>
      </w:pPr>
    </w:p>
    <w:p w:rsidR="00FD1C18" w:rsidRPr="00EC42C3" w:rsidRDefault="00EC42C3" w:rsidP="00FD1C18">
      <w:pPr>
        <w:rPr>
          <w:rFonts w:ascii="Times New Roman" w:hAnsi="Times New Roman" w:cs="Times New Roman"/>
          <w:b/>
          <w:bCs/>
          <w:sz w:val="28"/>
          <w:szCs w:val="28"/>
        </w:rPr>
      </w:pPr>
      <w:r w:rsidRPr="00EC42C3">
        <w:rPr>
          <w:rFonts w:ascii="Times New Roman" w:hAnsi="Times New Roman" w:cs="Times New Roman"/>
          <w:b/>
          <w:bCs/>
          <w:sz w:val="28"/>
          <w:szCs w:val="28"/>
        </w:rPr>
        <w:t xml:space="preserve">Las intervenciones y los conceptos técnicos especializados </w:t>
      </w:r>
    </w:p>
    <w:p w:rsidR="00FD1C18" w:rsidRPr="00EC42C3" w:rsidRDefault="00EC42C3" w:rsidP="00FD1C18">
      <w:pPr>
        <w:rPr>
          <w:rFonts w:ascii="Times New Roman" w:hAnsi="Times New Roman" w:cs="Times New Roman"/>
          <w:i/>
          <w:iCs/>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b/>
          <w:bCs/>
          <w:i/>
          <w:iCs/>
          <w:sz w:val="28"/>
          <w:szCs w:val="28"/>
        </w:rPr>
        <w:t>La Institución Universitaria Colegios de Colombia -UNICOC-,</w:t>
      </w:r>
      <w:r w:rsidRPr="00EC42C3">
        <w:rPr>
          <w:rFonts w:ascii="Times New Roman" w:hAnsi="Times New Roman" w:cs="Times New Roman"/>
          <w:b/>
          <w:bCs/>
          <w:sz w:val="28"/>
          <w:szCs w:val="28"/>
        </w:rPr>
        <w:t xml:space="preserve"> </w:t>
      </w:r>
      <w:r w:rsidRPr="00EC42C3">
        <w:rPr>
          <w:rFonts w:ascii="Times New Roman" w:hAnsi="Times New Roman" w:cs="Times New Roman"/>
          <w:sz w:val="28"/>
          <w:szCs w:val="28"/>
        </w:rPr>
        <w:t>a través de su Decano y profesor de Derecho Procesal Constitucional, el ciudadano Hernán A</w:t>
      </w:r>
      <w:r w:rsidRPr="00EC42C3">
        <w:rPr>
          <w:rFonts w:ascii="Times New Roman" w:hAnsi="Times New Roman" w:cs="Times New Roman"/>
          <w:sz w:val="28"/>
          <w:szCs w:val="28"/>
        </w:rPr>
        <w:t xml:space="preserve">lejandro Olano García, solicita que se declare la exequibilidad condicionada del artículo 108 del Código Civil, en el sentido de que se entienda que también incluye a los compañeros permanentes cuya unión marital de hecho se haya conformado en la época en </w:t>
      </w:r>
      <w:r w:rsidRPr="00EC42C3">
        <w:rPr>
          <w:rFonts w:ascii="Times New Roman" w:hAnsi="Times New Roman" w:cs="Times New Roman"/>
          <w:sz w:val="28"/>
          <w:szCs w:val="28"/>
        </w:rPr>
        <w:t>que se produjo la presunción de muerte. Dicha institución respalda el cargo de omisión legislativa, señalando que la norma demandada desconoce la protección igualitaria de todas las formas de familia, consagrada en los artículos 1, 13 y 42 de la Constituci</w:t>
      </w:r>
      <w:r w:rsidRPr="00EC42C3">
        <w:rPr>
          <w:rFonts w:ascii="Times New Roman" w:hAnsi="Times New Roman" w:cs="Times New Roman"/>
          <w:sz w:val="28"/>
          <w:szCs w:val="28"/>
        </w:rPr>
        <w:t xml:space="preserve">ón. Además, desde una perspectiva histórica-hermenéutica, resalta que en el año 1873 el concepto de </w:t>
      </w:r>
      <w:r w:rsidRPr="00EC42C3">
        <w:rPr>
          <w:rFonts w:ascii="Times New Roman" w:hAnsi="Times New Roman" w:cs="Times New Roman"/>
          <w:i/>
          <w:iCs/>
          <w:sz w:val="28"/>
          <w:szCs w:val="28"/>
        </w:rPr>
        <w:t>“cónyuge”</w:t>
      </w:r>
      <w:r w:rsidRPr="00EC42C3">
        <w:rPr>
          <w:rFonts w:ascii="Times New Roman" w:hAnsi="Times New Roman" w:cs="Times New Roman"/>
          <w:sz w:val="28"/>
          <w:szCs w:val="28"/>
        </w:rPr>
        <w:t xml:space="preserve"> se refería exclusivamente al matrimonio religioso católico, pues el matrimonio civil solo fue reconocido legalmente con la Ley 57 de 1887. </w:t>
      </w:r>
    </w:p>
    <w:p w:rsidR="00FD1C18" w:rsidRPr="00EC42C3" w:rsidRDefault="00EC42C3" w:rsidP="00FD1C18">
      <w:pPr>
        <w:pStyle w:val="Prrafodelista"/>
        <w:tabs>
          <w:tab w:val="left" w:pos="426"/>
        </w:tabs>
        <w:ind w:left="0"/>
        <w:contextualSpacing w:val="0"/>
        <w:jc w:val="both"/>
        <w:rPr>
          <w:rFonts w:ascii="Times New Roman" w:hAnsi="Times New Roman" w:cs="Times New Roman"/>
          <w:i/>
          <w:iCs/>
          <w:sz w:val="28"/>
          <w:szCs w:val="28"/>
        </w:rPr>
      </w:pPr>
    </w:p>
    <w:p w:rsidR="00A633CD" w:rsidRPr="00EC42C3" w:rsidRDefault="00EC42C3" w:rsidP="00A633CD">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b/>
          <w:bCs/>
          <w:i/>
          <w:iCs/>
          <w:sz w:val="28"/>
          <w:szCs w:val="28"/>
        </w:rPr>
        <w:t xml:space="preserve">El </w:t>
      </w:r>
      <w:r w:rsidRPr="00EC42C3">
        <w:rPr>
          <w:rFonts w:ascii="Times New Roman" w:hAnsi="Times New Roman" w:cs="Times New Roman"/>
          <w:b/>
          <w:bCs/>
          <w:i/>
          <w:iCs/>
          <w:sz w:val="28"/>
          <w:szCs w:val="28"/>
        </w:rPr>
        <w:t>Consultorio Jurídico de la Universidad de los Andes,</w:t>
      </w:r>
      <w:r w:rsidRPr="00EC42C3">
        <w:rPr>
          <w:rFonts w:ascii="Times New Roman" w:hAnsi="Times New Roman" w:cs="Times New Roman"/>
          <w:b/>
          <w:bCs/>
          <w:sz w:val="28"/>
          <w:szCs w:val="28"/>
        </w:rPr>
        <w:t xml:space="preserve"> </w:t>
      </w:r>
      <w:r w:rsidRPr="00EC42C3">
        <w:rPr>
          <w:rFonts w:ascii="Times New Roman" w:hAnsi="Times New Roman" w:cs="Times New Roman"/>
          <w:sz w:val="28"/>
          <w:szCs w:val="28"/>
        </w:rPr>
        <w:t xml:space="preserve">en su concepto técnico, pide que se declare la exequibilidad condicionada de la norma acusada, en el entendido de que también incluye a los compañeros permanentes como sujetos legitimados para solicitar </w:t>
      </w:r>
      <w:r w:rsidRPr="00EC42C3">
        <w:rPr>
          <w:rFonts w:ascii="Times New Roman" w:hAnsi="Times New Roman" w:cs="Times New Roman"/>
          <w:sz w:val="28"/>
          <w:szCs w:val="28"/>
        </w:rPr>
        <w:t>la rescisión de la sentencia aprobatoria de partición o adjudicación de bienes en caso de reaparición del presunto muerto.</w:t>
      </w: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sz w:val="28"/>
          <w:szCs w:val="28"/>
        </w:rPr>
        <w:t>En primer lugar, destaca la importancia social de la unión marital de hecho, figura que ha adquirido una creciente relevancia en la s</w:t>
      </w:r>
      <w:r w:rsidRPr="00EC42C3">
        <w:rPr>
          <w:rFonts w:ascii="Times New Roman" w:hAnsi="Times New Roman" w:cs="Times New Roman"/>
          <w:sz w:val="28"/>
          <w:szCs w:val="28"/>
        </w:rPr>
        <w:t xml:space="preserve">ociedad colombiana. Señala que, según los datos de la Gran Encuesta Integrada de Hogares del DANE, esta constituye actualmente la segunda forma más común de estado civil en el país, superando incluso al matrimonio. Este fenómeno refleja una transformación </w:t>
      </w:r>
      <w:r w:rsidRPr="00EC42C3">
        <w:rPr>
          <w:rFonts w:ascii="Times New Roman" w:hAnsi="Times New Roman" w:cs="Times New Roman"/>
          <w:sz w:val="28"/>
          <w:szCs w:val="28"/>
        </w:rPr>
        <w:t xml:space="preserve">en los modelos familiares, que exige al ordenamiento jurídico responder adecuadamente para garantizar justicia material y la protección igualitaria de todos los tipos de familia, en armonía con el Estado Social y Democrático de Derecho. </w:t>
      </w:r>
    </w:p>
    <w:p w:rsidR="00FD1C18" w:rsidRPr="00EC42C3" w:rsidRDefault="00EC42C3" w:rsidP="00FD1C18">
      <w:pPr>
        <w:pStyle w:val="Prrafodelista"/>
        <w:tabs>
          <w:tab w:val="left" w:pos="426"/>
        </w:tabs>
        <w:ind w:left="0"/>
        <w:contextualSpacing w:val="0"/>
        <w:jc w:val="both"/>
        <w:rPr>
          <w:rFonts w:ascii="Times New Roman" w:hAnsi="Times New Roman" w:cs="Times New Roman"/>
          <w:i/>
          <w:iCs/>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sz w:val="28"/>
          <w:szCs w:val="28"/>
        </w:rPr>
        <w:t>En segundo lugar,</w:t>
      </w:r>
      <w:r w:rsidRPr="00EC42C3">
        <w:rPr>
          <w:rFonts w:ascii="Times New Roman" w:hAnsi="Times New Roman" w:cs="Times New Roman"/>
          <w:sz w:val="28"/>
          <w:szCs w:val="28"/>
        </w:rPr>
        <w:t xml:space="preserve"> sostiene que la norma demandada desconoce los artículos 5, 13 y 42 de la Constitución Política. En su criterio, al excluir a los compañeros permanentes del ámbito de aplicación del artículo 108 del Código Civil, se configura un trato discriminatorio que v</w:t>
      </w:r>
      <w:r w:rsidRPr="00EC42C3">
        <w:rPr>
          <w:rFonts w:ascii="Times New Roman" w:hAnsi="Times New Roman" w:cs="Times New Roman"/>
          <w:sz w:val="28"/>
          <w:szCs w:val="28"/>
        </w:rPr>
        <w:t>ulnera el principio de igualdad y el mandato de protección de la familia en todas sus formas. Recuerda que la jurisprudencia constitucional ha reconocido que la unión marital de hecho persigue los mismos fines del matrimonio, por lo que su exclusión carece</w:t>
      </w:r>
      <w:r w:rsidRPr="00EC42C3">
        <w:rPr>
          <w:rFonts w:ascii="Times New Roman" w:hAnsi="Times New Roman" w:cs="Times New Roman"/>
          <w:sz w:val="28"/>
          <w:szCs w:val="28"/>
        </w:rPr>
        <w:t xml:space="preserve"> de justificación constitucional.</w:t>
      </w:r>
    </w:p>
    <w:p w:rsidR="00FD1C18" w:rsidRPr="00EC42C3" w:rsidRDefault="00EC42C3" w:rsidP="00FD1C18">
      <w:pPr>
        <w:pStyle w:val="Prrafodelista"/>
        <w:rPr>
          <w:rFonts w:ascii="Times New Roman" w:hAnsi="Times New Roman" w:cs="Times New Roman"/>
          <w:i/>
          <w:iCs/>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sz w:val="28"/>
          <w:szCs w:val="28"/>
        </w:rPr>
        <w:t>En tercer lugar, señala que existe una contradicción entre la disposición demandada y la jurisprudencia constitucional, la cual ha reconocido derechos sucesorales, patrimoniales y familiares a los compañeros permanentes e</w:t>
      </w:r>
      <w:r w:rsidRPr="00EC42C3">
        <w:rPr>
          <w:rFonts w:ascii="Times New Roman" w:hAnsi="Times New Roman" w:cs="Times New Roman"/>
          <w:sz w:val="28"/>
          <w:szCs w:val="28"/>
        </w:rPr>
        <w:t>n igualdad de condiciones frente a los cónyuges. A partir de este análisis, propone una interpretación armónica del artículo 108 del Código Civil, a fin de garantizar la coherencia interna del sistema jurídico y evitar una aplicación regresiva del derecho.</w:t>
      </w:r>
      <w:r w:rsidRPr="00EC42C3">
        <w:rPr>
          <w:rFonts w:ascii="Times New Roman" w:hAnsi="Times New Roman" w:cs="Times New Roman"/>
          <w:sz w:val="28"/>
          <w:szCs w:val="28"/>
        </w:rPr>
        <w:t xml:space="preserve"> </w:t>
      </w:r>
    </w:p>
    <w:p w:rsidR="00FD1C18" w:rsidRPr="00EC42C3" w:rsidRDefault="00EC42C3" w:rsidP="00FD1C18">
      <w:pPr>
        <w:pStyle w:val="Prrafodelista"/>
        <w:rPr>
          <w:rFonts w:ascii="Times New Roman" w:hAnsi="Times New Roman" w:cs="Times New Roman"/>
          <w:i/>
          <w:iCs/>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sz w:val="28"/>
          <w:szCs w:val="28"/>
        </w:rPr>
        <w:t xml:space="preserve">Por último, argumenta que el caso configura una omisión legislativa relativa, dado que el legislador reguló una materia -la legitimación para solicitar la rescisión de una sentencia por reaparición del presunto muerto- pero excluyó injustificadamente a </w:t>
      </w:r>
      <w:r w:rsidRPr="00EC42C3">
        <w:rPr>
          <w:rFonts w:ascii="Times New Roman" w:hAnsi="Times New Roman" w:cs="Times New Roman"/>
          <w:sz w:val="28"/>
          <w:szCs w:val="28"/>
        </w:rPr>
        <w:t xml:space="preserve">los compañeros permanentes. Conforme a la jurisprudencia constitucional, esta omisión resulta contraria a los mandatos superiores, pues genera una desigualdad negativa y desprotege a un grupo familiar que ha sido constitucionalmente reconocido. </w:t>
      </w:r>
    </w:p>
    <w:p w:rsidR="00FD1C18" w:rsidRPr="00EC42C3" w:rsidRDefault="00EC42C3" w:rsidP="00FD1C18">
      <w:pPr>
        <w:pStyle w:val="Prrafodelista"/>
        <w:rPr>
          <w:rFonts w:ascii="Times New Roman" w:hAnsi="Times New Roman" w:cs="Times New Roman"/>
          <w:i/>
          <w:iCs/>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b/>
          <w:bCs/>
          <w:i/>
          <w:iCs/>
          <w:sz w:val="28"/>
          <w:szCs w:val="28"/>
        </w:rPr>
        <w:t>La Univer</w:t>
      </w:r>
      <w:r w:rsidRPr="00EC42C3">
        <w:rPr>
          <w:rFonts w:ascii="Times New Roman" w:hAnsi="Times New Roman" w:cs="Times New Roman"/>
          <w:b/>
          <w:bCs/>
          <w:i/>
          <w:iCs/>
          <w:sz w:val="28"/>
          <w:szCs w:val="28"/>
        </w:rPr>
        <w:t>sidad Sergio Arboleda,</w:t>
      </w:r>
      <w:r w:rsidRPr="00EC42C3">
        <w:rPr>
          <w:rFonts w:ascii="Times New Roman" w:hAnsi="Times New Roman" w:cs="Times New Roman"/>
          <w:sz w:val="28"/>
          <w:szCs w:val="28"/>
        </w:rPr>
        <w:t xml:space="preserve"> en su concepto, pide la declaratoria de exequibilidad condicionada del artículo 108 del Código Civil, en el sentido de que la expresión </w:t>
      </w:r>
      <w:r w:rsidRPr="00EC42C3">
        <w:rPr>
          <w:rFonts w:ascii="Times New Roman" w:hAnsi="Times New Roman" w:cs="Times New Roman"/>
          <w:i/>
          <w:iCs/>
          <w:sz w:val="28"/>
          <w:szCs w:val="28"/>
        </w:rPr>
        <w:t>“su cónyuge”</w:t>
      </w:r>
      <w:r w:rsidRPr="00EC42C3">
        <w:rPr>
          <w:rFonts w:ascii="Times New Roman" w:hAnsi="Times New Roman" w:cs="Times New Roman"/>
          <w:sz w:val="28"/>
          <w:szCs w:val="28"/>
        </w:rPr>
        <w:t xml:space="preserve"> comprenda también al compañero o compañera permanente, cuando se den los requisitos </w:t>
      </w:r>
      <w:r w:rsidRPr="00EC42C3">
        <w:rPr>
          <w:rFonts w:ascii="Times New Roman" w:hAnsi="Times New Roman" w:cs="Times New Roman"/>
          <w:sz w:val="28"/>
          <w:szCs w:val="28"/>
        </w:rPr>
        <w:t>legales para el reconocimiento de la unión marital de hecho.</w:t>
      </w:r>
    </w:p>
    <w:p w:rsidR="00FD1C18" w:rsidRPr="00EC42C3" w:rsidRDefault="00EC42C3" w:rsidP="00FD1C18">
      <w:pPr>
        <w:pStyle w:val="Prrafodelista"/>
        <w:rPr>
          <w:rFonts w:ascii="Times New Roman" w:hAnsi="Times New Roman" w:cs="Times New Roman"/>
          <w:i/>
          <w:iCs/>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El concepto técnico parte del análisis de la demanda, identificando como problema jurídico la posible vulneración del principio de igualdad, al excluirse a los compañeros permanentes de la legit</w:t>
      </w:r>
      <w:r w:rsidRPr="00EC42C3">
        <w:rPr>
          <w:rFonts w:ascii="Times New Roman" w:hAnsi="Times New Roman" w:cs="Times New Roman"/>
          <w:sz w:val="28"/>
          <w:szCs w:val="28"/>
        </w:rPr>
        <w:t>imación para solicitar la rescisión del decreto de posesión definitiva de los bienes de quien fue declarado muerto presuntamente, si este reaparece. Según su planteamiento, esta exclusión se basa en una concepción anacrónica del derecho de familia que no r</w:t>
      </w:r>
      <w:r w:rsidRPr="00EC42C3">
        <w:rPr>
          <w:rFonts w:ascii="Times New Roman" w:hAnsi="Times New Roman" w:cs="Times New Roman"/>
          <w:sz w:val="28"/>
          <w:szCs w:val="28"/>
        </w:rPr>
        <w:t>efleja la evolución del orden constitucional desde 1991.</w:t>
      </w:r>
    </w:p>
    <w:p w:rsidR="00460632" w:rsidRPr="00EC42C3" w:rsidRDefault="00EC42C3" w:rsidP="00460632">
      <w:pPr>
        <w:pStyle w:val="Prrafodelista"/>
        <w:tabs>
          <w:tab w:val="left" w:pos="426"/>
        </w:tabs>
        <w:ind w:left="0"/>
        <w:contextualSpacing w:val="0"/>
        <w:jc w:val="both"/>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En su análisis, resalta que la institución de la muerte presunta ha tenido transformaciones normativas relevantes, pero que el precepto acusado conserva una redacción desactualizada. En ese sentido, destaca que mientras los cónyuges pueden acreditar su cal</w:t>
      </w:r>
      <w:r w:rsidRPr="00EC42C3">
        <w:rPr>
          <w:rFonts w:ascii="Times New Roman" w:hAnsi="Times New Roman" w:cs="Times New Roman"/>
          <w:sz w:val="28"/>
          <w:szCs w:val="28"/>
        </w:rPr>
        <w:t>idad con el registro civil, los compañeros permanentes deben recurrir a un juez, notario o conciliador, o demostrar la convivencia por más de dos años, lo que no justifica una exclusión legal frente a derechos como la rescisión de la adjudicación de bienes</w:t>
      </w:r>
      <w:r w:rsidRPr="00EC42C3">
        <w:rPr>
          <w:rFonts w:ascii="Times New Roman" w:hAnsi="Times New Roman" w:cs="Times New Roman"/>
          <w:sz w:val="28"/>
          <w:szCs w:val="28"/>
        </w:rPr>
        <w:t>.</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Subraya que el principio de igualdad exige dar el mismo tratamiento jurídico a quienes se encuentran en situaciones equivalentes, y que, conforme a la jurisprudencia constitucional, la familia conformada por compañeros permanentes goza del mismo nivel d</w:t>
      </w:r>
      <w:r w:rsidRPr="00EC42C3">
        <w:rPr>
          <w:rFonts w:ascii="Times New Roman" w:hAnsi="Times New Roman" w:cs="Times New Roman"/>
          <w:sz w:val="28"/>
          <w:szCs w:val="28"/>
        </w:rPr>
        <w:t>e protección que aquella constituida mediante matrimonio. Por tanto, mantener una norma que excluye a los compañeros permanentes sin una justificación constitucionalmente válida, constituye una discriminación injustificada.</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Además, señala que el numeral 3</w:t>
      </w:r>
      <w:r w:rsidRPr="00EC42C3">
        <w:rPr>
          <w:rFonts w:ascii="Times New Roman" w:hAnsi="Times New Roman" w:cs="Times New Roman"/>
          <w:sz w:val="28"/>
          <w:szCs w:val="28"/>
        </w:rPr>
        <w:t xml:space="preserve">° del artículo 584 del Código General del Proceso también merece una interpretación armónica con la Constitución. Por ello, propone que la Corte extienda la expresión </w:t>
      </w:r>
      <w:r w:rsidRPr="00EC42C3">
        <w:rPr>
          <w:rFonts w:ascii="Times New Roman" w:hAnsi="Times New Roman" w:cs="Times New Roman"/>
          <w:i/>
          <w:iCs/>
          <w:sz w:val="28"/>
          <w:szCs w:val="28"/>
        </w:rPr>
        <w:t>“sociedad conyugal”</w:t>
      </w:r>
      <w:r w:rsidRPr="00EC42C3">
        <w:rPr>
          <w:rFonts w:ascii="Times New Roman" w:hAnsi="Times New Roman" w:cs="Times New Roman"/>
          <w:sz w:val="28"/>
          <w:szCs w:val="28"/>
        </w:rPr>
        <w:t xml:space="preserve"> para que también comprenda la </w:t>
      </w:r>
      <w:r w:rsidRPr="00EC42C3">
        <w:rPr>
          <w:rFonts w:ascii="Times New Roman" w:hAnsi="Times New Roman" w:cs="Times New Roman"/>
          <w:i/>
          <w:iCs/>
          <w:sz w:val="28"/>
          <w:szCs w:val="28"/>
        </w:rPr>
        <w:t>“sociedad patrimonial”</w:t>
      </w:r>
      <w:r w:rsidRPr="00EC42C3">
        <w:rPr>
          <w:rFonts w:ascii="Times New Roman" w:hAnsi="Times New Roman" w:cs="Times New Roman"/>
          <w:sz w:val="28"/>
          <w:szCs w:val="28"/>
        </w:rPr>
        <w:t xml:space="preserve"> derivada de la u</w:t>
      </w:r>
      <w:r w:rsidRPr="00EC42C3">
        <w:rPr>
          <w:rFonts w:ascii="Times New Roman" w:hAnsi="Times New Roman" w:cs="Times New Roman"/>
          <w:sz w:val="28"/>
          <w:szCs w:val="28"/>
        </w:rPr>
        <w:t>nión marital de hecho.</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En conclusión, solicita a la Corte Constitucional declarar la exequibilidad</w:t>
      </w:r>
      <w:r w:rsidRPr="00EC42C3">
        <w:rPr>
          <w:rFonts w:ascii="Times New Roman" w:hAnsi="Times New Roman" w:cs="Times New Roman"/>
          <w:sz w:val="28"/>
          <w:szCs w:val="28"/>
        </w:rPr>
        <w:t xml:space="preserve"> condicionada del artículo 108 del Código Civil, en el sentido de incluir expresamente a los compañeros permanentes entre quienes pueden solicitar la rescisión del decreto de posesión definitiva. Igualmente, pide que se extienda tal entendimiento a otras d</w:t>
      </w:r>
      <w:r w:rsidRPr="00EC42C3">
        <w:rPr>
          <w:rFonts w:ascii="Times New Roman" w:hAnsi="Times New Roman" w:cs="Times New Roman"/>
          <w:sz w:val="28"/>
          <w:szCs w:val="28"/>
        </w:rPr>
        <w:t>isposiciones como el artículo 584 del CGP, para garantizar la coherencia del sistema jurídico con la Constitución y la realidad social actual.</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b/>
          <w:bCs/>
          <w:i/>
          <w:iCs/>
          <w:sz w:val="28"/>
          <w:szCs w:val="28"/>
        </w:rPr>
        <w:t xml:space="preserve">El Ministerio de Justicia y del Derecho, </w:t>
      </w:r>
      <w:r w:rsidRPr="00EC42C3">
        <w:rPr>
          <w:rFonts w:ascii="Times New Roman" w:hAnsi="Times New Roman" w:cs="Times New Roman"/>
          <w:sz w:val="28"/>
          <w:szCs w:val="28"/>
        </w:rPr>
        <w:t>en su intervención, solicita a la Corte declarar la exequibilidad condi</w:t>
      </w:r>
      <w:r w:rsidRPr="00EC42C3">
        <w:rPr>
          <w:rFonts w:ascii="Times New Roman" w:hAnsi="Times New Roman" w:cs="Times New Roman"/>
          <w:sz w:val="28"/>
          <w:szCs w:val="28"/>
        </w:rPr>
        <w:t>cionada del aparte normativo que reconoce la legitimación del cónyuge para solicitar la rescisión del decreto de posesión definitiva,</w:t>
      </w:r>
      <w:r w:rsidRPr="00EC42C3">
        <w:rPr>
          <w:rFonts w:ascii="Times New Roman" w:hAnsi="Times New Roman" w:cs="Times New Roman"/>
          <w:sz w:val="28"/>
          <w:szCs w:val="28"/>
        </w:rPr>
        <w:t xml:space="preserve"> en el entendido de que</w:t>
      </w:r>
      <w:r w:rsidRPr="00EC42C3">
        <w:rPr>
          <w:rFonts w:ascii="Times New Roman" w:hAnsi="Times New Roman" w:cs="Times New Roman"/>
          <w:sz w:val="28"/>
          <w:szCs w:val="28"/>
        </w:rPr>
        <w:t xml:space="preserve"> dicha legitimación se </w:t>
      </w:r>
      <w:r w:rsidRPr="00EC42C3">
        <w:rPr>
          <w:rFonts w:ascii="Times New Roman" w:hAnsi="Times New Roman" w:cs="Times New Roman"/>
          <w:sz w:val="28"/>
          <w:szCs w:val="28"/>
        </w:rPr>
        <w:t>extienda</w:t>
      </w:r>
      <w:r w:rsidRPr="00EC42C3">
        <w:rPr>
          <w:rFonts w:ascii="Times New Roman" w:hAnsi="Times New Roman" w:cs="Times New Roman"/>
          <w:sz w:val="28"/>
          <w:szCs w:val="28"/>
        </w:rPr>
        <w:t xml:space="preserve"> al compañero o compañera permanente que </w:t>
      </w:r>
      <w:r w:rsidRPr="00EC42C3">
        <w:rPr>
          <w:rFonts w:ascii="Times New Roman" w:hAnsi="Times New Roman" w:cs="Times New Roman"/>
          <w:sz w:val="28"/>
          <w:szCs w:val="28"/>
        </w:rPr>
        <w:t>hubiere conformado</w:t>
      </w:r>
      <w:r w:rsidRPr="00EC42C3">
        <w:rPr>
          <w:rFonts w:ascii="Times New Roman" w:hAnsi="Times New Roman" w:cs="Times New Roman"/>
          <w:sz w:val="28"/>
          <w:szCs w:val="28"/>
        </w:rPr>
        <w:t xml:space="preserve"> una socie</w:t>
      </w:r>
      <w:r w:rsidRPr="00EC42C3">
        <w:rPr>
          <w:rFonts w:ascii="Times New Roman" w:hAnsi="Times New Roman" w:cs="Times New Roman"/>
          <w:sz w:val="28"/>
          <w:szCs w:val="28"/>
        </w:rPr>
        <w:t xml:space="preserve">dad patrimonial con </w:t>
      </w:r>
      <w:r w:rsidRPr="00EC42C3">
        <w:rPr>
          <w:rFonts w:ascii="Times New Roman" w:hAnsi="Times New Roman" w:cs="Times New Roman"/>
          <w:sz w:val="28"/>
          <w:szCs w:val="28"/>
        </w:rPr>
        <w:t>la persona</w:t>
      </w:r>
      <w:r w:rsidRPr="00EC42C3">
        <w:rPr>
          <w:rFonts w:ascii="Times New Roman" w:hAnsi="Times New Roman" w:cs="Times New Roman"/>
          <w:sz w:val="28"/>
          <w:szCs w:val="28"/>
        </w:rPr>
        <w:t xml:space="preserve"> desaparecid</w:t>
      </w:r>
      <w:r w:rsidRPr="00EC42C3">
        <w:rPr>
          <w:rFonts w:ascii="Times New Roman" w:hAnsi="Times New Roman" w:cs="Times New Roman"/>
          <w:sz w:val="28"/>
          <w:szCs w:val="28"/>
        </w:rPr>
        <w:t>a</w:t>
      </w:r>
      <w:r w:rsidRPr="00EC42C3">
        <w:rPr>
          <w:rFonts w:ascii="Times New Roman" w:hAnsi="Times New Roman" w:cs="Times New Roman"/>
          <w:sz w:val="28"/>
          <w:szCs w:val="28"/>
        </w:rPr>
        <w:t xml:space="preserve"> durante su ausencia.</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 xml:space="preserve">Argumenta que en este caso se configura una omisión legislativa relativa, en la medida en que el legislador excluyó a los compañeros permanentes de una regulación que, conforme al principio </w:t>
      </w:r>
      <w:r w:rsidRPr="00EC42C3">
        <w:rPr>
          <w:rFonts w:ascii="Times New Roman" w:hAnsi="Times New Roman" w:cs="Times New Roman"/>
          <w:sz w:val="28"/>
          <w:szCs w:val="28"/>
        </w:rPr>
        <w:t>de igualdad y al reconocimiento constitucional de todas las formas de familia, debía incluirlos en igualdad de condiciones con los cónyuges. Indica que esta exclusión no tiene justificación constitucional y obedece únicamente al contexto histórico en que s</w:t>
      </w:r>
      <w:r w:rsidRPr="00EC42C3">
        <w:rPr>
          <w:rFonts w:ascii="Times New Roman" w:hAnsi="Times New Roman" w:cs="Times New Roman"/>
          <w:sz w:val="28"/>
          <w:szCs w:val="28"/>
        </w:rPr>
        <w:t>e expidió el Código Civil (1873), época en la que no existía reconocimiento jurídico de las uniones maritales de hecho.</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Asimismo, enfatiza que la norma acusada contiene una regulación incompleta respecto de quiénes pueden solicitar la rescisión del decret</w:t>
      </w:r>
      <w:r w:rsidRPr="00EC42C3">
        <w:rPr>
          <w:rFonts w:ascii="Times New Roman" w:hAnsi="Times New Roman" w:cs="Times New Roman"/>
          <w:sz w:val="28"/>
          <w:szCs w:val="28"/>
        </w:rPr>
        <w:t>o de posesión definitiva, ya que omite a las personas que, sin estar casadas formalmente, convivieron en condiciones que dan lugar a una sociedad patrimonial conforme a la Ley 54 de 1990. En ese sentido, señala que debe entenderse que también está legitima</w:t>
      </w:r>
      <w:r w:rsidRPr="00EC42C3">
        <w:rPr>
          <w:rFonts w:ascii="Times New Roman" w:hAnsi="Times New Roman" w:cs="Times New Roman"/>
          <w:sz w:val="28"/>
          <w:szCs w:val="28"/>
        </w:rPr>
        <w:t xml:space="preserve">do quien pueda acreditar una convivencia mínima de dos años y la existencia de dicha sociedad, sea mediante declaración judicial o acto voluntario conforme a la ley. </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Resalta el desarrollo jurisprudencial de la Corte Constitucional, que ha equiparado prog</w:t>
      </w:r>
      <w:r w:rsidRPr="00EC42C3">
        <w:rPr>
          <w:rFonts w:ascii="Times New Roman" w:hAnsi="Times New Roman" w:cs="Times New Roman"/>
          <w:sz w:val="28"/>
          <w:szCs w:val="28"/>
        </w:rPr>
        <w:t>resivamente los derechos de los compañeros permanentes a los de los cónyuges en materias como pensiones, alimentos, sucesiones y protección patrimonial. Así, reitera que la igualdad entre las distintas formas de familia es un mandato constitucional y que l</w:t>
      </w:r>
      <w:r w:rsidRPr="00EC42C3">
        <w:rPr>
          <w:rFonts w:ascii="Times New Roman" w:hAnsi="Times New Roman" w:cs="Times New Roman"/>
          <w:sz w:val="28"/>
          <w:szCs w:val="28"/>
        </w:rPr>
        <w:t>a omisión en el artículo 108</w:t>
      </w:r>
      <w:r w:rsidRPr="00EC42C3">
        <w:rPr>
          <w:rFonts w:ascii="Times New Roman" w:hAnsi="Times New Roman" w:cs="Times New Roman"/>
          <w:sz w:val="28"/>
          <w:szCs w:val="28"/>
        </w:rPr>
        <w:t xml:space="preserve"> del Código Civil</w:t>
      </w:r>
      <w:r w:rsidRPr="00EC42C3">
        <w:rPr>
          <w:rFonts w:ascii="Times New Roman" w:hAnsi="Times New Roman" w:cs="Times New Roman"/>
          <w:sz w:val="28"/>
          <w:szCs w:val="28"/>
        </w:rPr>
        <w:t xml:space="preserve"> resulta contraria a los artículos 5, 13 y 42 de la Carta.</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Finalmente, concluye que la norma puede mantenerse en el ordenamiento jurídico siempre que su aplicación se entienda condicionada a incluir a los compa</w:t>
      </w:r>
      <w:r w:rsidRPr="00EC42C3">
        <w:rPr>
          <w:rFonts w:ascii="Times New Roman" w:hAnsi="Times New Roman" w:cs="Times New Roman"/>
          <w:sz w:val="28"/>
          <w:szCs w:val="28"/>
        </w:rPr>
        <w:t>ñeros permanentes con quienes se haya conformado una sociedad patrimonial durante el tiempo de desaparición. Por ello, solicita a la Corte declarar la exequibilidad condicionada del aparte normativo acusado, de modo que se garantice una interpretación conf</w:t>
      </w:r>
      <w:r w:rsidRPr="00EC42C3">
        <w:rPr>
          <w:rFonts w:ascii="Times New Roman" w:hAnsi="Times New Roman" w:cs="Times New Roman"/>
          <w:sz w:val="28"/>
          <w:szCs w:val="28"/>
        </w:rPr>
        <w:t>orme con la Constitución y los principios de igualdad y pluralismo familiar.</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b/>
          <w:bCs/>
          <w:i/>
          <w:iCs/>
          <w:sz w:val="28"/>
          <w:szCs w:val="28"/>
        </w:rPr>
        <w:t>El Ministerio de Relaciones Exteriores</w:t>
      </w:r>
      <w:r w:rsidRPr="00EC42C3">
        <w:rPr>
          <w:rFonts w:ascii="Times New Roman" w:hAnsi="Times New Roman" w:cs="Times New Roman"/>
          <w:i/>
          <w:iCs/>
          <w:sz w:val="28"/>
          <w:szCs w:val="28"/>
        </w:rPr>
        <w:t>,</w:t>
      </w:r>
      <w:r w:rsidRPr="00EC42C3">
        <w:rPr>
          <w:rFonts w:ascii="Times New Roman" w:hAnsi="Times New Roman" w:cs="Times New Roman"/>
          <w:sz w:val="28"/>
          <w:szCs w:val="28"/>
        </w:rPr>
        <w:t xml:space="preserve"> en su intervención, pide que se declare la exequibilidad de la norma censurada, pero con una condición: que también se entienda incluido e</w:t>
      </w:r>
      <w:r w:rsidRPr="00EC42C3">
        <w:rPr>
          <w:rFonts w:ascii="Times New Roman" w:hAnsi="Times New Roman" w:cs="Times New Roman"/>
          <w:sz w:val="28"/>
          <w:szCs w:val="28"/>
        </w:rPr>
        <w:t xml:space="preserve">l compañero o compañera permanente, aplicando la Ley 54 de 1990, la cual reconoce las uniones maritales de hecho y sus efectos patrimoniales. Este planteamiento se basa en el principio de retrospectividad de la ley, según el cual una norma puede aplicarse </w:t>
      </w:r>
      <w:r w:rsidRPr="00EC42C3">
        <w:rPr>
          <w:rFonts w:ascii="Times New Roman" w:hAnsi="Times New Roman" w:cs="Times New Roman"/>
          <w:sz w:val="28"/>
          <w:szCs w:val="28"/>
        </w:rPr>
        <w:t xml:space="preserve">a hechos anteriores a su vigencia si esos hechos no se han consolidado jurídicamente. </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 xml:space="preserve">Para respaldar su postura, se citan sentencias de la Corte Constitucional y </w:t>
      </w:r>
      <w:r w:rsidRPr="00EC42C3">
        <w:rPr>
          <w:rFonts w:ascii="Times New Roman" w:hAnsi="Times New Roman" w:cs="Times New Roman"/>
          <w:sz w:val="28"/>
          <w:szCs w:val="28"/>
        </w:rPr>
        <w:t xml:space="preserve">de </w:t>
      </w:r>
      <w:r w:rsidRPr="00EC42C3">
        <w:rPr>
          <w:rFonts w:ascii="Times New Roman" w:hAnsi="Times New Roman" w:cs="Times New Roman"/>
          <w:sz w:val="28"/>
          <w:szCs w:val="28"/>
        </w:rPr>
        <w:t>la Corte Suprema de Justicia que han reconocido la validez jurídica de las uniones marita</w:t>
      </w:r>
      <w:r w:rsidRPr="00EC42C3">
        <w:rPr>
          <w:rFonts w:ascii="Times New Roman" w:hAnsi="Times New Roman" w:cs="Times New Roman"/>
          <w:sz w:val="28"/>
          <w:szCs w:val="28"/>
        </w:rPr>
        <w:t xml:space="preserve">les previas a la Ley 54 de 1990, siempre que estas situaciones no estuvieran consolidadas antes de su entrada en vigencia. La jurisprudencia sostiene que los efectos de la convivencia se reconocen desde el hecho mismo, no desde la declaración judicial, la </w:t>
      </w:r>
      <w:r w:rsidRPr="00EC42C3">
        <w:rPr>
          <w:rFonts w:ascii="Times New Roman" w:hAnsi="Times New Roman" w:cs="Times New Roman"/>
          <w:sz w:val="28"/>
          <w:szCs w:val="28"/>
        </w:rPr>
        <w:t xml:space="preserve">cual solo tiene efectos declarativos. </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En resumen, el Ministerio de Relaciones Exteriores solicita que el fragmento demandado del artículo 108 del Código Civil se mantenga vigente, pero interpretado en el sentido de incluir también a los compañeros perman</w:t>
      </w:r>
      <w:r w:rsidRPr="00EC42C3">
        <w:rPr>
          <w:rFonts w:ascii="Times New Roman" w:hAnsi="Times New Roman" w:cs="Times New Roman"/>
          <w:sz w:val="28"/>
          <w:szCs w:val="28"/>
        </w:rPr>
        <w:t xml:space="preserve">entes, garantizando así la igualdad de derechos entre los distintos tipos de familia reconocidos por la Constitución. </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b/>
          <w:bCs/>
          <w:i/>
          <w:iCs/>
          <w:sz w:val="28"/>
          <w:szCs w:val="28"/>
        </w:rPr>
        <w:t>La Clínica Jurídica de la Universidad Pontificia Bolivariana,</w:t>
      </w:r>
      <w:r w:rsidRPr="00EC42C3">
        <w:rPr>
          <w:rFonts w:ascii="Times New Roman" w:hAnsi="Times New Roman" w:cs="Times New Roman"/>
          <w:sz w:val="28"/>
          <w:szCs w:val="28"/>
        </w:rPr>
        <w:t xml:space="preserve"> en su concepto técnico, solicita declarar la exequibilidad condicionada de</w:t>
      </w:r>
      <w:r w:rsidRPr="00EC42C3">
        <w:rPr>
          <w:rFonts w:ascii="Times New Roman" w:hAnsi="Times New Roman" w:cs="Times New Roman"/>
          <w:sz w:val="28"/>
          <w:szCs w:val="28"/>
        </w:rPr>
        <w:t>l artículo 108 del Código Civil. Expresa que la mencionada disposición normativa incurre en una omisión legislativa relativa, al limitar sus efectos exclusivamente a los cónyuges y excluir a los compañeros permanentes (personas en unión marital de hecho) d</w:t>
      </w:r>
      <w:r w:rsidRPr="00EC42C3">
        <w:rPr>
          <w:rFonts w:ascii="Times New Roman" w:hAnsi="Times New Roman" w:cs="Times New Roman"/>
          <w:sz w:val="28"/>
          <w:szCs w:val="28"/>
        </w:rPr>
        <w:t>e la posibilidad de solicitar la rescisión de la sentencia de partición o adjudicación derivada de una declaración de muerte presunta.</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 xml:space="preserve">Se argumenta que esta exclusión es contraria a la Carta Política, en tanto vulnera los artículos 5, 13 y 42 superiores, </w:t>
      </w:r>
      <w:r w:rsidRPr="00EC42C3">
        <w:rPr>
          <w:rFonts w:ascii="Times New Roman" w:hAnsi="Times New Roman" w:cs="Times New Roman"/>
          <w:sz w:val="28"/>
          <w:szCs w:val="28"/>
        </w:rPr>
        <w:t>que consagran la igualdad y la protección integral de todas las formas de familia, independientemente de su origen. La norma, en los términos en que está redactada, restringe el acceso a derechos patrimoniales y a la administración de justicia a quienes ha</w:t>
      </w:r>
      <w:r w:rsidRPr="00EC42C3">
        <w:rPr>
          <w:rFonts w:ascii="Times New Roman" w:hAnsi="Times New Roman" w:cs="Times New Roman"/>
          <w:sz w:val="28"/>
          <w:szCs w:val="28"/>
        </w:rPr>
        <w:t>n constituido una familia por medio de una unión marital de hecho, lo cual configura una discriminación injustificada basada en el tipo de vínculo familiar.</w:t>
      </w:r>
    </w:p>
    <w:p w:rsidR="00B10065" w:rsidRPr="00EC42C3" w:rsidRDefault="00EC42C3" w:rsidP="00B10065">
      <w:pPr>
        <w:pStyle w:val="Prrafodelista"/>
        <w:tabs>
          <w:tab w:val="left" w:pos="426"/>
        </w:tabs>
        <w:ind w:left="0"/>
        <w:contextualSpacing w:val="0"/>
        <w:jc w:val="both"/>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El concepto se fundamenta la jurisprudencia constitucional que ha reconocido la igualdad de derech</w:t>
      </w:r>
      <w:r w:rsidRPr="00EC42C3">
        <w:rPr>
          <w:rFonts w:ascii="Times New Roman" w:hAnsi="Times New Roman" w:cs="Times New Roman"/>
          <w:sz w:val="28"/>
          <w:szCs w:val="28"/>
        </w:rPr>
        <w:t>os entre cónyuges y compañeros permanentes, como se advierte en las Sentencias C-1.035 de 2008 y C-395 de 2023. Advierte que si bien el matrimonio y la unión marital de hecho son figuras jurídicas distintas, el legislador no puede establecer tratos desigua</w:t>
      </w:r>
      <w:r w:rsidRPr="00EC42C3">
        <w:rPr>
          <w:rFonts w:ascii="Times New Roman" w:hAnsi="Times New Roman" w:cs="Times New Roman"/>
          <w:sz w:val="28"/>
          <w:szCs w:val="28"/>
        </w:rPr>
        <w:t>les en el goce de derechos por motivo del tipo de unión.</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 xml:space="preserve">En su parte final, el documento presenta un análisis comparativo entre el cónyuge y el compañero permanente, en el cual se muestra cómo la norma les otorga un trato desigual. Tal distinción es calificada como una </w:t>
      </w:r>
      <w:r w:rsidRPr="00EC42C3">
        <w:rPr>
          <w:rFonts w:ascii="Times New Roman" w:hAnsi="Times New Roman" w:cs="Times New Roman"/>
          <w:i/>
          <w:iCs/>
          <w:sz w:val="28"/>
          <w:szCs w:val="28"/>
        </w:rPr>
        <w:t>“categoría sospechosa de discriminación.”</w:t>
      </w:r>
      <w:r w:rsidRPr="00EC42C3">
        <w:rPr>
          <w:rFonts w:ascii="Times New Roman" w:hAnsi="Times New Roman" w:cs="Times New Roman"/>
          <w:sz w:val="28"/>
          <w:szCs w:val="28"/>
        </w:rPr>
        <w:t xml:space="preserve"> A</w:t>
      </w:r>
      <w:r w:rsidRPr="00EC42C3">
        <w:rPr>
          <w:rFonts w:ascii="Times New Roman" w:hAnsi="Times New Roman" w:cs="Times New Roman"/>
          <w:sz w:val="28"/>
          <w:szCs w:val="28"/>
        </w:rPr>
        <w:t xml:space="preserve"> juicio del interviniente, la medida no supera un examen de necesidad ni de proporcionalidad para alcanzar un fin constitucional legítimo. Por ello, se solicita a la Corte declarar la exequibilidad condicionada de la expresión </w:t>
      </w:r>
      <w:r w:rsidRPr="00EC42C3">
        <w:rPr>
          <w:rFonts w:ascii="Times New Roman" w:hAnsi="Times New Roman" w:cs="Times New Roman"/>
          <w:i/>
          <w:iCs/>
          <w:sz w:val="28"/>
          <w:szCs w:val="28"/>
        </w:rPr>
        <w:t>“o de su cónyuge, por matrimo</w:t>
      </w:r>
      <w:r w:rsidRPr="00EC42C3">
        <w:rPr>
          <w:rFonts w:ascii="Times New Roman" w:hAnsi="Times New Roman" w:cs="Times New Roman"/>
          <w:i/>
          <w:iCs/>
          <w:sz w:val="28"/>
          <w:szCs w:val="28"/>
        </w:rPr>
        <w:t>nio contraído en la misma época”</w:t>
      </w:r>
      <w:r w:rsidRPr="00EC42C3">
        <w:rPr>
          <w:rFonts w:ascii="Times New Roman" w:hAnsi="Times New Roman" w:cs="Times New Roman"/>
          <w:sz w:val="28"/>
          <w:szCs w:val="28"/>
        </w:rPr>
        <w:t>, en el entendido de que también comprende a los compañeros o compañeras permanentes.</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b/>
          <w:bCs/>
          <w:i/>
          <w:iCs/>
          <w:sz w:val="28"/>
          <w:szCs w:val="28"/>
        </w:rPr>
        <w:t>La Defensoría del Pueblo</w:t>
      </w:r>
      <w:r w:rsidRPr="00EC42C3">
        <w:rPr>
          <w:rFonts w:ascii="Times New Roman" w:hAnsi="Times New Roman" w:cs="Times New Roman"/>
          <w:b/>
          <w:bCs/>
          <w:sz w:val="28"/>
          <w:szCs w:val="28"/>
        </w:rPr>
        <w:t xml:space="preserve"> </w:t>
      </w:r>
      <w:r w:rsidRPr="00EC42C3">
        <w:rPr>
          <w:rFonts w:ascii="Times New Roman" w:hAnsi="Times New Roman" w:cs="Times New Roman"/>
          <w:sz w:val="28"/>
          <w:szCs w:val="28"/>
        </w:rPr>
        <w:t>argumenta que la norma acusada incurre en una omisión legislativa relativa, al establecer un trato excluyente re</w:t>
      </w:r>
      <w:r w:rsidRPr="00EC42C3">
        <w:rPr>
          <w:rFonts w:ascii="Times New Roman" w:hAnsi="Times New Roman" w:cs="Times New Roman"/>
          <w:sz w:val="28"/>
          <w:szCs w:val="28"/>
        </w:rPr>
        <w:t xml:space="preserve">specto de los compañeros permanentes que se encuentren en igual situación fáctica que los cónyuges. Esta omisión, según se afirma, vulnera los artículos 5, 13 y 42 de la Constitución, que consagran la protección de la familia, la igualdad ante la ley y la </w:t>
      </w:r>
      <w:r w:rsidRPr="00EC42C3">
        <w:rPr>
          <w:rFonts w:ascii="Times New Roman" w:hAnsi="Times New Roman" w:cs="Times New Roman"/>
          <w:sz w:val="28"/>
          <w:szCs w:val="28"/>
        </w:rPr>
        <w:t>prohibición de discriminación por origen familiar.</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La intervención destaca que si bien el matrimonio y la unión marital de hecho son instituciones jurídicas distintas, la jurisprudencia constitucional ha sido consistente en reconocer que, frente a ciertas</w:t>
      </w:r>
      <w:r w:rsidRPr="00EC42C3">
        <w:rPr>
          <w:rFonts w:ascii="Times New Roman" w:hAnsi="Times New Roman" w:cs="Times New Roman"/>
          <w:sz w:val="28"/>
          <w:szCs w:val="28"/>
        </w:rPr>
        <w:t xml:space="preserve"> consecuencias jurídicas fundamentales</w:t>
      </w:r>
      <w:r w:rsidRPr="00EC42C3">
        <w:rPr>
          <w:rFonts w:ascii="Times New Roman" w:hAnsi="Times New Roman" w:cs="Times New Roman"/>
          <w:sz w:val="28"/>
          <w:szCs w:val="28"/>
        </w:rPr>
        <w:t>,</w:t>
      </w:r>
      <w:r w:rsidRPr="00EC42C3">
        <w:rPr>
          <w:rFonts w:ascii="Times New Roman" w:hAnsi="Times New Roman" w:cs="Times New Roman"/>
          <w:sz w:val="28"/>
          <w:szCs w:val="28"/>
        </w:rPr>
        <w:t xml:space="preserve"> como el acceso a derechos patrimoniales y procesales</w:t>
      </w:r>
      <w:r w:rsidRPr="00EC42C3">
        <w:rPr>
          <w:rFonts w:ascii="Times New Roman" w:hAnsi="Times New Roman" w:cs="Times New Roman"/>
          <w:sz w:val="28"/>
          <w:szCs w:val="28"/>
        </w:rPr>
        <w:t>,</w:t>
      </w:r>
      <w:r w:rsidRPr="00EC42C3">
        <w:rPr>
          <w:rFonts w:ascii="Times New Roman" w:hAnsi="Times New Roman" w:cs="Times New Roman"/>
          <w:sz w:val="28"/>
          <w:szCs w:val="28"/>
        </w:rPr>
        <w:t xml:space="preserve"> debe existir un trato igualitario cuando las situaciones fácticas son comparables. Así </w:t>
      </w:r>
      <w:r w:rsidRPr="00EC42C3">
        <w:rPr>
          <w:rFonts w:ascii="Times New Roman" w:hAnsi="Times New Roman" w:cs="Times New Roman"/>
          <w:sz w:val="28"/>
          <w:szCs w:val="28"/>
        </w:rPr>
        <w:t xml:space="preserve">se </w:t>
      </w:r>
      <w:r w:rsidRPr="00EC42C3">
        <w:rPr>
          <w:rFonts w:ascii="Times New Roman" w:hAnsi="Times New Roman" w:cs="Times New Roman"/>
          <w:sz w:val="28"/>
          <w:szCs w:val="28"/>
        </w:rPr>
        <w:t>lo ha señalado en las Sentencias C-1033 de 2002, C-238 de 2012 y C-395 d</w:t>
      </w:r>
      <w:r w:rsidRPr="00EC42C3">
        <w:rPr>
          <w:rFonts w:ascii="Times New Roman" w:hAnsi="Times New Roman" w:cs="Times New Roman"/>
          <w:sz w:val="28"/>
          <w:szCs w:val="28"/>
        </w:rPr>
        <w:t>e 2023, entre otras.</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A juicio de la Defensoría, la exclusión de los compañeros permanentes carece de una razón objetiva y suficiente, y por tanto constituye una discriminación injustificada. Además, recalca que la falta de actualización normativa en lo re</w:t>
      </w:r>
      <w:r w:rsidRPr="00EC42C3">
        <w:rPr>
          <w:rFonts w:ascii="Times New Roman" w:hAnsi="Times New Roman" w:cs="Times New Roman"/>
          <w:sz w:val="28"/>
          <w:szCs w:val="28"/>
        </w:rPr>
        <w:t>lativo a la inclusión de las uniones maritales de hecho -vigentes en el ordenamiento jurídico desde la Ley 54 de 1990-, implica el incumplimiento del deber constitucional del Legislador de proteger todas las formas de familia reconocidas por la Constitució</w:t>
      </w:r>
      <w:r w:rsidRPr="00EC42C3">
        <w:rPr>
          <w:rFonts w:ascii="Times New Roman" w:hAnsi="Times New Roman" w:cs="Times New Roman"/>
          <w:sz w:val="28"/>
          <w:szCs w:val="28"/>
        </w:rPr>
        <w:t>n.</w:t>
      </w:r>
    </w:p>
    <w:p w:rsidR="00460632" w:rsidRPr="00EC42C3" w:rsidRDefault="00EC42C3" w:rsidP="00460632">
      <w:pPr>
        <w:pStyle w:val="Prrafodelista"/>
        <w:tabs>
          <w:tab w:val="left" w:pos="426"/>
        </w:tabs>
        <w:ind w:left="0"/>
        <w:contextualSpacing w:val="0"/>
        <w:jc w:val="both"/>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Por lo anterior, y en aplicación del juicio integrado de igualdad bajo un escrutinio estricto, se solicita a esta Corte declarar la exequibilidad condicionada de la expresión acusada, bajo el entendido de que comprende también a los compañeros o compañ</w:t>
      </w:r>
      <w:r w:rsidRPr="00EC42C3">
        <w:rPr>
          <w:rFonts w:ascii="Times New Roman" w:hAnsi="Times New Roman" w:cs="Times New Roman"/>
          <w:sz w:val="28"/>
          <w:szCs w:val="28"/>
        </w:rPr>
        <w:t>eras permanentes que hubiesen conformado una unión marital de hecho durante la época señalada.</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b/>
          <w:bCs/>
          <w:i/>
          <w:iCs/>
          <w:sz w:val="28"/>
          <w:szCs w:val="28"/>
        </w:rPr>
        <w:t>El Instituto Colombiano de Derecho Procesal -ICDP-,</w:t>
      </w:r>
      <w:r w:rsidRPr="00EC42C3">
        <w:rPr>
          <w:rFonts w:ascii="Times New Roman" w:hAnsi="Times New Roman" w:cs="Times New Roman"/>
          <w:sz w:val="28"/>
          <w:szCs w:val="28"/>
        </w:rPr>
        <w:t xml:space="preserve"> en su concepto técnico, pide que se declare la exequibilidad condicionada de la expresión </w:t>
      </w:r>
      <w:r w:rsidRPr="00EC42C3">
        <w:rPr>
          <w:rFonts w:ascii="Times New Roman" w:hAnsi="Times New Roman" w:cs="Times New Roman"/>
          <w:i/>
          <w:iCs/>
          <w:sz w:val="28"/>
          <w:szCs w:val="28"/>
        </w:rPr>
        <w:t xml:space="preserve">“o de su cónyuge, </w:t>
      </w:r>
      <w:r w:rsidRPr="00EC42C3">
        <w:rPr>
          <w:rFonts w:ascii="Times New Roman" w:hAnsi="Times New Roman" w:cs="Times New Roman"/>
          <w:i/>
          <w:iCs/>
          <w:sz w:val="28"/>
          <w:szCs w:val="28"/>
        </w:rPr>
        <w:t xml:space="preserve">por matrimonio contraído en la misma época”, </w:t>
      </w:r>
      <w:r w:rsidRPr="00EC42C3">
        <w:rPr>
          <w:rFonts w:ascii="Times New Roman" w:hAnsi="Times New Roman" w:cs="Times New Roman"/>
          <w:sz w:val="28"/>
          <w:szCs w:val="28"/>
        </w:rPr>
        <w:t>en el entendido de que dicha expresión comprende, en igualdad de derechos y deberes a los compañeros permanentes en uniones maritales de hecho, tanto de parejas de distinto sexo como del mismo sexo, desde el mom</w:t>
      </w:r>
      <w:r w:rsidRPr="00EC42C3">
        <w:rPr>
          <w:rFonts w:ascii="Times New Roman" w:hAnsi="Times New Roman" w:cs="Times New Roman"/>
          <w:sz w:val="28"/>
          <w:szCs w:val="28"/>
        </w:rPr>
        <w:t>ento de su conformación, siempre que la convivencia se haya extendido por un término no inferior a dos años, conforme a lo dispuesto en las Leyes 54 de 1990 y 979 de 2005.</w:t>
      </w:r>
    </w:p>
    <w:p w:rsidR="00FD1C18" w:rsidRPr="00EC42C3" w:rsidRDefault="00EC42C3" w:rsidP="00FD1C18">
      <w:pPr>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Se</w:t>
      </w:r>
      <w:r w:rsidRPr="00EC42C3">
        <w:rPr>
          <w:rFonts w:ascii="Times New Roman" w:hAnsi="Times New Roman" w:cs="Times New Roman"/>
          <w:sz w:val="28"/>
          <w:szCs w:val="28"/>
        </w:rPr>
        <w:t xml:space="preserve"> señala que la norma parcialmente acusada establece una diferenciación injustific</w:t>
      </w:r>
      <w:r w:rsidRPr="00EC42C3">
        <w:rPr>
          <w:rFonts w:ascii="Times New Roman" w:hAnsi="Times New Roman" w:cs="Times New Roman"/>
          <w:sz w:val="28"/>
          <w:szCs w:val="28"/>
        </w:rPr>
        <w:t>ada entre la institución matrimonial y la unión marital de hecho, ya que a nivel legislativo y judicial se ha venido reconociendo a los compañeros permanentes los derechos, prerrogativas, cargas, prohibiciones y limitaciones previstas originalmente para lo</w:t>
      </w:r>
      <w:r w:rsidRPr="00EC42C3">
        <w:rPr>
          <w:rFonts w:ascii="Times New Roman" w:hAnsi="Times New Roman" w:cs="Times New Roman"/>
          <w:sz w:val="28"/>
          <w:szCs w:val="28"/>
        </w:rPr>
        <w:t>s cónyuges, sin que exista una diferencia empírica de base, imponiendo entonces el legislador un trato asimétrico, circunscribiendo los efectos jurídicos establecidos en las disposiciones impugnadas únicamente para los cónyuges, y no para los compañeros, s</w:t>
      </w:r>
      <w:r w:rsidRPr="00EC42C3">
        <w:rPr>
          <w:rFonts w:ascii="Times New Roman" w:hAnsi="Times New Roman" w:cs="Times New Roman"/>
          <w:sz w:val="28"/>
          <w:szCs w:val="28"/>
        </w:rPr>
        <w:t xml:space="preserve">in que esta diferenciación persiga o atienda a alguna finalidad constitucionalmente admisible. </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b/>
          <w:bCs/>
          <w:i/>
          <w:iCs/>
          <w:sz w:val="28"/>
          <w:szCs w:val="28"/>
        </w:rPr>
        <w:t>La Universidad Externado de Colombia,</w:t>
      </w:r>
      <w:r w:rsidRPr="00EC42C3">
        <w:rPr>
          <w:rFonts w:ascii="Times New Roman" w:hAnsi="Times New Roman" w:cs="Times New Roman"/>
          <w:b/>
          <w:bCs/>
          <w:sz w:val="28"/>
          <w:szCs w:val="28"/>
        </w:rPr>
        <w:t xml:space="preserve"> </w:t>
      </w:r>
      <w:r w:rsidRPr="00EC42C3">
        <w:rPr>
          <w:rFonts w:ascii="Times New Roman" w:hAnsi="Times New Roman" w:cs="Times New Roman"/>
          <w:sz w:val="28"/>
          <w:szCs w:val="28"/>
        </w:rPr>
        <w:t xml:space="preserve">en su concepto técnico, manifiesta que esta disposición permite rescindir el decreto de posesión definitiva de bienes en </w:t>
      </w:r>
      <w:r w:rsidRPr="00EC42C3">
        <w:rPr>
          <w:rFonts w:ascii="Times New Roman" w:hAnsi="Times New Roman" w:cs="Times New Roman"/>
          <w:sz w:val="28"/>
          <w:szCs w:val="28"/>
        </w:rPr>
        <w:t>caso de reaparición del desaparecido, otorgando legitimación activa a su cónyuge si el matrimonio fue contraído durante el tiempo del desaparecimiento. La demanda considera que esta disposición incurre en una omisión legislativa relativa, al no incluir a l</w:t>
      </w:r>
      <w:r w:rsidRPr="00EC42C3">
        <w:rPr>
          <w:rFonts w:ascii="Times New Roman" w:hAnsi="Times New Roman" w:cs="Times New Roman"/>
          <w:sz w:val="28"/>
          <w:szCs w:val="28"/>
        </w:rPr>
        <w:t>os compañeros permanentes que hayan conformado una unión marital de hecho en esa misma época.</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El concepto sostiene que dicha exclusión resulta discriminatoria y contraria a los principios constitucionales de igualdad, no discriminación y protección integr</w:t>
      </w:r>
      <w:r w:rsidRPr="00EC42C3">
        <w:rPr>
          <w:rFonts w:ascii="Times New Roman" w:hAnsi="Times New Roman" w:cs="Times New Roman"/>
          <w:sz w:val="28"/>
          <w:szCs w:val="28"/>
        </w:rPr>
        <w:t>al de todas las formas de familia, consagrados en los artículos 5, 13 y 42 de la Constitución Política. Se argumenta que la unión marital de hecho ha sido progresivamente reconocida por el ordenamiento jurídico colombiano, y que la jurisprudencia constituc</w:t>
      </w:r>
      <w:r w:rsidRPr="00EC42C3">
        <w:rPr>
          <w:rFonts w:ascii="Times New Roman" w:hAnsi="Times New Roman" w:cs="Times New Roman"/>
          <w:sz w:val="28"/>
          <w:szCs w:val="28"/>
        </w:rPr>
        <w:t>ional ha equiparado sus efectos a los del matrimonio en múltiples escenarios, especialmente en materia de derechos patrimoniales y sucesorales.</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Asimismo, la intervención efectúa un recorrido histórico y jurídico sobre la evolución del reconocimiento de la</w:t>
      </w:r>
      <w:r w:rsidRPr="00EC42C3">
        <w:rPr>
          <w:rFonts w:ascii="Times New Roman" w:hAnsi="Times New Roman" w:cs="Times New Roman"/>
          <w:sz w:val="28"/>
          <w:szCs w:val="28"/>
        </w:rPr>
        <w:t xml:space="preserve"> unión marital de hecho, desde su raíz en el derecho romano hasta su regulación en Colombia mediante la Ley 54 de 1990. Destaca que, en la actualidad, el derecho de familia en Colombia ha transitado hacia una concepción pluralista, en la cual se reconoce y</w:t>
      </w:r>
      <w:r w:rsidRPr="00EC42C3">
        <w:rPr>
          <w:rFonts w:ascii="Times New Roman" w:hAnsi="Times New Roman" w:cs="Times New Roman"/>
          <w:sz w:val="28"/>
          <w:szCs w:val="28"/>
        </w:rPr>
        <w:t xml:space="preserve"> protege la diversidad en la composición familiar. En este sentido, mantener una distinción entre cónyuge y compañero permanente en la legitimación para solicitar la rescisión de la posesión definitiva implica perpetuar un trato desigual injustificado.</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Fi</w:t>
      </w:r>
      <w:r w:rsidRPr="00EC42C3">
        <w:rPr>
          <w:rFonts w:ascii="Times New Roman" w:hAnsi="Times New Roman" w:cs="Times New Roman"/>
          <w:sz w:val="28"/>
          <w:szCs w:val="28"/>
        </w:rPr>
        <w:t>nalmente, se concluye que la expresión demandada del artículo 108 del Código Civil debe ser declarada exequible de manera condicionada, bajo el entendido de que la legitimación también se extiende a los compañeros permanentes cuya unión marital de hecho se</w:t>
      </w:r>
      <w:r w:rsidRPr="00EC42C3">
        <w:rPr>
          <w:rFonts w:ascii="Times New Roman" w:hAnsi="Times New Roman" w:cs="Times New Roman"/>
          <w:sz w:val="28"/>
          <w:szCs w:val="28"/>
        </w:rPr>
        <w:t xml:space="preserve"> haya constituido durante la época de desaparición, siempre que cumpla con los requisitos del artículo 2 de la Ley 54 de 1990. Esta interpretación permitiría armonizar la norma con los mandatos constitucionales y garantizar una protección equitativa a toda</w:t>
      </w:r>
      <w:r w:rsidRPr="00EC42C3">
        <w:rPr>
          <w:rFonts w:ascii="Times New Roman" w:hAnsi="Times New Roman" w:cs="Times New Roman"/>
          <w:sz w:val="28"/>
          <w:szCs w:val="28"/>
        </w:rPr>
        <w:t>s las formas de familia reconocidas por el ordenamiento jurídico.</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b/>
          <w:bCs/>
          <w:i/>
          <w:iCs/>
          <w:sz w:val="28"/>
          <w:szCs w:val="28"/>
        </w:rPr>
        <w:t>El Observatorio de Intervención Ciudadana Constitucional de la Facultad de Derecho de la Universidad Libre de Colombia,</w:t>
      </w:r>
      <w:r w:rsidRPr="00EC42C3">
        <w:rPr>
          <w:rFonts w:ascii="Times New Roman" w:hAnsi="Times New Roman" w:cs="Times New Roman"/>
          <w:sz w:val="28"/>
          <w:szCs w:val="28"/>
        </w:rPr>
        <w:t xml:space="preserve"> en su concepto técnico, resalta la igualdad que debe existir entre </w:t>
      </w:r>
      <w:r w:rsidRPr="00EC42C3">
        <w:rPr>
          <w:rFonts w:ascii="Times New Roman" w:hAnsi="Times New Roman" w:cs="Times New Roman"/>
          <w:sz w:val="28"/>
          <w:szCs w:val="28"/>
        </w:rPr>
        <w:t>las familias surgidas del matrimonio y las formadas por unión marital de hecho, ambas reconocidas constitucionalmente. Aunque tienen requisitos distintos, ambas deben gozar de la misma protección y garantías. La Corte Constitucional ha reiterado que la fam</w:t>
      </w:r>
      <w:r w:rsidRPr="00EC42C3">
        <w:rPr>
          <w:rFonts w:ascii="Times New Roman" w:hAnsi="Times New Roman" w:cs="Times New Roman"/>
          <w:sz w:val="28"/>
          <w:szCs w:val="28"/>
        </w:rPr>
        <w:t>ilia no se limita al vínculo jurídico del matrimonio, sino que también incluye vínculos naturales formados por voluntad libre y responsable.</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La jurisprudencia ha avalado la equiparación de derechos entre cónyuges y compañeros permanentes en temas como sal</w:t>
      </w:r>
      <w:r w:rsidRPr="00EC42C3">
        <w:rPr>
          <w:rFonts w:ascii="Times New Roman" w:hAnsi="Times New Roman" w:cs="Times New Roman"/>
          <w:sz w:val="28"/>
          <w:szCs w:val="28"/>
        </w:rPr>
        <w:t>ud, sucesión y pensión. Ejemplo de ello es la Sentencia C-521 de 2007, que eliminó la exigencia de dos años de convivencia para acceder al sistema de salud como beneficiarios. También destaca decisiones que reconocen a los compañeros permanentes como titul</w:t>
      </w:r>
      <w:r w:rsidRPr="00EC42C3">
        <w:rPr>
          <w:rFonts w:ascii="Times New Roman" w:hAnsi="Times New Roman" w:cs="Times New Roman"/>
          <w:sz w:val="28"/>
          <w:szCs w:val="28"/>
        </w:rPr>
        <w:t>ares de derechos patrimoniales, como en la porción conyugal.</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Aplicando el juicio integrado de igualdad, concluye que la norma debe someterse a un escrutinio estricto, ya que la exclusión de los compañeros permanentes no supera los principios de proporcion</w:t>
      </w:r>
      <w:r w:rsidRPr="00EC42C3">
        <w:rPr>
          <w:rFonts w:ascii="Times New Roman" w:hAnsi="Times New Roman" w:cs="Times New Roman"/>
          <w:sz w:val="28"/>
          <w:szCs w:val="28"/>
        </w:rPr>
        <w:t>alidad ni necesidad. La medida no cumple el objetivo de proteger el patrimonio familiar si discrimina a quienes también han conformado una familia, solo por no estar casados.</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Se advierte que el artículo 108 del Código Civil persiste como una norma anacrón</w:t>
      </w:r>
      <w:r w:rsidRPr="00EC42C3">
        <w:rPr>
          <w:rFonts w:ascii="Times New Roman" w:hAnsi="Times New Roman" w:cs="Times New Roman"/>
          <w:sz w:val="28"/>
          <w:szCs w:val="28"/>
        </w:rPr>
        <w:t xml:space="preserve">ica redactada antes de la Constitución Política de 1991, sin haber sido actualizada conforme al nuevo marco constitucional que reconoce la pluralidad de formas familiares. La omisión del legislador al no incluir a los compañeros permanentes constituye una </w:t>
      </w:r>
      <w:r w:rsidRPr="00EC42C3">
        <w:rPr>
          <w:rFonts w:ascii="Times New Roman" w:hAnsi="Times New Roman" w:cs="Times New Roman"/>
          <w:sz w:val="28"/>
          <w:szCs w:val="28"/>
        </w:rPr>
        <w:t>inconstitucionalidad sobreviniente, que debe ser re</w:t>
      </w:r>
      <w:r w:rsidRPr="00EC42C3">
        <w:rPr>
          <w:rFonts w:ascii="Times New Roman" w:hAnsi="Times New Roman" w:cs="Times New Roman"/>
          <w:sz w:val="28"/>
          <w:szCs w:val="28"/>
        </w:rPr>
        <w:t xml:space="preserve">mediada por </w:t>
      </w:r>
      <w:r w:rsidRPr="00EC42C3">
        <w:rPr>
          <w:rFonts w:ascii="Times New Roman" w:hAnsi="Times New Roman" w:cs="Times New Roman"/>
          <w:sz w:val="28"/>
          <w:szCs w:val="28"/>
        </w:rPr>
        <w:t>la Corte.</w:t>
      </w:r>
    </w:p>
    <w:p w:rsidR="00FD1C18" w:rsidRPr="00EC42C3" w:rsidRDefault="00EC42C3" w:rsidP="00FD1C18">
      <w:pPr>
        <w:pStyle w:val="Prrafodelista"/>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En conclusión, la exclusión de los compañeros permanentes lesiona los principios de igualdad y de protección a la familia. Además, genera un perjuicio patrimonial injustificado, pues les impide recuperar bienes que legítimamente les corresponderían. Por el</w:t>
      </w:r>
      <w:r w:rsidRPr="00EC42C3">
        <w:rPr>
          <w:rFonts w:ascii="Times New Roman" w:hAnsi="Times New Roman" w:cs="Times New Roman"/>
          <w:sz w:val="28"/>
          <w:szCs w:val="28"/>
        </w:rPr>
        <w:t>lo, se solicita a la Corte declarar la exequibilidad condicionada de la norma, para que se entienda que también están legitimados los compañeros permanentes para solicitar la rescisión del decreto de posesión por reaparición.</w:t>
      </w:r>
    </w:p>
    <w:p w:rsidR="00FD1C18" w:rsidRPr="00EC42C3" w:rsidRDefault="00EC42C3" w:rsidP="00FD1C18">
      <w:pPr>
        <w:pStyle w:val="Prrafodelista"/>
        <w:rPr>
          <w:rFonts w:ascii="Times New Roman" w:hAnsi="Times New Roman" w:cs="Times New Roman"/>
          <w:b/>
          <w:bCs/>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b/>
          <w:bCs/>
          <w:sz w:val="28"/>
          <w:szCs w:val="28"/>
        </w:rPr>
      </w:pPr>
      <w:r w:rsidRPr="00EC42C3">
        <w:rPr>
          <w:rFonts w:ascii="Times New Roman" w:hAnsi="Times New Roman" w:cs="Times New Roman"/>
          <w:b/>
          <w:bCs/>
          <w:sz w:val="28"/>
          <w:szCs w:val="28"/>
        </w:rPr>
        <w:t>Síntesis de las intervencione</w:t>
      </w:r>
      <w:r w:rsidRPr="00EC42C3">
        <w:rPr>
          <w:rFonts w:ascii="Times New Roman" w:hAnsi="Times New Roman" w:cs="Times New Roman"/>
          <w:b/>
          <w:bCs/>
          <w:sz w:val="28"/>
          <w:szCs w:val="28"/>
        </w:rPr>
        <w:t xml:space="preserve">s o conceptos técnicos. </w:t>
      </w:r>
      <w:r w:rsidRPr="00EC42C3">
        <w:rPr>
          <w:rFonts w:ascii="Times New Roman" w:hAnsi="Times New Roman" w:cs="Times New Roman"/>
          <w:sz w:val="28"/>
          <w:szCs w:val="28"/>
        </w:rPr>
        <w:t xml:space="preserve">Las solicitudes realizadas por los intervinientes o por quienes rindieron concepto técnico se sintetizan en el siguiente cuadro: </w:t>
      </w:r>
    </w:p>
    <w:p w:rsidR="00FD1C18" w:rsidRPr="00EC42C3" w:rsidRDefault="00EC42C3" w:rsidP="00FD1C18">
      <w:pPr>
        <w:rPr>
          <w:rFonts w:ascii="Times New Roman" w:hAnsi="Times New Roman" w:cs="Times New Roman"/>
          <w:b/>
          <w:bCs/>
          <w:sz w:val="28"/>
          <w:szCs w:val="28"/>
        </w:rPr>
      </w:pPr>
    </w:p>
    <w:tbl>
      <w:tblPr>
        <w:tblStyle w:val="Tablaconcuadrcula"/>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120"/>
        <w:gridCol w:w="3120"/>
        <w:gridCol w:w="3119"/>
      </w:tblGrid>
      <w:tr w:rsidR="00743C5C" w:rsidRPr="00EC42C3" w:rsidTr="008E2350">
        <w:trPr>
          <w:jc w:val="center"/>
        </w:trPr>
        <w:tc>
          <w:tcPr>
            <w:tcW w:w="3120" w:type="dxa"/>
          </w:tcPr>
          <w:p w:rsidR="00FD1C18" w:rsidRPr="00EC42C3" w:rsidRDefault="00EC42C3" w:rsidP="00545109">
            <w:pPr>
              <w:pStyle w:val="Prrafodelista"/>
              <w:ind w:left="0"/>
              <w:jc w:val="center"/>
              <w:rPr>
                <w:rFonts w:ascii="Times New Roman" w:hAnsi="Times New Roman" w:cs="Times New Roman"/>
                <w:b/>
                <w:bCs/>
                <w:sz w:val="28"/>
                <w:szCs w:val="28"/>
              </w:rPr>
            </w:pPr>
            <w:r w:rsidRPr="00EC42C3">
              <w:rPr>
                <w:rFonts w:ascii="Times New Roman" w:hAnsi="Times New Roman" w:cs="Times New Roman"/>
                <w:b/>
                <w:bCs/>
                <w:sz w:val="28"/>
                <w:szCs w:val="28"/>
              </w:rPr>
              <w:t>Interviniente / Entidad</w:t>
            </w:r>
          </w:p>
        </w:tc>
        <w:tc>
          <w:tcPr>
            <w:tcW w:w="3120" w:type="dxa"/>
          </w:tcPr>
          <w:p w:rsidR="00FD1C18" w:rsidRPr="00EC42C3" w:rsidRDefault="00EC42C3" w:rsidP="00545109">
            <w:pPr>
              <w:pStyle w:val="Prrafodelista"/>
              <w:ind w:left="0"/>
              <w:jc w:val="center"/>
              <w:rPr>
                <w:rFonts w:ascii="Times New Roman" w:hAnsi="Times New Roman" w:cs="Times New Roman"/>
                <w:b/>
                <w:bCs/>
                <w:sz w:val="28"/>
                <w:szCs w:val="28"/>
              </w:rPr>
            </w:pPr>
            <w:r w:rsidRPr="00EC42C3">
              <w:rPr>
                <w:rFonts w:ascii="Times New Roman" w:hAnsi="Times New Roman" w:cs="Times New Roman"/>
                <w:b/>
                <w:bCs/>
                <w:sz w:val="28"/>
                <w:szCs w:val="28"/>
              </w:rPr>
              <w:t>Solicitud</w:t>
            </w:r>
          </w:p>
        </w:tc>
        <w:tc>
          <w:tcPr>
            <w:tcW w:w="3119" w:type="dxa"/>
          </w:tcPr>
          <w:p w:rsidR="00FD1C18" w:rsidRPr="00EC42C3" w:rsidRDefault="00EC42C3" w:rsidP="00545109">
            <w:pPr>
              <w:pStyle w:val="Prrafodelista"/>
              <w:ind w:left="0"/>
              <w:jc w:val="center"/>
              <w:rPr>
                <w:rFonts w:ascii="Times New Roman" w:hAnsi="Times New Roman" w:cs="Times New Roman"/>
                <w:b/>
                <w:bCs/>
                <w:sz w:val="28"/>
                <w:szCs w:val="28"/>
              </w:rPr>
            </w:pPr>
            <w:r w:rsidRPr="00EC42C3">
              <w:rPr>
                <w:rFonts w:ascii="Times New Roman" w:hAnsi="Times New Roman" w:cs="Times New Roman"/>
                <w:b/>
                <w:bCs/>
                <w:sz w:val="28"/>
                <w:szCs w:val="28"/>
              </w:rPr>
              <w:t>Petición subsidiaria</w:t>
            </w:r>
          </w:p>
        </w:tc>
      </w:tr>
      <w:tr w:rsidR="00743C5C" w:rsidRPr="00EC42C3" w:rsidTr="008E2350">
        <w:trPr>
          <w:jc w:val="center"/>
        </w:trPr>
        <w:tc>
          <w:tcPr>
            <w:tcW w:w="3120" w:type="dxa"/>
          </w:tcPr>
          <w:p w:rsidR="00FD1C18" w:rsidRPr="00EC42C3" w:rsidRDefault="00EC42C3" w:rsidP="00545109">
            <w:pPr>
              <w:pStyle w:val="Prrafodelista"/>
              <w:ind w:left="0"/>
              <w:jc w:val="both"/>
              <w:rPr>
                <w:rFonts w:ascii="Times New Roman" w:hAnsi="Times New Roman" w:cs="Times New Roman"/>
                <w:sz w:val="28"/>
                <w:szCs w:val="28"/>
              </w:rPr>
            </w:pPr>
            <w:r w:rsidRPr="00EC42C3">
              <w:rPr>
                <w:rFonts w:ascii="Times New Roman" w:hAnsi="Times New Roman" w:cs="Times New Roman"/>
                <w:sz w:val="28"/>
                <w:szCs w:val="28"/>
              </w:rPr>
              <w:t xml:space="preserve">Institución Universitaria Colegios de </w:t>
            </w:r>
            <w:r w:rsidRPr="00EC42C3">
              <w:rPr>
                <w:rFonts w:ascii="Times New Roman" w:hAnsi="Times New Roman" w:cs="Times New Roman"/>
                <w:sz w:val="28"/>
                <w:szCs w:val="28"/>
              </w:rPr>
              <w:t>Colombia -UNICOC-</w:t>
            </w:r>
          </w:p>
        </w:tc>
        <w:tc>
          <w:tcPr>
            <w:tcW w:w="3120" w:type="dxa"/>
          </w:tcPr>
          <w:p w:rsidR="00FD1C18" w:rsidRPr="00EC42C3" w:rsidRDefault="00EC42C3" w:rsidP="00545109">
            <w:pPr>
              <w:pStyle w:val="Prrafodelista"/>
              <w:ind w:left="0"/>
              <w:jc w:val="center"/>
              <w:rPr>
                <w:rFonts w:ascii="Times New Roman" w:hAnsi="Times New Roman" w:cs="Times New Roman"/>
                <w:sz w:val="28"/>
                <w:szCs w:val="28"/>
              </w:rPr>
            </w:pPr>
            <w:r w:rsidRPr="00EC42C3">
              <w:rPr>
                <w:rFonts w:ascii="Times New Roman" w:hAnsi="Times New Roman" w:cs="Times New Roman"/>
                <w:sz w:val="28"/>
                <w:szCs w:val="28"/>
              </w:rPr>
              <w:t>Exequibilidad condicionada</w:t>
            </w:r>
          </w:p>
        </w:tc>
        <w:tc>
          <w:tcPr>
            <w:tcW w:w="3119" w:type="dxa"/>
          </w:tcPr>
          <w:p w:rsidR="00FD1C18" w:rsidRPr="00EC42C3" w:rsidRDefault="00EC42C3" w:rsidP="00545109">
            <w:pPr>
              <w:pStyle w:val="Prrafodelista"/>
              <w:ind w:left="0"/>
              <w:jc w:val="center"/>
              <w:rPr>
                <w:rFonts w:ascii="Times New Roman" w:hAnsi="Times New Roman" w:cs="Times New Roman"/>
                <w:sz w:val="28"/>
                <w:szCs w:val="28"/>
              </w:rPr>
            </w:pPr>
            <w:r w:rsidRPr="00EC42C3">
              <w:rPr>
                <w:rFonts w:ascii="Times New Roman" w:hAnsi="Times New Roman" w:cs="Times New Roman"/>
                <w:sz w:val="28"/>
                <w:szCs w:val="28"/>
              </w:rPr>
              <w:t>-</w:t>
            </w:r>
          </w:p>
        </w:tc>
      </w:tr>
      <w:tr w:rsidR="00743C5C" w:rsidRPr="00EC42C3" w:rsidTr="008E2350">
        <w:trPr>
          <w:trHeight w:val="587"/>
          <w:jc w:val="center"/>
        </w:trPr>
        <w:tc>
          <w:tcPr>
            <w:tcW w:w="3120" w:type="dxa"/>
          </w:tcPr>
          <w:p w:rsidR="00FD1C18" w:rsidRPr="00EC42C3" w:rsidRDefault="00EC42C3" w:rsidP="00545109">
            <w:pPr>
              <w:pStyle w:val="Prrafodelista"/>
              <w:ind w:left="0"/>
              <w:rPr>
                <w:rFonts w:ascii="Times New Roman" w:hAnsi="Times New Roman" w:cs="Times New Roman"/>
                <w:sz w:val="28"/>
                <w:szCs w:val="28"/>
              </w:rPr>
            </w:pPr>
            <w:r w:rsidRPr="00EC42C3">
              <w:rPr>
                <w:rFonts w:ascii="Times New Roman" w:hAnsi="Times New Roman" w:cs="Times New Roman"/>
                <w:sz w:val="28"/>
                <w:szCs w:val="28"/>
              </w:rPr>
              <w:t>Consultorio Jurídico de la Universidad de los Andes</w:t>
            </w:r>
          </w:p>
        </w:tc>
        <w:tc>
          <w:tcPr>
            <w:tcW w:w="3120" w:type="dxa"/>
          </w:tcPr>
          <w:p w:rsidR="00FD1C18" w:rsidRPr="00EC42C3" w:rsidRDefault="00EC42C3" w:rsidP="00545109">
            <w:pPr>
              <w:pStyle w:val="Prrafodelista"/>
              <w:ind w:left="0"/>
              <w:jc w:val="center"/>
              <w:rPr>
                <w:rFonts w:ascii="Times New Roman" w:hAnsi="Times New Roman" w:cs="Times New Roman"/>
                <w:b/>
                <w:bCs/>
                <w:sz w:val="28"/>
                <w:szCs w:val="28"/>
              </w:rPr>
            </w:pPr>
            <w:r w:rsidRPr="00EC42C3">
              <w:rPr>
                <w:rFonts w:ascii="Times New Roman" w:hAnsi="Times New Roman" w:cs="Times New Roman"/>
                <w:sz w:val="28"/>
                <w:szCs w:val="28"/>
              </w:rPr>
              <w:t>Exequibilidad condicionada</w:t>
            </w:r>
          </w:p>
        </w:tc>
        <w:tc>
          <w:tcPr>
            <w:tcW w:w="3119" w:type="dxa"/>
          </w:tcPr>
          <w:p w:rsidR="00FD1C18" w:rsidRPr="00EC42C3" w:rsidRDefault="00EC42C3" w:rsidP="00545109">
            <w:pPr>
              <w:pStyle w:val="Prrafodelista"/>
              <w:ind w:left="0"/>
              <w:jc w:val="center"/>
              <w:rPr>
                <w:rFonts w:ascii="Times New Roman" w:hAnsi="Times New Roman" w:cs="Times New Roman"/>
                <w:sz w:val="28"/>
                <w:szCs w:val="28"/>
              </w:rPr>
            </w:pPr>
            <w:r w:rsidRPr="00EC42C3">
              <w:rPr>
                <w:rFonts w:ascii="Times New Roman" w:hAnsi="Times New Roman" w:cs="Times New Roman"/>
                <w:sz w:val="28"/>
                <w:szCs w:val="28"/>
              </w:rPr>
              <w:t>-</w:t>
            </w:r>
          </w:p>
        </w:tc>
      </w:tr>
      <w:tr w:rsidR="00743C5C" w:rsidRPr="00EC42C3" w:rsidTr="008E2350">
        <w:trPr>
          <w:jc w:val="center"/>
        </w:trPr>
        <w:tc>
          <w:tcPr>
            <w:tcW w:w="3120" w:type="dxa"/>
          </w:tcPr>
          <w:p w:rsidR="00FD1C18" w:rsidRPr="00EC42C3" w:rsidRDefault="00EC42C3" w:rsidP="00545109">
            <w:pPr>
              <w:pStyle w:val="Prrafodelista"/>
              <w:ind w:left="0"/>
              <w:rPr>
                <w:rFonts w:ascii="Times New Roman" w:hAnsi="Times New Roman" w:cs="Times New Roman"/>
                <w:sz w:val="28"/>
                <w:szCs w:val="28"/>
              </w:rPr>
            </w:pPr>
            <w:r w:rsidRPr="00EC42C3">
              <w:rPr>
                <w:rFonts w:ascii="Times New Roman" w:hAnsi="Times New Roman" w:cs="Times New Roman"/>
                <w:sz w:val="28"/>
                <w:szCs w:val="28"/>
              </w:rPr>
              <w:t>Universidad Sergio Arboleda</w:t>
            </w:r>
          </w:p>
        </w:tc>
        <w:tc>
          <w:tcPr>
            <w:tcW w:w="3120" w:type="dxa"/>
          </w:tcPr>
          <w:p w:rsidR="00FD1C18" w:rsidRPr="00EC42C3" w:rsidRDefault="00EC42C3" w:rsidP="00545109">
            <w:pPr>
              <w:pStyle w:val="Prrafodelista"/>
              <w:ind w:left="0"/>
              <w:jc w:val="center"/>
              <w:rPr>
                <w:rFonts w:ascii="Times New Roman" w:hAnsi="Times New Roman" w:cs="Times New Roman"/>
                <w:sz w:val="28"/>
                <w:szCs w:val="28"/>
              </w:rPr>
            </w:pPr>
            <w:r w:rsidRPr="00EC42C3">
              <w:rPr>
                <w:rFonts w:ascii="Times New Roman" w:hAnsi="Times New Roman" w:cs="Times New Roman"/>
                <w:sz w:val="28"/>
                <w:szCs w:val="28"/>
              </w:rPr>
              <w:t>Exequibilidad condicionada</w:t>
            </w:r>
          </w:p>
        </w:tc>
        <w:tc>
          <w:tcPr>
            <w:tcW w:w="3119" w:type="dxa"/>
          </w:tcPr>
          <w:p w:rsidR="00FD1C18" w:rsidRPr="00EC42C3" w:rsidRDefault="00EC42C3" w:rsidP="00545109">
            <w:pPr>
              <w:pStyle w:val="Prrafodelista"/>
              <w:ind w:left="0"/>
              <w:jc w:val="center"/>
              <w:rPr>
                <w:rFonts w:ascii="Times New Roman" w:hAnsi="Times New Roman" w:cs="Times New Roman"/>
                <w:sz w:val="28"/>
                <w:szCs w:val="28"/>
              </w:rPr>
            </w:pPr>
          </w:p>
        </w:tc>
      </w:tr>
      <w:tr w:rsidR="00743C5C" w:rsidRPr="00EC42C3" w:rsidTr="008E2350">
        <w:trPr>
          <w:jc w:val="center"/>
        </w:trPr>
        <w:tc>
          <w:tcPr>
            <w:tcW w:w="3120" w:type="dxa"/>
          </w:tcPr>
          <w:p w:rsidR="00FD1C18" w:rsidRPr="00EC42C3" w:rsidRDefault="00EC42C3" w:rsidP="00545109">
            <w:pPr>
              <w:pStyle w:val="Prrafodelista"/>
              <w:ind w:left="0"/>
              <w:rPr>
                <w:rFonts w:ascii="Times New Roman" w:hAnsi="Times New Roman" w:cs="Times New Roman"/>
                <w:sz w:val="28"/>
                <w:szCs w:val="28"/>
              </w:rPr>
            </w:pPr>
            <w:r w:rsidRPr="00EC42C3">
              <w:rPr>
                <w:rFonts w:ascii="Times New Roman" w:hAnsi="Times New Roman" w:cs="Times New Roman"/>
                <w:sz w:val="28"/>
                <w:szCs w:val="28"/>
              </w:rPr>
              <w:t>Ministerio de Justicia y del Derecho</w:t>
            </w:r>
          </w:p>
        </w:tc>
        <w:tc>
          <w:tcPr>
            <w:tcW w:w="3120" w:type="dxa"/>
          </w:tcPr>
          <w:p w:rsidR="00FD1C18" w:rsidRPr="00EC42C3" w:rsidRDefault="00EC42C3" w:rsidP="00545109">
            <w:pPr>
              <w:pStyle w:val="Prrafodelista"/>
              <w:ind w:left="0"/>
              <w:jc w:val="center"/>
              <w:rPr>
                <w:rFonts w:ascii="Times New Roman" w:hAnsi="Times New Roman" w:cs="Times New Roman"/>
                <w:sz w:val="28"/>
                <w:szCs w:val="28"/>
              </w:rPr>
            </w:pPr>
            <w:r w:rsidRPr="00EC42C3">
              <w:rPr>
                <w:rFonts w:ascii="Times New Roman" w:hAnsi="Times New Roman" w:cs="Times New Roman"/>
                <w:sz w:val="28"/>
                <w:szCs w:val="28"/>
              </w:rPr>
              <w:t>Exequibilidad condicionada</w:t>
            </w:r>
          </w:p>
        </w:tc>
        <w:tc>
          <w:tcPr>
            <w:tcW w:w="3119" w:type="dxa"/>
          </w:tcPr>
          <w:p w:rsidR="00FD1C18" w:rsidRPr="00EC42C3" w:rsidRDefault="00EC42C3" w:rsidP="00545109">
            <w:pPr>
              <w:pStyle w:val="Prrafodelista"/>
              <w:ind w:left="0"/>
              <w:jc w:val="center"/>
              <w:rPr>
                <w:rFonts w:ascii="Times New Roman" w:hAnsi="Times New Roman" w:cs="Times New Roman"/>
                <w:sz w:val="28"/>
                <w:szCs w:val="28"/>
              </w:rPr>
            </w:pPr>
            <w:r w:rsidRPr="00EC42C3">
              <w:rPr>
                <w:rFonts w:ascii="Times New Roman" w:hAnsi="Times New Roman" w:cs="Times New Roman"/>
                <w:sz w:val="28"/>
                <w:szCs w:val="28"/>
              </w:rPr>
              <w:t>-</w:t>
            </w:r>
          </w:p>
        </w:tc>
      </w:tr>
      <w:tr w:rsidR="00743C5C" w:rsidRPr="00EC42C3" w:rsidTr="008E2350">
        <w:trPr>
          <w:jc w:val="center"/>
        </w:trPr>
        <w:tc>
          <w:tcPr>
            <w:tcW w:w="3120" w:type="dxa"/>
          </w:tcPr>
          <w:p w:rsidR="00FD1C18" w:rsidRPr="00EC42C3" w:rsidRDefault="00EC42C3" w:rsidP="00545109">
            <w:pPr>
              <w:pStyle w:val="Prrafodelista"/>
              <w:ind w:left="0"/>
              <w:rPr>
                <w:rFonts w:ascii="Times New Roman" w:hAnsi="Times New Roman" w:cs="Times New Roman"/>
                <w:sz w:val="28"/>
                <w:szCs w:val="28"/>
              </w:rPr>
            </w:pPr>
            <w:r w:rsidRPr="00EC42C3">
              <w:rPr>
                <w:rFonts w:ascii="Times New Roman" w:hAnsi="Times New Roman" w:cs="Times New Roman"/>
                <w:sz w:val="28"/>
                <w:szCs w:val="28"/>
              </w:rPr>
              <w:t>Ministerio de Relaciones Exteriores</w:t>
            </w:r>
          </w:p>
        </w:tc>
        <w:tc>
          <w:tcPr>
            <w:tcW w:w="3120" w:type="dxa"/>
          </w:tcPr>
          <w:p w:rsidR="00FD1C18" w:rsidRPr="00EC42C3" w:rsidRDefault="00EC42C3" w:rsidP="00545109">
            <w:pPr>
              <w:pStyle w:val="Prrafodelista"/>
              <w:ind w:left="0"/>
              <w:jc w:val="center"/>
              <w:rPr>
                <w:rFonts w:ascii="Times New Roman" w:hAnsi="Times New Roman" w:cs="Times New Roman"/>
                <w:b/>
                <w:bCs/>
                <w:sz w:val="28"/>
                <w:szCs w:val="28"/>
              </w:rPr>
            </w:pPr>
            <w:r w:rsidRPr="00EC42C3">
              <w:rPr>
                <w:rFonts w:ascii="Times New Roman" w:hAnsi="Times New Roman" w:cs="Times New Roman"/>
                <w:sz w:val="28"/>
                <w:szCs w:val="28"/>
              </w:rPr>
              <w:t>Exequibilidad condicionada</w:t>
            </w:r>
          </w:p>
        </w:tc>
        <w:tc>
          <w:tcPr>
            <w:tcW w:w="3119" w:type="dxa"/>
          </w:tcPr>
          <w:p w:rsidR="00FD1C18" w:rsidRPr="00EC42C3" w:rsidRDefault="00EC42C3" w:rsidP="00545109">
            <w:pPr>
              <w:pStyle w:val="Prrafodelista"/>
              <w:ind w:left="0"/>
              <w:jc w:val="center"/>
              <w:rPr>
                <w:rFonts w:ascii="Times New Roman" w:hAnsi="Times New Roman" w:cs="Times New Roman"/>
                <w:sz w:val="28"/>
                <w:szCs w:val="28"/>
              </w:rPr>
            </w:pPr>
            <w:r w:rsidRPr="00EC42C3">
              <w:rPr>
                <w:rFonts w:ascii="Times New Roman" w:hAnsi="Times New Roman" w:cs="Times New Roman"/>
                <w:sz w:val="28"/>
                <w:szCs w:val="28"/>
              </w:rPr>
              <w:t>-</w:t>
            </w:r>
          </w:p>
        </w:tc>
      </w:tr>
      <w:tr w:rsidR="00743C5C" w:rsidRPr="00EC42C3" w:rsidTr="008E2350">
        <w:trPr>
          <w:jc w:val="center"/>
        </w:trPr>
        <w:tc>
          <w:tcPr>
            <w:tcW w:w="3120" w:type="dxa"/>
          </w:tcPr>
          <w:p w:rsidR="00FD1C18" w:rsidRPr="00EC42C3" w:rsidRDefault="00EC42C3" w:rsidP="00545109">
            <w:pPr>
              <w:pStyle w:val="Prrafodelista"/>
              <w:ind w:left="0"/>
              <w:rPr>
                <w:rFonts w:ascii="Times New Roman" w:hAnsi="Times New Roman" w:cs="Times New Roman"/>
                <w:sz w:val="28"/>
                <w:szCs w:val="28"/>
              </w:rPr>
            </w:pPr>
            <w:r w:rsidRPr="00EC42C3">
              <w:rPr>
                <w:rFonts w:ascii="Times New Roman" w:hAnsi="Times New Roman" w:cs="Times New Roman"/>
                <w:sz w:val="28"/>
                <w:szCs w:val="28"/>
              </w:rPr>
              <w:t>Universidad Pontificia Bolivariana</w:t>
            </w:r>
          </w:p>
        </w:tc>
        <w:tc>
          <w:tcPr>
            <w:tcW w:w="3120" w:type="dxa"/>
          </w:tcPr>
          <w:p w:rsidR="00FD1C18" w:rsidRPr="00EC42C3" w:rsidRDefault="00EC42C3" w:rsidP="00545109">
            <w:pPr>
              <w:pStyle w:val="Prrafodelista"/>
              <w:ind w:left="0"/>
              <w:jc w:val="center"/>
              <w:rPr>
                <w:rFonts w:ascii="Times New Roman" w:hAnsi="Times New Roman" w:cs="Times New Roman"/>
                <w:b/>
                <w:bCs/>
                <w:sz w:val="28"/>
                <w:szCs w:val="28"/>
              </w:rPr>
            </w:pPr>
            <w:r w:rsidRPr="00EC42C3">
              <w:rPr>
                <w:rFonts w:ascii="Times New Roman" w:hAnsi="Times New Roman" w:cs="Times New Roman"/>
                <w:sz w:val="28"/>
                <w:szCs w:val="28"/>
              </w:rPr>
              <w:t>Exequibilidad condicionada</w:t>
            </w:r>
          </w:p>
        </w:tc>
        <w:tc>
          <w:tcPr>
            <w:tcW w:w="3119" w:type="dxa"/>
          </w:tcPr>
          <w:p w:rsidR="00FD1C18" w:rsidRPr="00EC42C3" w:rsidRDefault="00EC42C3" w:rsidP="00545109">
            <w:pPr>
              <w:pStyle w:val="Prrafodelista"/>
              <w:ind w:left="0"/>
              <w:jc w:val="center"/>
              <w:rPr>
                <w:rFonts w:ascii="Times New Roman" w:hAnsi="Times New Roman" w:cs="Times New Roman"/>
                <w:sz w:val="28"/>
                <w:szCs w:val="28"/>
              </w:rPr>
            </w:pPr>
            <w:r w:rsidRPr="00EC42C3">
              <w:rPr>
                <w:rFonts w:ascii="Times New Roman" w:hAnsi="Times New Roman" w:cs="Times New Roman"/>
                <w:sz w:val="28"/>
                <w:szCs w:val="28"/>
              </w:rPr>
              <w:t>-</w:t>
            </w:r>
          </w:p>
        </w:tc>
      </w:tr>
      <w:tr w:rsidR="00743C5C" w:rsidRPr="00EC42C3" w:rsidTr="008E2350">
        <w:trPr>
          <w:jc w:val="center"/>
        </w:trPr>
        <w:tc>
          <w:tcPr>
            <w:tcW w:w="3120" w:type="dxa"/>
          </w:tcPr>
          <w:p w:rsidR="00FD1C18" w:rsidRPr="00EC42C3" w:rsidRDefault="00EC42C3" w:rsidP="00545109">
            <w:pPr>
              <w:pStyle w:val="Prrafodelista"/>
              <w:ind w:left="0"/>
              <w:rPr>
                <w:rFonts w:ascii="Times New Roman" w:hAnsi="Times New Roman" w:cs="Times New Roman"/>
                <w:sz w:val="28"/>
                <w:szCs w:val="28"/>
              </w:rPr>
            </w:pPr>
            <w:r w:rsidRPr="00EC42C3">
              <w:rPr>
                <w:rFonts w:ascii="Times New Roman" w:hAnsi="Times New Roman" w:cs="Times New Roman"/>
                <w:sz w:val="28"/>
                <w:szCs w:val="28"/>
              </w:rPr>
              <w:t xml:space="preserve">Defensoría del Pueblo </w:t>
            </w:r>
          </w:p>
        </w:tc>
        <w:tc>
          <w:tcPr>
            <w:tcW w:w="3120" w:type="dxa"/>
          </w:tcPr>
          <w:p w:rsidR="00FD1C18" w:rsidRPr="00EC42C3" w:rsidRDefault="00EC42C3" w:rsidP="00545109">
            <w:pPr>
              <w:pStyle w:val="Prrafodelista"/>
              <w:ind w:left="0"/>
              <w:jc w:val="center"/>
              <w:rPr>
                <w:rFonts w:ascii="Times New Roman" w:hAnsi="Times New Roman" w:cs="Times New Roman"/>
                <w:b/>
                <w:bCs/>
                <w:sz w:val="28"/>
                <w:szCs w:val="28"/>
              </w:rPr>
            </w:pPr>
            <w:r w:rsidRPr="00EC42C3">
              <w:rPr>
                <w:rFonts w:ascii="Times New Roman" w:hAnsi="Times New Roman" w:cs="Times New Roman"/>
                <w:sz w:val="28"/>
                <w:szCs w:val="28"/>
              </w:rPr>
              <w:t>Exequibilidad condicionada</w:t>
            </w:r>
          </w:p>
        </w:tc>
        <w:tc>
          <w:tcPr>
            <w:tcW w:w="3119" w:type="dxa"/>
          </w:tcPr>
          <w:p w:rsidR="00FD1C18" w:rsidRPr="00EC42C3" w:rsidRDefault="00EC42C3" w:rsidP="00545109">
            <w:pPr>
              <w:pStyle w:val="Prrafodelista"/>
              <w:ind w:left="0"/>
              <w:jc w:val="center"/>
              <w:rPr>
                <w:rFonts w:ascii="Times New Roman" w:hAnsi="Times New Roman" w:cs="Times New Roman"/>
                <w:sz w:val="28"/>
                <w:szCs w:val="28"/>
              </w:rPr>
            </w:pPr>
            <w:r w:rsidRPr="00EC42C3">
              <w:rPr>
                <w:rFonts w:ascii="Times New Roman" w:hAnsi="Times New Roman" w:cs="Times New Roman"/>
                <w:sz w:val="28"/>
                <w:szCs w:val="28"/>
              </w:rPr>
              <w:t>-</w:t>
            </w:r>
          </w:p>
        </w:tc>
      </w:tr>
      <w:tr w:rsidR="00743C5C" w:rsidRPr="00EC42C3" w:rsidTr="008E2350">
        <w:trPr>
          <w:jc w:val="center"/>
        </w:trPr>
        <w:tc>
          <w:tcPr>
            <w:tcW w:w="3120" w:type="dxa"/>
          </w:tcPr>
          <w:p w:rsidR="00FD1C18" w:rsidRPr="00EC42C3" w:rsidRDefault="00EC42C3" w:rsidP="00545109">
            <w:pPr>
              <w:pStyle w:val="Prrafodelista"/>
              <w:ind w:left="0"/>
              <w:rPr>
                <w:rFonts w:ascii="Times New Roman" w:hAnsi="Times New Roman" w:cs="Times New Roman"/>
                <w:sz w:val="28"/>
                <w:szCs w:val="28"/>
              </w:rPr>
            </w:pPr>
            <w:r w:rsidRPr="00EC42C3">
              <w:rPr>
                <w:rFonts w:ascii="Times New Roman" w:hAnsi="Times New Roman" w:cs="Times New Roman"/>
                <w:sz w:val="28"/>
                <w:szCs w:val="28"/>
              </w:rPr>
              <w:t>Instituto Colombiano de Derecho Procesal -ICDP-</w:t>
            </w:r>
          </w:p>
        </w:tc>
        <w:tc>
          <w:tcPr>
            <w:tcW w:w="3120" w:type="dxa"/>
          </w:tcPr>
          <w:p w:rsidR="00FD1C18" w:rsidRPr="00EC42C3" w:rsidRDefault="00EC42C3" w:rsidP="00545109">
            <w:pPr>
              <w:pStyle w:val="Prrafodelista"/>
              <w:ind w:left="0"/>
              <w:jc w:val="center"/>
              <w:rPr>
                <w:rFonts w:ascii="Times New Roman" w:hAnsi="Times New Roman" w:cs="Times New Roman"/>
                <w:sz w:val="28"/>
                <w:szCs w:val="28"/>
              </w:rPr>
            </w:pPr>
            <w:r w:rsidRPr="00EC42C3">
              <w:rPr>
                <w:rFonts w:ascii="Times New Roman" w:hAnsi="Times New Roman" w:cs="Times New Roman"/>
                <w:sz w:val="28"/>
                <w:szCs w:val="28"/>
              </w:rPr>
              <w:t>Exequibilidad condiciona</w:t>
            </w:r>
            <w:r w:rsidRPr="00EC42C3">
              <w:rPr>
                <w:rFonts w:ascii="Times New Roman" w:hAnsi="Times New Roman" w:cs="Times New Roman"/>
                <w:sz w:val="28"/>
                <w:szCs w:val="28"/>
              </w:rPr>
              <w:t>da</w:t>
            </w:r>
          </w:p>
        </w:tc>
        <w:tc>
          <w:tcPr>
            <w:tcW w:w="3119" w:type="dxa"/>
          </w:tcPr>
          <w:p w:rsidR="00FD1C18" w:rsidRPr="00EC42C3" w:rsidRDefault="00EC42C3" w:rsidP="00545109">
            <w:pPr>
              <w:pStyle w:val="Prrafodelista"/>
              <w:ind w:left="0"/>
              <w:jc w:val="center"/>
              <w:rPr>
                <w:rFonts w:ascii="Times New Roman" w:hAnsi="Times New Roman" w:cs="Times New Roman"/>
                <w:sz w:val="28"/>
                <w:szCs w:val="28"/>
              </w:rPr>
            </w:pPr>
            <w:r w:rsidRPr="00EC42C3">
              <w:rPr>
                <w:rFonts w:ascii="Times New Roman" w:hAnsi="Times New Roman" w:cs="Times New Roman"/>
                <w:sz w:val="28"/>
                <w:szCs w:val="28"/>
              </w:rPr>
              <w:t>-</w:t>
            </w:r>
          </w:p>
        </w:tc>
      </w:tr>
      <w:tr w:rsidR="00743C5C" w:rsidRPr="00EC42C3" w:rsidTr="008E2350">
        <w:trPr>
          <w:jc w:val="center"/>
        </w:trPr>
        <w:tc>
          <w:tcPr>
            <w:tcW w:w="3120" w:type="dxa"/>
          </w:tcPr>
          <w:p w:rsidR="00FD1C18" w:rsidRPr="00EC42C3" w:rsidRDefault="00EC42C3" w:rsidP="00545109">
            <w:pPr>
              <w:pStyle w:val="Prrafodelista"/>
              <w:ind w:left="0"/>
              <w:rPr>
                <w:rFonts w:ascii="Times New Roman" w:hAnsi="Times New Roman" w:cs="Times New Roman"/>
                <w:sz w:val="28"/>
                <w:szCs w:val="28"/>
              </w:rPr>
            </w:pPr>
            <w:r w:rsidRPr="00EC42C3">
              <w:rPr>
                <w:rFonts w:ascii="Times New Roman" w:hAnsi="Times New Roman" w:cs="Times New Roman"/>
                <w:sz w:val="28"/>
                <w:szCs w:val="28"/>
              </w:rPr>
              <w:t>Universidad Externado de Colombia</w:t>
            </w:r>
          </w:p>
        </w:tc>
        <w:tc>
          <w:tcPr>
            <w:tcW w:w="3120" w:type="dxa"/>
          </w:tcPr>
          <w:p w:rsidR="00FD1C18" w:rsidRPr="00EC42C3" w:rsidRDefault="00EC42C3" w:rsidP="00545109">
            <w:pPr>
              <w:pStyle w:val="Prrafodelista"/>
              <w:ind w:left="0"/>
              <w:jc w:val="center"/>
              <w:rPr>
                <w:rFonts w:ascii="Times New Roman" w:hAnsi="Times New Roman" w:cs="Times New Roman"/>
                <w:sz w:val="28"/>
                <w:szCs w:val="28"/>
              </w:rPr>
            </w:pPr>
            <w:r w:rsidRPr="00EC42C3">
              <w:rPr>
                <w:rFonts w:ascii="Times New Roman" w:hAnsi="Times New Roman" w:cs="Times New Roman"/>
                <w:sz w:val="28"/>
                <w:szCs w:val="28"/>
              </w:rPr>
              <w:t>Exequibilidad condicionada</w:t>
            </w:r>
          </w:p>
        </w:tc>
        <w:tc>
          <w:tcPr>
            <w:tcW w:w="3119" w:type="dxa"/>
          </w:tcPr>
          <w:p w:rsidR="00FD1C18" w:rsidRPr="00EC42C3" w:rsidRDefault="00EC42C3" w:rsidP="00545109">
            <w:pPr>
              <w:pStyle w:val="Prrafodelista"/>
              <w:ind w:left="0"/>
              <w:jc w:val="center"/>
              <w:rPr>
                <w:rFonts w:ascii="Times New Roman" w:hAnsi="Times New Roman" w:cs="Times New Roman"/>
                <w:sz w:val="28"/>
                <w:szCs w:val="28"/>
              </w:rPr>
            </w:pPr>
            <w:r w:rsidRPr="00EC42C3">
              <w:rPr>
                <w:rFonts w:ascii="Times New Roman" w:hAnsi="Times New Roman" w:cs="Times New Roman"/>
                <w:sz w:val="28"/>
                <w:szCs w:val="28"/>
              </w:rPr>
              <w:t>-</w:t>
            </w:r>
          </w:p>
        </w:tc>
      </w:tr>
      <w:tr w:rsidR="00FD1C18" w:rsidRPr="00EC42C3" w:rsidTr="008E2350">
        <w:trPr>
          <w:jc w:val="center"/>
        </w:trPr>
        <w:tc>
          <w:tcPr>
            <w:tcW w:w="3120" w:type="dxa"/>
          </w:tcPr>
          <w:p w:rsidR="00FD1C18" w:rsidRPr="00EC42C3" w:rsidRDefault="00EC42C3" w:rsidP="00545109">
            <w:pPr>
              <w:pStyle w:val="Prrafodelista"/>
              <w:ind w:left="0"/>
              <w:rPr>
                <w:rFonts w:ascii="Times New Roman" w:hAnsi="Times New Roman" w:cs="Times New Roman"/>
                <w:sz w:val="28"/>
                <w:szCs w:val="28"/>
              </w:rPr>
            </w:pPr>
            <w:r w:rsidRPr="00EC42C3">
              <w:rPr>
                <w:rFonts w:ascii="Times New Roman" w:hAnsi="Times New Roman" w:cs="Times New Roman"/>
                <w:sz w:val="28"/>
                <w:szCs w:val="28"/>
              </w:rPr>
              <w:t>Observatorio de Intervención Ciudadana Constitucional de la Facultad de Derecho de la Universidad Libre de Colombia</w:t>
            </w:r>
          </w:p>
        </w:tc>
        <w:tc>
          <w:tcPr>
            <w:tcW w:w="3120" w:type="dxa"/>
          </w:tcPr>
          <w:p w:rsidR="00FD1C18" w:rsidRPr="00EC42C3" w:rsidRDefault="00EC42C3" w:rsidP="00545109">
            <w:pPr>
              <w:pStyle w:val="Prrafodelista"/>
              <w:ind w:left="0"/>
              <w:jc w:val="center"/>
              <w:rPr>
                <w:rFonts w:ascii="Times New Roman" w:hAnsi="Times New Roman" w:cs="Times New Roman"/>
                <w:sz w:val="28"/>
                <w:szCs w:val="28"/>
              </w:rPr>
            </w:pPr>
            <w:r w:rsidRPr="00EC42C3">
              <w:rPr>
                <w:rFonts w:ascii="Times New Roman" w:hAnsi="Times New Roman" w:cs="Times New Roman"/>
                <w:sz w:val="28"/>
                <w:szCs w:val="28"/>
              </w:rPr>
              <w:t>Exequibilidad condicionada</w:t>
            </w:r>
          </w:p>
        </w:tc>
        <w:tc>
          <w:tcPr>
            <w:tcW w:w="3119" w:type="dxa"/>
          </w:tcPr>
          <w:p w:rsidR="00FD1C18" w:rsidRPr="00EC42C3" w:rsidRDefault="00EC42C3" w:rsidP="00545109">
            <w:pPr>
              <w:pStyle w:val="Prrafodelista"/>
              <w:ind w:left="0"/>
              <w:jc w:val="center"/>
              <w:rPr>
                <w:rFonts w:ascii="Times New Roman" w:hAnsi="Times New Roman" w:cs="Times New Roman"/>
                <w:sz w:val="28"/>
                <w:szCs w:val="28"/>
              </w:rPr>
            </w:pPr>
            <w:r w:rsidRPr="00EC42C3">
              <w:rPr>
                <w:rFonts w:ascii="Times New Roman" w:hAnsi="Times New Roman" w:cs="Times New Roman"/>
                <w:sz w:val="28"/>
                <w:szCs w:val="28"/>
              </w:rPr>
              <w:t>-</w:t>
            </w:r>
          </w:p>
        </w:tc>
      </w:tr>
    </w:tbl>
    <w:p w:rsidR="00FD1C18" w:rsidRPr="00EC42C3" w:rsidRDefault="00EC42C3" w:rsidP="00FD1C18">
      <w:pPr>
        <w:rPr>
          <w:rFonts w:ascii="Times New Roman" w:hAnsi="Times New Roman" w:cs="Times New Roman"/>
          <w:b/>
          <w:bCs/>
          <w:sz w:val="28"/>
          <w:szCs w:val="28"/>
        </w:rPr>
      </w:pPr>
    </w:p>
    <w:p w:rsidR="00FD1C18" w:rsidRPr="00EC42C3" w:rsidRDefault="00EC42C3" w:rsidP="00FD1C18">
      <w:pPr>
        <w:rPr>
          <w:rFonts w:ascii="Times New Roman" w:hAnsi="Times New Roman" w:cs="Times New Roman"/>
          <w:b/>
          <w:bCs/>
          <w:sz w:val="28"/>
          <w:szCs w:val="28"/>
        </w:rPr>
      </w:pPr>
    </w:p>
    <w:p w:rsidR="00FD1C18" w:rsidRPr="00EC42C3" w:rsidRDefault="00EC42C3" w:rsidP="00FD1C18">
      <w:pPr>
        <w:rPr>
          <w:rFonts w:ascii="Times New Roman" w:hAnsi="Times New Roman" w:cs="Times New Roman"/>
          <w:b/>
          <w:bCs/>
          <w:sz w:val="28"/>
          <w:szCs w:val="28"/>
        </w:rPr>
      </w:pPr>
      <w:r w:rsidRPr="00EC42C3">
        <w:rPr>
          <w:rFonts w:ascii="Times New Roman" w:hAnsi="Times New Roman" w:cs="Times New Roman"/>
          <w:b/>
          <w:bCs/>
          <w:sz w:val="28"/>
          <w:szCs w:val="28"/>
        </w:rPr>
        <w:t xml:space="preserve">El concepto del Procurador General de </w:t>
      </w:r>
      <w:r w:rsidRPr="00EC42C3">
        <w:rPr>
          <w:rFonts w:ascii="Times New Roman" w:hAnsi="Times New Roman" w:cs="Times New Roman"/>
          <w:b/>
          <w:bCs/>
          <w:sz w:val="28"/>
          <w:szCs w:val="28"/>
        </w:rPr>
        <w:t>la Nación</w:t>
      </w:r>
    </w:p>
    <w:p w:rsidR="00FD1C18" w:rsidRPr="00EC42C3" w:rsidRDefault="00EC42C3" w:rsidP="00FD1C18">
      <w:pPr>
        <w:rPr>
          <w:rFonts w:ascii="Times New Roman" w:hAnsi="Times New Roman" w:cs="Times New Roman"/>
          <w:b/>
          <w:bCs/>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En el concepto 7</w:t>
      </w:r>
      <w:r w:rsidRPr="00EC42C3">
        <w:rPr>
          <w:rFonts w:ascii="Times New Roman" w:hAnsi="Times New Roman" w:cs="Times New Roman"/>
          <w:sz w:val="28"/>
          <w:szCs w:val="28"/>
        </w:rPr>
        <w:t>.</w:t>
      </w:r>
      <w:r w:rsidRPr="00EC42C3">
        <w:rPr>
          <w:rFonts w:ascii="Times New Roman" w:hAnsi="Times New Roman" w:cs="Times New Roman"/>
          <w:sz w:val="28"/>
          <w:szCs w:val="28"/>
        </w:rPr>
        <w:t xml:space="preserve">476, el Procurador General de la Nación solicita que se declare la exequibilidad condicionada de la norma enunciada en la expresión </w:t>
      </w:r>
      <w:r w:rsidRPr="00EC42C3">
        <w:rPr>
          <w:rFonts w:ascii="Times New Roman" w:hAnsi="Times New Roman" w:cs="Times New Roman"/>
          <w:i/>
          <w:iCs/>
          <w:sz w:val="28"/>
          <w:szCs w:val="28"/>
        </w:rPr>
        <w:t>“o de su cónyuge, por matrimonio contraído en la misma época”</w:t>
      </w:r>
      <w:r w:rsidRPr="00EC42C3">
        <w:rPr>
          <w:rFonts w:ascii="Times New Roman" w:hAnsi="Times New Roman" w:cs="Times New Roman"/>
          <w:sz w:val="28"/>
          <w:szCs w:val="28"/>
        </w:rPr>
        <w:t xml:space="preserve">, contenida en el artículo 108 del </w:t>
      </w:r>
      <w:r w:rsidRPr="00EC42C3">
        <w:rPr>
          <w:rFonts w:ascii="Times New Roman" w:hAnsi="Times New Roman" w:cs="Times New Roman"/>
          <w:sz w:val="28"/>
          <w:szCs w:val="28"/>
        </w:rPr>
        <w:t xml:space="preserve">Código Civil, bajo el entendido que dicho derecho o facultad se hará extensivo para el compañero o compañera permanente, cuya unión marital de hecho haya tenido lugar en la misma época. </w:t>
      </w:r>
    </w:p>
    <w:p w:rsidR="00FD1C18" w:rsidRPr="00EC42C3" w:rsidRDefault="00EC42C3" w:rsidP="00FD1C18">
      <w:pPr>
        <w:pStyle w:val="Prrafodelista"/>
        <w:tabs>
          <w:tab w:val="left" w:pos="426"/>
        </w:tabs>
        <w:ind w:left="0"/>
        <w:contextualSpacing w:val="0"/>
        <w:jc w:val="both"/>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A juicio del procurador, el problema jurídico que debe resolverse es</w:t>
      </w:r>
      <w:r w:rsidRPr="00EC42C3">
        <w:rPr>
          <w:rFonts w:ascii="Times New Roman" w:hAnsi="Times New Roman" w:cs="Times New Roman"/>
          <w:sz w:val="28"/>
          <w:szCs w:val="28"/>
        </w:rPr>
        <w:t xml:space="preserve"> el de determinar si el legislador incurrió en una omisión legislativa relativa, al excluir de la legitimación por activa a los compañeros y compañeras permanentes para solicitar la rescisión de la sentencia que aprueba la participación o adjudicación de l</w:t>
      </w:r>
      <w:r w:rsidRPr="00EC42C3">
        <w:rPr>
          <w:rFonts w:ascii="Times New Roman" w:hAnsi="Times New Roman" w:cs="Times New Roman"/>
          <w:sz w:val="28"/>
          <w:szCs w:val="28"/>
        </w:rPr>
        <w:t>a sucesión, en caso de reaparición del declarado presuntamente muerto.</w:t>
      </w:r>
    </w:p>
    <w:p w:rsidR="00A274D7" w:rsidRPr="00EC42C3" w:rsidRDefault="00EC42C3" w:rsidP="00A274D7">
      <w:pPr>
        <w:pStyle w:val="Prrafodelista"/>
        <w:tabs>
          <w:tab w:val="left" w:pos="426"/>
        </w:tabs>
        <w:ind w:left="0"/>
        <w:contextualSpacing w:val="0"/>
        <w:jc w:val="both"/>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 xml:space="preserve">Luego de referirse a las omisiones legislativas relativas, al concepto de familia y a la igualdad, en el marco de los artículos 5, 13 y 42 de la Constitución, </w:t>
      </w:r>
      <w:r w:rsidRPr="00EC42C3">
        <w:rPr>
          <w:rFonts w:ascii="Times New Roman" w:hAnsi="Times New Roman" w:cs="Times New Roman"/>
          <w:sz w:val="28"/>
          <w:szCs w:val="28"/>
        </w:rPr>
        <w:t xml:space="preserve">y </w:t>
      </w:r>
      <w:r w:rsidRPr="00EC42C3">
        <w:rPr>
          <w:rFonts w:ascii="Times New Roman" w:hAnsi="Times New Roman" w:cs="Times New Roman"/>
          <w:sz w:val="28"/>
          <w:szCs w:val="28"/>
        </w:rPr>
        <w:t xml:space="preserve">al estatus jurídico de </w:t>
      </w:r>
      <w:r w:rsidRPr="00EC42C3">
        <w:rPr>
          <w:rFonts w:ascii="Times New Roman" w:hAnsi="Times New Roman" w:cs="Times New Roman"/>
          <w:sz w:val="28"/>
          <w:szCs w:val="28"/>
        </w:rPr>
        <w:t>la unión marital de hecho, al analizar el cargo planteado, el procurador concluye que la norma demandada incurre en una omisión legislativa</w:t>
      </w:r>
      <w:r w:rsidRPr="00EC42C3">
        <w:rPr>
          <w:rFonts w:ascii="Times New Roman" w:hAnsi="Times New Roman" w:cs="Times New Roman"/>
          <w:sz w:val="28"/>
          <w:szCs w:val="28"/>
        </w:rPr>
        <w:t xml:space="preserve">. Esto porque la norma limita </w:t>
      </w:r>
      <w:r w:rsidRPr="00EC42C3">
        <w:rPr>
          <w:rFonts w:ascii="Times New Roman" w:hAnsi="Times New Roman" w:cs="Times New Roman"/>
          <w:sz w:val="28"/>
          <w:szCs w:val="28"/>
        </w:rPr>
        <w:t>la legitimación a los cónyuges, sin extenderla a los compañeros permanentes, pese a enc</w:t>
      </w:r>
      <w:r w:rsidRPr="00EC42C3">
        <w:rPr>
          <w:rFonts w:ascii="Times New Roman" w:hAnsi="Times New Roman" w:cs="Times New Roman"/>
          <w:sz w:val="28"/>
          <w:szCs w:val="28"/>
        </w:rPr>
        <w:t>ontrarse ambos en una situación de hecho equiparable. A renglón seguido, destaca que esta omisión es injustificada en términos constitucionales y que desatiende deberes constitucionales, conforme a los cuales la ley debe dar una protección igual e integral</w:t>
      </w:r>
      <w:r w:rsidRPr="00EC42C3">
        <w:rPr>
          <w:rFonts w:ascii="Times New Roman" w:hAnsi="Times New Roman" w:cs="Times New Roman"/>
          <w:sz w:val="28"/>
          <w:szCs w:val="28"/>
        </w:rPr>
        <w:t xml:space="preserve"> a todas las formas de familia.</w:t>
      </w:r>
    </w:p>
    <w:p w:rsidR="00FD1C18" w:rsidRPr="00EC42C3" w:rsidRDefault="00EC42C3" w:rsidP="00FD1C18">
      <w:pPr>
        <w:pStyle w:val="Prrafodelista"/>
        <w:tabs>
          <w:tab w:val="left" w:pos="426"/>
        </w:tabs>
        <w:ind w:left="0"/>
        <w:contextualSpacing w:val="0"/>
        <w:jc w:val="both"/>
        <w:rPr>
          <w:rFonts w:ascii="Times New Roman" w:hAnsi="Times New Roman" w:cs="Times New Roman"/>
          <w:sz w:val="28"/>
          <w:szCs w:val="28"/>
        </w:rPr>
      </w:pPr>
    </w:p>
    <w:p w:rsidR="00FD1C18" w:rsidRPr="00EC42C3" w:rsidRDefault="00EC42C3" w:rsidP="00FD1C1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Por último, el procurador destaca que la finalidad de la norma demandada: la protección patrimonial y familiar ante la reaparición del presunto fallecido, también cobija a quienes hayan conformado un vínculo familiar median</w:t>
      </w:r>
      <w:r w:rsidRPr="00EC42C3">
        <w:rPr>
          <w:rFonts w:ascii="Times New Roman" w:hAnsi="Times New Roman" w:cs="Times New Roman"/>
          <w:sz w:val="28"/>
          <w:szCs w:val="28"/>
        </w:rPr>
        <w:t>te unión marital de hecho. Por ello, estima que el trato diferenciado vulnera la igualdad material y genera una desigualdad negativa para los compañeros permanentes, al negarles una garantía jurídica que sí se reconoce a los cónyuges.</w:t>
      </w:r>
    </w:p>
    <w:p w:rsidR="00FD1C18" w:rsidRPr="00EC42C3" w:rsidRDefault="00EC42C3" w:rsidP="00FD1C18">
      <w:pPr>
        <w:pStyle w:val="Prrafodelista"/>
        <w:tabs>
          <w:tab w:val="left" w:pos="426"/>
        </w:tabs>
        <w:ind w:left="0"/>
        <w:contextualSpacing w:val="0"/>
        <w:jc w:val="both"/>
        <w:rPr>
          <w:rFonts w:ascii="Times New Roman" w:hAnsi="Times New Roman" w:cs="Times New Roman"/>
          <w:sz w:val="28"/>
          <w:szCs w:val="28"/>
        </w:rPr>
      </w:pPr>
    </w:p>
    <w:p w:rsidR="000C5DB9" w:rsidRPr="00EC42C3" w:rsidRDefault="00EC42C3" w:rsidP="00FD1C18">
      <w:pPr>
        <w:pStyle w:val="Prrafodelista"/>
        <w:tabs>
          <w:tab w:val="left" w:pos="426"/>
        </w:tabs>
        <w:ind w:left="0"/>
        <w:contextualSpacing w:val="0"/>
        <w:jc w:val="both"/>
        <w:rPr>
          <w:rFonts w:ascii="Times New Roman" w:hAnsi="Times New Roman" w:cs="Times New Roman"/>
          <w:sz w:val="28"/>
          <w:szCs w:val="28"/>
        </w:rPr>
      </w:pPr>
    </w:p>
    <w:p w:rsidR="00FD1C18" w:rsidRPr="00EC42C3" w:rsidRDefault="00EC42C3" w:rsidP="00B3275D">
      <w:pPr>
        <w:tabs>
          <w:tab w:val="left" w:pos="426"/>
        </w:tabs>
        <w:jc w:val="both"/>
        <w:rPr>
          <w:rFonts w:ascii="Times New Roman" w:hAnsi="Times New Roman" w:cs="Times New Roman"/>
          <w:b/>
          <w:bCs/>
          <w:sz w:val="28"/>
          <w:szCs w:val="28"/>
        </w:rPr>
      </w:pPr>
      <w:r w:rsidRPr="00EC42C3">
        <w:rPr>
          <w:rFonts w:ascii="Times New Roman" w:hAnsi="Times New Roman" w:cs="Times New Roman"/>
          <w:b/>
          <w:bCs/>
          <w:sz w:val="28"/>
          <w:szCs w:val="28"/>
        </w:rPr>
        <w:t>II.</w:t>
      </w:r>
      <w:r w:rsidRPr="00EC42C3">
        <w:rPr>
          <w:rFonts w:ascii="Times New Roman" w:hAnsi="Times New Roman" w:cs="Times New Roman"/>
          <w:b/>
          <w:bCs/>
          <w:sz w:val="28"/>
          <w:szCs w:val="28"/>
        </w:rPr>
        <w:tab/>
        <w:t>CONSIDERACIONES</w:t>
      </w:r>
    </w:p>
    <w:p w:rsidR="00FD1C18" w:rsidRPr="00EC42C3" w:rsidRDefault="00EC42C3" w:rsidP="00B3275D">
      <w:pPr>
        <w:tabs>
          <w:tab w:val="left" w:pos="426"/>
        </w:tabs>
        <w:jc w:val="both"/>
        <w:rPr>
          <w:rFonts w:ascii="Times New Roman" w:hAnsi="Times New Roman" w:cs="Times New Roman"/>
          <w:b/>
          <w:bCs/>
          <w:sz w:val="28"/>
          <w:szCs w:val="28"/>
        </w:rPr>
      </w:pPr>
    </w:p>
    <w:p w:rsidR="00A274D7" w:rsidRPr="00EC42C3" w:rsidRDefault="00EC42C3" w:rsidP="00B3275D">
      <w:pPr>
        <w:tabs>
          <w:tab w:val="left" w:pos="426"/>
        </w:tabs>
        <w:jc w:val="both"/>
        <w:rPr>
          <w:rFonts w:ascii="Times New Roman" w:hAnsi="Times New Roman" w:cs="Times New Roman"/>
          <w:b/>
          <w:bCs/>
          <w:sz w:val="28"/>
          <w:szCs w:val="28"/>
        </w:rPr>
      </w:pPr>
    </w:p>
    <w:p w:rsidR="00FD1C18" w:rsidRPr="00EC42C3" w:rsidRDefault="00EC42C3" w:rsidP="00B3275D">
      <w:pPr>
        <w:tabs>
          <w:tab w:val="left" w:pos="426"/>
        </w:tabs>
        <w:jc w:val="both"/>
        <w:rPr>
          <w:rFonts w:ascii="Times New Roman" w:hAnsi="Times New Roman" w:cs="Times New Roman"/>
          <w:b/>
          <w:bCs/>
          <w:sz w:val="28"/>
          <w:szCs w:val="28"/>
        </w:rPr>
      </w:pPr>
      <w:r w:rsidRPr="00EC42C3">
        <w:rPr>
          <w:rFonts w:ascii="Times New Roman" w:hAnsi="Times New Roman" w:cs="Times New Roman"/>
          <w:b/>
          <w:bCs/>
          <w:sz w:val="28"/>
          <w:szCs w:val="28"/>
        </w:rPr>
        <w:t xml:space="preserve">Competencia </w:t>
      </w:r>
    </w:p>
    <w:p w:rsidR="00FD1C18" w:rsidRPr="00EC42C3" w:rsidRDefault="00EC42C3" w:rsidP="00B3275D">
      <w:pPr>
        <w:pStyle w:val="Prrafodelista"/>
        <w:tabs>
          <w:tab w:val="left" w:pos="426"/>
        </w:tabs>
        <w:ind w:left="0"/>
        <w:contextualSpacing w:val="0"/>
        <w:jc w:val="both"/>
        <w:rPr>
          <w:rFonts w:ascii="Times New Roman" w:hAnsi="Times New Roman" w:cs="Times New Roman"/>
          <w:b/>
          <w:bCs/>
          <w:sz w:val="28"/>
          <w:szCs w:val="28"/>
        </w:rPr>
      </w:pPr>
    </w:p>
    <w:p w:rsidR="00FD1C18"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sz w:val="28"/>
          <w:szCs w:val="28"/>
          <w:shd w:val="clear" w:color="auto" w:fill="FFFFFF"/>
        </w:rPr>
      </w:pPr>
      <w:r w:rsidRPr="00EC42C3">
        <w:rPr>
          <w:rFonts w:ascii="Times New Roman" w:hAnsi="Times New Roman" w:cs="Times New Roman"/>
          <w:sz w:val="28"/>
          <w:szCs w:val="28"/>
          <w:shd w:val="clear" w:color="auto" w:fill="FFFFFF"/>
        </w:rPr>
        <w:t>La Corte Constitucional es competente para adelantar el control de constitucionalidad de la presente demanda, de conformidad con lo dispuesto por el numeral 4 del artículo 241 de la Constitución</w:t>
      </w:r>
      <w:r w:rsidRPr="00EC42C3">
        <w:rPr>
          <w:rFonts w:ascii="Times New Roman" w:hAnsi="Times New Roman" w:cs="Times New Roman"/>
          <w:sz w:val="28"/>
          <w:szCs w:val="28"/>
          <w:shd w:val="clear" w:color="auto" w:fill="FFFFFF"/>
        </w:rPr>
        <w:t xml:space="preserve"> Política de 1991.</w:t>
      </w:r>
    </w:p>
    <w:p w:rsidR="00050401" w:rsidRPr="00EC42C3" w:rsidRDefault="00EC42C3" w:rsidP="00B3275D">
      <w:pPr>
        <w:pStyle w:val="Prrafodelista"/>
        <w:rPr>
          <w:rFonts w:ascii="Times New Roman" w:hAnsi="Times New Roman" w:cs="Times New Roman"/>
          <w:sz w:val="28"/>
          <w:szCs w:val="28"/>
        </w:rPr>
      </w:pPr>
    </w:p>
    <w:p w:rsidR="00A274D7" w:rsidRPr="00EC42C3" w:rsidRDefault="00EC42C3" w:rsidP="00B3275D">
      <w:pPr>
        <w:pStyle w:val="Prrafodelista"/>
        <w:rPr>
          <w:rFonts w:ascii="Times New Roman" w:hAnsi="Times New Roman" w:cs="Times New Roman"/>
          <w:sz w:val="28"/>
          <w:szCs w:val="28"/>
        </w:rPr>
      </w:pPr>
    </w:p>
    <w:p w:rsidR="007A50D3" w:rsidRPr="00EC42C3" w:rsidRDefault="00EC42C3" w:rsidP="00B3275D">
      <w:pPr>
        <w:pStyle w:val="Prrafodelista"/>
        <w:tabs>
          <w:tab w:val="left" w:pos="426"/>
        </w:tabs>
        <w:ind w:left="0"/>
        <w:contextualSpacing w:val="0"/>
        <w:jc w:val="both"/>
        <w:rPr>
          <w:rFonts w:ascii="Times New Roman" w:hAnsi="Times New Roman" w:cs="Times New Roman"/>
          <w:b/>
          <w:bCs/>
          <w:sz w:val="28"/>
          <w:szCs w:val="28"/>
        </w:rPr>
      </w:pPr>
      <w:r w:rsidRPr="00EC42C3">
        <w:rPr>
          <w:rFonts w:ascii="Times New Roman" w:hAnsi="Times New Roman" w:cs="Times New Roman"/>
          <w:b/>
          <w:bCs/>
          <w:sz w:val="28"/>
          <w:szCs w:val="28"/>
        </w:rPr>
        <w:t xml:space="preserve">Cuestión previa: </w:t>
      </w:r>
      <w:r w:rsidRPr="00EC42C3">
        <w:rPr>
          <w:rFonts w:ascii="Times New Roman" w:hAnsi="Times New Roman" w:cs="Times New Roman"/>
          <w:b/>
          <w:bCs/>
          <w:sz w:val="28"/>
          <w:szCs w:val="28"/>
        </w:rPr>
        <w:t xml:space="preserve">la </w:t>
      </w:r>
      <w:r w:rsidRPr="00EC42C3">
        <w:rPr>
          <w:rFonts w:ascii="Times New Roman" w:hAnsi="Times New Roman" w:cs="Times New Roman"/>
          <w:b/>
          <w:bCs/>
          <w:sz w:val="28"/>
          <w:szCs w:val="28"/>
        </w:rPr>
        <w:t>viabilidad del examen de fondo en este asunto</w:t>
      </w:r>
    </w:p>
    <w:p w:rsidR="007A50D3" w:rsidRPr="00EC42C3" w:rsidRDefault="00EC42C3" w:rsidP="00B3275D">
      <w:pPr>
        <w:pStyle w:val="Prrafodelista"/>
        <w:tabs>
          <w:tab w:val="left" w:pos="426"/>
        </w:tabs>
        <w:ind w:left="0"/>
        <w:contextualSpacing w:val="0"/>
        <w:jc w:val="both"/>
        <w:rPr>
          <w:rFonts w:ascii="Times New Roman" w:hAnsi="Times New Roman" w:cs="Times New Roman"/>
          <w:b/>
          <w:bCs/>
          <w:sz w:val="28"/>
          <w:szCs w:val="28"/>
        </w:rPr>
      </w:pPr>
    </w:p>
    <w:p w:rsidR="007A50D3" w:rsidRPr="00EC42C3" w:rsidRDefault="00EC42C3" w:rsidP="00A52EE5">
      <w:pPr>
        <w:pStyle w:val="Prrafodelista"/>
        <w:numPr>
          <w:ilvl w:val="0"/>
          <w:numId w:val="1"/>
        </w:numPr>
        <w:tabs>
          <w:tab w:val="left" w:pos="426"/>
        </w:tabs>
        <w:ind w:left="0" w:firstLine="0"/>
        <w:contextualSpacing w:val="0"/>
        <w:jc w:val="both"/>
        <w:rPr>
          <w:rFonts w:ascii="Times New Roman" w:hAnsi="Times New Roman" w:cs="Times New Roman"/>
          <w:b/>
          <w:bCs/>
          <w:sz w:val="28"/>
          <w:szCs w:val="28"/>
        </w:rPr>
      </w:pPr>
      <w:r w:rsidRPr="00EC42C3">
        <w:rPr>
          <w:rFonts w:ascii="Times New Roman" w:hAnsi="Times New Roman" w:cs="Times New Roman"/>
          <w:b/>
          <w:bCs/>
          <w:i/>
          <w:iCs/>
          <w:sz w:val="28"/>
          <w:szCs w:val="28"/>
          <w:shd w:val="clear" w:color="auto" w:fill="FFFFFF"/>
        </w:rPr>
        <w:t xml:space="preserve">El cargo de omisión legislativa relativa, sus exigencias y el análisis de la acusación presentada. </w:t>
      </w:r>
      <w:r w:rsidRPr="00EC42C3">
        <w:rPr>
          <w:rFonts w:ascii="Times New Roman" w:hAnsi="Times New Roman" w:cs="Times New Roman"/>
          <w:sz w:val="28"/>
          <w:szCs w:val="28"/>
          <w:shd w:val="clear" w:color="auto" w:fill="FFFFFF"/>
        </w:rPr>
        <w:t>L</w:t>
      </w:r>
      <w:r w:rsidRPr="00EC42C3">
        <w:rPr>
          <w:rFonts w:ascii="Times New Roman" w:hAnsi="Times New Roman" w:cs="Times New Roman"/>
          <w:sz w:val="28"/>
          <w:szCs w:val="28"/>
          <w:shd w:val="clear" w:color="auto" w:fill="FFFFFF"/>
        </w:rPr>
        <w:t>a</w:t>
      </w:r>
      <w:r w:rsidRPr="00EC42C3">
        <w:rPr>
          <w:rFonts w:ascii="Times New Roman" w:hAnsi="Times New Roman" w:cs="Times New Roman"/>
          <w:sz w:val="28"/>
          <w:szCs w:val="28"/>
          <w:shd w:val="clear" w:color="auto" w:fill="FFFFFF"/>
        </w:rPr>
        <w:t xml:space="preserve"> jurisprudencia constitucional ha reiterado</w:t>
      </w:r>
      <w:r w:rsidRPr="00EC42C3">
        <w:rPr>
          <w:rFonts w:ascii="Times New Roman" w:hAnsi="Times New Roman" w:cs="Times New Roman"/>
          <w:sz w:val="28"/>
          <w:szCs w:val="28"/>
          <w:vertAlign w:val="superscript"/>
        </w:rPr>
        <w:t> </w:t>
      </w:r>
      <w:r w:rsidRPr="00EC42C3">
        <w:rPr>
          <w:rFonts w:ascii="Times New Roman" w:hAnsi="Times New Roman" w:cs="Times New Roman"/>
          <w:sz w:val="28"/>
          <w:szCs w:val="28"/>
          <w:shd w:val="clear" w:color="auto" w:fill="FFFFFF"/>
        </w:rPr>
        <w:t>que, si bien el auto que decide sobre la admisión de la demanda,</w:t>
      </w:r>
      <w:r w:rsidRPr="00EC42C3">
        <w:rPr>
          <w:rFonts w:ascii="Times New Roman" w:hAnsi="Times New Roman" w:cs="Times New Roman"/>
          <w:sz w:val="28"/>
          <w:szCs w:val="28"/>
          <w:shd w:val="clear" w:color="auto" w:fill="FFFFFF"/>
        </w:rPr>
        <w:t xml:space="preserve"> proferido por el magistrado sustanciador, es el escenario para analizar y definir si ella tiene aptitud sustancial, conforme a lo previsto en el Decreto Ley 2067 de 1991, </w:t>
      </w:r>
      <w:r w:rsidRPr="00EC42C3">
        <w:rPr>
          <w:rFonts w:ascii="Times New Roman" w:hAnsi="Times New Roman" w:cs="Times New Roman"/>
          <w:sz w:val="28"/>
          <w:szCs w:val="28"/>
          <w:shd w:val="clear" w:color="auto" w:fill="FFFFFF"/>
        </w:rPr>
        <w:t xml:space="preserve">ello no impide que la Sala Plena, en ejercicio de su competencia para decidir de </w:t>
      </w:r>
      <w:r w:rsidRPr="00EC42C3">
        <w:rPr>
          <w:rFonts w:ascii="Times New Roman" w:hAnsi="Times New Roman" w:cs="Times New Roman"/>
          <w:sz w:val="28"/>
          <w:szCs w:val="28"/>
          <w:shd w:val="clear" w:color="auto" w:fill="FFFFFF"/>
        </w:rPr>
        <w:t>fondo las acciones de inconstitucionalidad, pueda pronunciarse nuevamente sobre este asunto, con el propósito de verificar si existen razones para un examen de mérito.</w:t>
      </w:r>
      <w:r w:rsidRPr="00EC42C3">
        <w:rPr>
          <w:rStyle w:val="Refdenotaalpie"/>
          <w:rFonts w:ascii="Times New Roman" w:hAnsi="Times New Roman" w:cs="Times New Roman"/>
          <w:sz w:val="28"/>
          <w:szCs w:val="28"/>
          <w:shd w:val="clear" w:color="auto" w:fill="FFFFFF"/>
        </w:rPr>
        <w:footnoteReference w:id="3"/>
      </w:r>
    </w:p>
    <w:p w:rsidR="007A50D3" w:rsidRPr="00EC42C3" w:rsidRDefault="00EC42C3" w:rsidP="00B3275D">
      <w:pPr>
        <w:pStyle w:val="Prrafodelista"/>
        <w:tabs>
          <w:tab w:val="left" w:pos="426"/>
        </w:tabs>
        <w:ind w:left="0"/>
        <w:contextualSpacing w:val="0"/>
        <w:jc w:val="both"/>
        <w:rPr>
          <w:rFonts w:ascii="Times New Roman" w:hAnsi="Times New Roman" w:cs="Times New Roman"/>
          <w:b/>
          <w:bCs/>
          <w:sz w:val="28"/>
          <w:szCs w:val="28"/>
        </w:rPr>
      </w:pPr>
    </w:p>
    <w:p w:rsidR="00021E8F" w:rsidRPr="00EC42C3" w:rsidRDefault="00EC42C3" w:rsidP="00A52EE5">
      <w:pPr>
        <w:pStyle w:val="Prrafodelista"/>
        <w:numPr>
          <w:ilvl w:val="0"/>
          <w:numId w:val="1"/>
        </w:numPr>
        <w:tabs>
          <w:tab w:val="left" w:pos="426"/>
        </w:tabs>
        <w:ind w:left="0" w:firstLine="0"/>
        <w:contextualSpacing w:val="0"/>
        <w:jc w:val="both"/>
        <w:rPr>
          <w:rFonts w:ascii="Times New Roman" w:hAnsi="Times New Roman" w:cs="Times New Roman"/>
          <w:b/>
          <w:bCs/>
          <w:sz w:val="28"/>
          <w:szCs w:val="28"/>
        </w:rPr>
      </w:pPr>
      <w:r w:rsidRPr="00EC42C3">
        <w:rPr>
          <w:rFonts w:ascii="Times New Roman" w:hAnsi="Times New Roman" w:cs="Times New Roman"/>
          <w:sz w:val="28"/>
          <w:szCs w:val="28"/>
          <w:shd w:val="clear" w:color="auto" w:fill="FFFFFF"/>
        </w:rPr>
        <w:t xml:space="preserve">Efectuada la anterior precisión, </w:t>
      </w:r>
      <w:r w:rsidRPr="00EC42C3">
        <w:rPr>
          <w:rFonts w:ascii="Times New Roman" w:hAnsi="Times New Roman" w:cs="Times New Roman"/>
          <w:sz w:val="28"/>
          <w:szCs w:val="28"/>
          <w:shd w:val="clear" w:color="auto" w:fill="FFFFFF"/>
        </w:rPr>
        <w:t>corresponde determinar si en el presente caso se cump</w:t>
      </w:r>
      <w:r w:rsidRPr="00EC42C3">
        <w:rPr>
          <w:rFonts w:ascii="Times New Roman" w:hAnsi="Times New Roman" w:cs="Times New Roman"/>
          <w:sz w:val="28"/>
          <w:szCs w:val="28"/>
          <w:shd w:val="clear" w:color="auto" w:fill="FFFFFF"/>
        </w:rPr>
        <w:t>len las condiciones para emitir un pronunciamiento de fondo, dado que el cargo formulado se estructura a partir de una presunta omisión legislativa relativa</w:t>
      </w:r>
      <w:r w:rsidRPr="00EC42C3">
        <w:rPr>
          <w:rFonts w:ascii="Times New Roman" w:hAnsi="Times New Roman" w:cs="Times New Roman"/>
          <w:sz w:val="28"/>
          <w:szCs w:val="28"/>
          <w:shd w:val="clear" w:color="auto" w:fill="FFFFFF"/>
        </w:rPr>
        <w:t>.</w:t>
      </w:r>
      <w:r w:rsidRPr="00EC42C3">
        <w:rPr>
          <w:rStyle w:val="Refdenotaalpie"/>
          <w:rFonts w:ascii="Times New Roman" w:hAnsi="Times New Roman" w:cs="Times New Roman"/>
          <w:sz w:val="28"/>
          <w:szCs w:val="28"/>
          <w:shd w:val="clear" w:color="auto" w:fill="FFFFFF"/>
        </w:rPr>
        <w:footnoteReference w:id="4"/>
      </w:r>
    </w:p>
    <w:p w:rsidR="00021E8F" w:rsidRPr="00EC42C3" w:rsidRDefault="00EC42C3" w:rsidP="00B3275D">
      <w:pPr>
        <w:pStyle w:val="Prrafodelista"/>
        <w:rPr>
          <w:rFonts w:ascii="Times New Roman" w:hAnsi="Times New Roman" w:cs="Times New Roman"/>
          <w:sz w:val="28"/>
          <w:szCs w:val="28"/>
          <w:shd w:val="clear" w:color="auto" w:fill="FFFFFF"/>
        </w:rPr>
      </w:pPr>
    </w:p>
    <w:p w:rsidR="00021E8F"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b/>
          <w:bCs/>
          <w:sz w:val="28"/>
          <w:szCs w:val="28"/>
        </w:rPr>
      </w:pPr>
      <w:r w:rsidRPr="00EC42C3">
        <w:rPr>
          <w:rFonts w:ascii="Times New Roman" w:hAnsi="Times New Roman" w:cs="Times New Roman"/>
          <w:sz w:val="28"/>
          <w:szCs w:val="28"/>
          <w:shd w:val="clear" w:color="auto" w:fill="FFFFFF"/>
        </w:rPr>
        <w:t xml:space="preserve">El artículo 2 del Decreto Ley 2067 de 1991 </w:t>
      </w:r>
      <w:r w:rsidRPr="00EC42C3">
        <w:rPr>
          <w:rFonts w:ascii="Times New Roman" w:hAnsi="Times New Roman" w:cs="Times New Roman"/>
          <w:sz w:val="28"/>
          <w:szCs w:val="28"/>
          <w:shd w:val="clear" w:color="auto" w:fill="FFFFFF"/>
        </w:rPr>
        <w:t>exige</w:t>
      </w:r>
      <w:r w:rsidRPr="00EC42C3">
        <w:rPr>
          <w:rFonts w:ascii="Times New Roman" w:hAnsi="Times New Roman" w:cs="Times New Roman"/>
          <w:sz w:val="28"/>
          <w:szCs w:val="28"/>
          <w:shd w:val="clear" w:color="auto" w:fill="FFFFFF"/>
        </w:rPr>
        <w:t xml:space="preserve"> que </w:t>
      </w:r>
      <w:r w:rsidRPr="00EC42C3">
        <w:rPr>
          <w:rFonts w:ascii="Times New Roman" w:hAnsi="Times New Roman" w:cs="Times New Roman"/>
          <w:sz w:val="28"/>
          <w:szCs w:val="28"/>
          <w:shd w:val="clear" w:color="auto" w:fill="FFFFFF"/>
        </w:rPr>
        <w:t xml:space="preserve">las demandas de inconstitucionalidad </w:t>
      </w:r>
      <w:r w:rsidRPr="00EC42C3">
        <w:rPr>
          <w:rFonts w:ascii="Times New Roman" w:hAnsi="Times New Roman" w:cs="Times New Roman"/>
          <w:sz w:val="28"/>
          <w:szCs w:val="28"/>
          <w:shd w:val="clear" w:color="auto" w:fill="FFFFFF"/>
        </w:rPr>
        <w:t xml:space="preserve">deben </w:t>
      </w:r>
      <w:r w:rsidRPr="00EC42C3">
        <w:rPr>
          <w:rFonts w:ascii="Times New Roman" w:hAnsi="Times New Roman" w:cs="Times New Roman"/>
          <w:sz w:val="28"/>
          <w:szCs w:val="28"/>
          <w:shd w:val="clear" w:color="auto" w:fill="FFFFFF"/>
        </w:rPr>
        <w:t>presentarse por escrito, y cumplir los siguientes requisitos: </w:t>
      </w:r>
      <w:r w:rsidRPr="00EC42C3">
        <w:rPr>
          <w:rFonts w:ascii="Times New Roman" w:hAnsi="Times New Roman" w:cs="Times New Roman"/>
          <w:i/>
          <w:iCs/>
          <w:sz w:val="28"/>
          <w:szCs w:val="28"/>
        </w:rPr>
        <w:t>(i)</w:t>
      </w:r>
      <w:r w:rsidRPr="00EC42C3">
        <w:rPr>
          <w:rStyle w:val="apple-converted-space"/>
          <w:rFonts w:ascii="Times New Roman" w:eastAsiaTheme="majorEastAsia" w:hAnsi="Times New Roman" w:cs="Times New Roman"/>
          <w:i/>
          <w:iCs/>
          <w:sz w:val="28"/>
          <w:szCs w:val="28"/>
        </w:rPr>
        <w:t> </w:t>
      </w:r>
      <w:r w:rsidRPr="00EC42C3">
        <w:rPr>
          <w:rFonts w:ascii="Times New Roman" w:hAnsi="Times New Roman" w:cs="Times New Roman"/>
          <w:sz w:val="28"/>
          <w:szCs w:val="28"/>
          <w:shd w:val="clear" w:color="auto" w:fill="FFFFFF"/>
        </w:rPr>
        <w:t>señalar las normas que se cuestionan y transcribir literalmente su contenido o aportar un ejemplar de su publicación oficial;</w:t>
      </w:r>
      <w:r w:rsidRPr="00EC42C3">
        <w:rPr>
          <w:rStyle w:val="apple-converted-space"/>
          <w:rFonts w:ascii="Times New Roman" w:eastAsiaTheme="majorEastAsia" w:hAnsi="Times New Roman" w:cs="Times New Roman"/>
          <w:sz w:val="28"/>
          <w:szCs w:val="28"/>
          <w:shd w:val="clear" w:color="auto" w:fill="FFFFFF"/>
        </w:rPr>
        <w:t> </w:t>
      </w:r>
      <w:r w:rsidRPr="00EC42C3">
        <w:rPr>
          <w:rFonts w:ascii="Times New Roman" w:hAnsi="Times New Roman" w:cs="Times New Roman"/>
          <w:i/>
          <w:iCs/>
          <w:sz w:val="28"/>
          <w:szCs w:val="28"/>
        </w:rPr>
        <w:t>(ii)</w:t>
      </w:r>
      <w:r w:rsidRPr="00EC42C3">
        <w:rPr>
          <w:rStyle w:val="apple-converted-space"/>
          <w:rFonts w:ascii="Times New Roman" w:eastAsiaTheme="majorEastAsia" w:hAnsi="Times New Roman" w:cs="Times New Roman"/>
          <w:sz w:val="28"/>
          <w:szCs w:val="28"/>
          <w:shd w:val="clear" w:color="auto" w:fill="FFFFFF"/>
        </w:rPr>
        <w:t> </w:t>
      </w:r>
      <w:r w:rsidRPr="00EC42C3">
        <w:rPr>
          <w:rFonts w:ascii="Times New Roman" w:hAnsi="Times New Roman" w:cs="Times New Roman"/>
          <w:sz w:val="28"/>
          <w:szCs w:val="28"/>
          <w:shd w:val="clear" w:color="auto" w:fill="FFFFFF"/>
        </w:rPr>
        <w:t>especificar los preceptos constitucionales que se considera</w:t>
      </w:r>
      <w:r w:rsidRPr="00EC42C3">
        <w:rPr>
          <w:rFonts w:ascii="Times New Roman" w:hAnsi="Times New Roman" w:cs="Times New Roman"/>
          <w:sz w:val="28"/>
          <w:szCs w:val="28"/>
          <w:shd w:val="clear" w:color="auto" w:fill="FFFFFF"/>
        </w:rPr>
        <w:t>n infringidos;</w:t>
      </w:r>
      <w:r w:rsidRPr="00EC42C3">
        <w:rPr>
          <w:rStyle w:val="apple-converted-space"/>
          <w:rFonts w:ascii="Times New Roman" w:eastAsiaTheme="majorEastAsia" w:hAnsi="Times New Roman" w:cs="Times New Roman"/>
          <w:sz w:val="28"/>
          <w:szCs w:val="28"/>
          <w:shd w:val="clear" w:color="auto" w:fill="FFFFFF"/>
        </w:rPr>
        <w:t> </w:t>
      </w:r>
      <w:r w:rsidRPr="00EC42C3">
        <w:rPr>
          <w:rFonts w:ascii="Times New Roman" w:hAnsi="Times New Roman" w:cs="Times New Roman"/>
          <w:i/>
          <w:iCs/>
          <w:sz w:val="28"/>
          <w:szCs w:val="28"/>
        </w:rPr>
        <w:t>(iii)</w:t>
      </w:r>
      <w:r w:rsidRPr="00EC42C3">
        <w:rPr>
          <w:rStyle w:val="apple-converted-space"/>
          <w:rFonts w:ascii="Times New Roman" w:eastAsiaTheme="majorEastAsia" w:hAnsi="Times New Roman" w:cs="Times New Roman"/>
          <w:i/>
          <w:iCs/>
          <w:sz w:val="28"/>
          <w:szCs w:val="28"/>
        </w:rPr>
        <w:t> </w:t>
      </w:r>
      <w:r w:rsidRPr="00EC42C3">
        <w:rPr>
          <w:rFonts w:ascii="Times New Roman" w:hAnsi="Times New Roman" w:cs="Times New Roman"/>
          <w:sz w:val="28"/>
          <w:szCs w:val="28"/>
          <w:shd w:val="clear" w:color="auto" w:fill="FFFFFF"/>
        </w:rPr>
        <w:t>presentar las razones por las cuales dichos textos se estiman violados;</w:t>
      </w:r>
      <w:r w:rsidRPr="00EC42C3">
        <w:rPr>
          <w:rStyle w:val="apple-converted-space"/>
          <w:rFonts w:ascii="Times New Roman" w:eastAsiaTheme="majorEastAsia" w:hAnsi="Times New Roman" w:cs="Times New Roman"/>
          <w:sz w:val="28"/>
          <w:szCs w:val="28"/>
          <w:shd w:val="clear" w:color="auto" w:fill="FFFFFF"/>
        </w:rPr>
        <w:t> </w:t>
      </w:r>
      <w:r w:rsidRPr="00EC42C3">
        <w:rPr>
          <w:rFonts w:ascii="Times New Roman" w:hAnsi="Times New Roman" w:cs="Times New Roman"/>
          <w:i/>
          <w:iCs/>
          <w:sz w:val="28"/>
          <w:szCs w:val="28"/>
        </w:rPr>
        <w:t>(iv)</w:t>
      </w:r>
      <w:r w:rsidRPr="00EC42C3">
        <w:rPr>
          <w:rStyle w:val="apple-converted-space"/>
          <w:rFonts w:ascii="Times New Roman" w:eastAsiaTheme="majorEastAsia" w:hAnsi="Times New Roman" w:cs="Times New Roman"/>
          <w:sz w:val="28"/>
          <w:szCs w:val="28"/>
          <w:shd w:val="clear" w:color="auto" w:fill="FFFFFF"/>
        </w:rPr>
        <w:t> </w:t>
      </w:r>
      <w:r w:rsidRPr="00EC42C3">
        <w:rPr>
          <w:rFonts w:ascii="Times New Roman" w:hAnsi="Times New Roman" w:cs="Times New Roman"/>
          <w:sz w:val="28"/>
          <w:szCs w:val="28"/>
          <w:shd w:val="clear" w:color="auto" w:fill="FFFFFF"/>
        </w:rPr>
        <w:t>si la acusación se basa en un vicio en el proceso de formación de la norma demandada, se debe establecer el trámite fijado en la Constitución para expedirlo y</w:t>
      </w:r>
      <w:r w:rsidRPr="00EC42C3">
        <w:rPr>
          <w:rFonts w:ascii="Times New Roman" w:hAnsi="Times New Roman" w:cs="Times New Roman"/>
          <w:sz w:val="28"/>
          <w:szCs w:val="28"/>
          <w:shd w:val="clear" w:color="auto" w:fill="FFFFFF"/>
        </w:rPr>
        <w:t xml:space="preserve"> la forma en que éste fue quebrantado; y,</w:t>
      </w:r>
      <w:r w:rsidRPr="00EC42C3">
        <w:rPr>
          <w:rStyle w:val="apple-converted-space"/>
          <w:rFonts w:ascii="Times New Roman" w:eastAsiaTheme="majorEastAsia" w:hAnsi="Times New Roman" w:cs="Times New Roman"/>
          <w:sz w:val="28"/>
          <w:szCs w:val="28"/>
          <w:shd w:val="clear" w:color="auto" w:fill="FFFFFF"/>
        </w:rPr>
        <w:t> </w:t>
      </w:r>
      <w:r w:rsidRPr="00EC42C3">
        <w:rPr>
          <w:rFonts w:ascii="Times New Roman" w:hAnsi="Times New Roman" w:cs="Times New Roman"/>
          <w:i/>
          <w:iCs/>
          <w:sz w:val="28"/>
          <w:szCs w:val="28"/>
        </w:rPr>
        <w:t>(v)</w:t>
      </w:r>
      <w:r w:rsidRPr="00EC42C3">
        <w:rPr>
          <w:rStyle w:val="apple-converted-space"/>
          <w:rFonts w:ascii="Times New Roman" w:eastAsiaTheme="majorEastAsia" w:hAnsi="Times New Roman" w:cs="Times New Roman"/>
          <w:sz w:val="28"/>
          <w:szCs w:val="28"/>
          <w:shd w:val="clear" w:color="auto" w:fill="FFFFFF"/>
        </w:rPr>
        <w:t> </w:t>
      </w:r>
      <w:r w:rsidRPr="00EC42C3">
        <w:rPr>
          <w:rFonts w:ascii="Times New Roman" w:hAnsi="Times New Roman" w:cs="Times New Roman"/>
          <w:sz w:val="28"/>
          <w:szCs w:val="28"/>
          <w:shd w:val="clear" w:color="auto" w:fill="FFFFFF"/>
        </w:rPr>
        <w:t>la razón por la cual la Corte es competente para conocer de la demanda.</w:t>
      </w:r>
    </w:p>
    <w:p w:rsidR="00021E8F" w:rsidRPr="00EC42C3" w:rsidRDefault="00EC42C3" w:rsidP="00B3275D">
      <w:pPr>
        <w:pStyle w:val="Prrafodelista"/>
        <w:rPr>
          <w:rFonts w:ascii="Times New Roman" w:hAnsi="Times New Roman" w:cs="Times New Roman"/>
          <w:b/>
          <w:bCs/>
          <w:sz w:val="28"/>
          <w:szCs w:val="28"/>
        </w:rPr>
      </w:pPr>
    </w:p>
    <w:p w:rsidR="00021E8F"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b/>
          <w:bCs/>
          <w:sz w:val="28"/>
          <w:szCs w:val="28"/>
        </w:rPr>
      </w:pPr>
      <w:r w:rsidRPr="00EC42C3">
        <w:rPr>
          <w:rFonts w:ascii="Times New Roman" w:hAnsi="Times New Roman" w:cs="Times New Roman"/>
          <w:sz w:val="28"/>
          <w:szCs w:val="28"/>
          <w:shd w:val="clear" w:color="auto" w:fill="FFFFFF"/>
        </w:rPr>
        <w:t>Respecto del</w:t>
      </w:r>
      <w:r w:rsidRPr="00EC42C3">
        <w:rPr>
          <w:rFonts w:ascii="Times New Roman" w:hAnsi="Times New Roman" w:cs="Times New Roman"/>
          <w:sz w:val="28"/>
          <w:szCs w:val="28"/>
          <w:shd w:val="clear" w:color="auto" w:fill="FFFFFF"/>
        </w:rPr>
        <w:t xml:space="preserve"> concepto de violación, </w:t>
      </w:r>
      <w:r w:rsidRPr="00EC42C3">
        <w:rPr>
          <w:rFonts w:ascii="Times New Roman" w:hAnsi="Times New Roman" w:cs="Times New Roman"/>
          <w:sz w:val="28"/>
          <w:szCs w:val="28"/>
          <w:shd w:val="clear" w:color="auto" w:fill="FFFFFF"/>
        </w:rPr>
        <w:t xml:space="preserve">la jurisprudencia ha señalado que </w:t>
      </w:r>
      <w:r w:rsidRPr="00EC42C3">
        <w:rPr>
          <w:rFonts w:ascii="Times New Roman" w:hAnsi="Times New Roman" w:cs="Times New Roman"/>
          <w:sz w:val="28"/>
          <w:szCs w:val="28"/>
          <w:shd w:val="clear" w:color="auto" w:fill="FFFFFF"/>
        </w:rPr>
        <w:t xml:space="preserve">este </w:t>
      </w:r>
      <w:r w:rsidRPr="00EC42C3">
        <w:rPr>
          <w:rFonts w:ascii="Times New Roman" w:hAnsi="Times New Roman" w:cs="Times New Roman"/>
          <w:sz w:val="28"/>
          <w:szCs w:val="28"/>
          <w:shd w:val="clear" w:color="auto" w:fill="FFFFFF"/>
        </w:rPr>
        <w:t xml:space="preserve">debe </w:t>
      </w:r>
      <w:r w:rsidRPr="00EC42C3">
        <w:rPr>
          <w:rFonts w:ascii="Times New Roman" w:hAnsi="Times New Roman" w:cs="Times New Roman"/>
          <w:sz w:val="28"/>
          <w:szCs w:val="28"/>
          <w:shd w:val="clear" w:color="auto" w:fill="FFFFFF"/>
        </w:rPr>
        <w:t xml:space="preserve">cumplir con unos mínimos argumentativos, necesarios para </w:t>
      </w:r>
      <w:r w:rsidRPr="00EC42C3">
        <w:rPr>
          <w:rFonts w:ascii="Times New Roman" w:hAnsi="Times New Roman" w:cs="Times New Roman"/>
          <w:sz w:val="28"/>
          <w:szCs w:val="28"/>
          <w:shd w:val="clear" w:color="auto" w:fill="FFFFFF"/>
        </w:rPr>
        <w:t>que la Sala pueda adoptar una decisión de mérito</w:t>
      </w:r>
      <w:r w:rsidRPr="00EC42C3">
        <w:rPr>
          <w:rFonts w:ascii="Times New Roman" w:hAnsi="Times New Roman" w:cs="Times New Roman"/>
          <w:i/>
          <w:iCs/>
          <w:sz w:val="28"/>
          <w:szCs w:val="28"/>
        </w:rPr>
        <w:t>. </w:t>
      </w:r>
      <w:r w:rsidRPr="00EC42C3">
        <w:rPr>
          <w:rFonts w:ascii="Times New Roman" w:hAnsi="Times New Roman" w:cs="Times New Roman"/>
          <w:sz w:val="28"/>
          <w:szCs w:val="28"/>
          <w:shd w:val="clear" w:color="auto" w:fill="FFFFFF"/>
        </w:rPr>
        <w:t>De conformidad con la jurisprudencia reiterada de esa Corte, los requisitos en comento son:</w:t>
      </w:r>
      <w:r w:rsidRPr="00EC42C3">
        <w:rPr>
          <w:rStyle w:val="apple-converted-space"/>
          <w:rFonts w:ascii="Times New Roman" w:eastAsiaTheme="majorEastAsia" w:hAnsi="Times New Roman" w:cs="Times New Roman"/>
          <w:sz w:val="28"/>
          <w:szCs w:val="28"/>
          <w:shd w:val="clear" w:color="auto" w:fill="FFFFFF"/>
        </w:rPr>
        <w:t> </w:t>
      </w:r>
      <w:r w:rsidRPr="00EC42C3">
        <w:rPr>
          <w:rFonts w:ascii="Times New Roman" w:hAnsi="Times New Roman" w:cs="Times New Roman"/>
          <w:i/>
          <w:iCs/>
          <w:sz w:val="28"/>
          <w:szCs w:val="28"/>
        </w:rPr>
        <w:t>(i)</w:t>
      </w:r>
      <w:r w:rsidRPr="00EC42C3">
        <w:rPr>
          <w:rFonts w:ascii="Times New Roman" w:hAnsi="Times New Roman" w:cs="Times New Roman"/>
          <w:sz w:val="28"/>
          <w:szCs w:val="28"/>
          <w:shd w:val="clear" w:color="auto" w:fill="FFFFFF"/>
        </w:rPr>
        <w:t> </w:t>
      </w:r>
      <w:r w:rsidRPr="00EC42C3">
        <w:rPr>
          <w:rFonts w:ascii="Times New Roman" w:hAnsi="Times New Roman" w:cs="Times New Roman"/>
          <w:b/>
          <w:bCs/>
          <w:i/>
          <w:iCs/>
          <w:sz w:val="28"/>
          <w:szCs w:val="28"/>
        </w:rPr>
        <w:t>claridad</w:t>
      </w:r>
      <w:r w:rsidRPr="00EC42C3">
        <w:rPr>
          <w:rFonts w:ascii="Times New Roman" w:hAnsi="Times New Roman" w:cs="Times New Roman"/>
          <w:sz w:val="28"/>
          <w:szCs w:val="28"/>
          <w:shd w:val="clear" w:color="auto" w:fill="FFFFFF"/>
        </w:rPr>
        <w:t>, que exige la existencia de una secuencia conductora que permita un fácil entendimiento de las razone</w:t>
      </w:r>
      <w:r w:rsidRPr="00EC42C3">
        <w:rPr>
          <w:rFonts w:ascii="Times New Roman" w:hAnsi="Times New Roman" w:cs="Times New Roman"/>
          <w:sz w:val="28"/>
          <w:szCs w:val="28"/>
          <w:shd w:val="clear" w:color="auto" w:fill="FFFFFF"/>
        </w:rPr>
        <w:t>s de la demanda; </w:t>
      </w:r>
      <w:r w:rsidRPr="00EC42C3">
        <w:rPr>
          <w:rFonts w:ascii="Times New Roman" w:hAnsi="Times New Roman" w:cs="Times New Roman"/>
          <w:i/>
          <w:iCs/>
          <w:sz w:val="28"/>
          <w:szCs w:val="28"/>
        </w:rPr>
        <w:t>(ii) </w:t>
      </w:r>
      <w:r w:rsidRPr="00EC42C3">
        <w:rPr>
          <w:rFonts w:ascii="Times New Roman" w:hAnsi="Times New Roman" w:cs="Times New Roman"/>
          <w:b/>
          <w:bCs/>
          <w:i/>
          <w:iCs/>
          <w:sz w:val="28"/>
          <w:szCs w:val="28"/>
        </w:rPr>
        <w:t>certeza</w:t>
      </w:r>
      <w:r w:rsidRPr="00EC42C3">
        <w:rPr>
          <w:rFonts w:ascii="Times New Roman" w:hAnsi="Times New Roman" w:cs="Times New Roman"/>
          <w:sz w:val="28"/>
          <w:szCs w:val="28"/>
          <w:shd w:val="clear" w:color="auto" w:fill="FFFFFF"/>
        </w:rPr>
        <w:t>, que se presenta cuando la censura recae sobre una proposición jurídica real y no como resultado de una inferencia subjetiva por parte del demandante;</w:t>
      </w:r>
      <w:r w:rsidRPr="00EC42C3">
        <w:rPr>
          <w:rStyle w:val="apple-converted-space"/>
          <w:rFonts w:ascii="Times New Roman" w:eastAsiaTheme="majorEastAsia" w:hAnsi="Times New Roman" w:cs="Times New Roman"/>
          <w:sz w:val="28"/>
          <w:szCs w:val="28"/>
          <w:shd w:val="clear" w:color="auto" w:fill="FFFFFF"/>
        </w:rPr>
        <w:t> </w:t>
      </w:r>
      <w:r w:rsidRPr="00EC42C3">
        <w:rPr>
          <w:rFonts w:ascii="Times New Roman" w:hAnsi="Times New Roman" w:cs="Times New Roman"/>
          <w:i/>
          <w:iCs/>
          <w:sz w:val="28"/>
          <w:szCs w:val="28"/>
        </w:rPr>
        <w:t>(iii)</w:t>
      </w:r>
      <w:r w:rsidRPr="00EC42C3">
        <w:rPr>
          <w:rFonts w:ascii="Times New Roman" w:hAnsi="Times New Roman" w:cs="Times New Roman"/>
          <w:sz w:val="28"/>
          <w:szCs w:val="28"/>
          <w:shd w:val="clear" w:color="auto" w:fill="FFFFFF"/>
        </w:rPr>
        <w:t> </w:t>
      </w:r>
      <w:r w:rsidRPr="00EC42C3">
        <w:rPr>
          <w:rFonts w:ascii="Times New Roman" w:hAnsi="Times New Roman" w:cs="Times New Roman"/>
          <w:b/>
          <w:bCs/>
          <w:i/>
          <w:iCs/>
          <w:sz w:val="28"/>
          <w:szCs w:val="28"/>
        </w:rPr>
        <w:t>especificidad</w:t>
      </w:r>
      <w:r w:rsidRPr="00EC42C3">
        <w:rPr>
          <w:rFonts w:ascii="Times New Roman" w:hAnsi="Times New Roman" w:cs="Times New Roman"/>
          <w:sz w:val="28"/>
          <w:szCs w:val="28"/>
          <w:shd w:val="clear" w:color="auto" w:fill="FFFFFF"/>
        </w:rPr>
        <w:t>,  que significa mostrar de forma explícita la manera co</w:t>
      </w:r>
      <w:r w:rsidRPr="00EC42C3">
        <w:rPr>
          <w:rFonts w:ascii="Times New Roman" w:hAnsi="Times New Roman" w:cs="Times New Roman"/>
          <w:sz w:val="28"/>
          <w:szCs w:val="28"/>
          <w:shd w:val="clear" w:color="auto" w:fill="FFFFFF"/>
        </w:rPr>
        <w:t>mo la norma demandada vulnera la Constitución Política, lo que excluye argumentos genéricos, globales y abstractos;</w:t>
      </w:r>
      <w:r w:rsidRPr="00EC42C3">
        <w:rPr>
          <w:rStyle w:val="apple-converted-space"/>
          <w:rFonts w:ascii="Times New Roman" w:eastAsiaTheme="majorEastAsia" w:hAnsi="Times New Roman" w:cs="Times New Roman"/>
          <w:sz w:val="28"/>
          <w:szCs w:val="28"/>
          <w:shd w:val="clear" w:color="auto" w:fill="FFFFFF"/>
        </w:rPr>
        <w:t> </w:t>
      </w:r>
      <w:r w:rsidRPr="00EC42C3">
        <w:rPr>
          <w:rFonts w:ascii="Times New Roman" w:hAnsi="Times New Roman" w:cs="Times New Roman"/>
          <w:i/>
          <w:iCs/>
          <w:sz w:val="28"/>
          <w:szCs w:val="28"/>
        </w:rPr>
        <w:t>(iv)</w:t>
      </w:r>
      <w:r w:rsidRPr="00EC42C3">
        <w:rPr>
          <w:rFonts w:ascii="Times New Roman" w:hAnsi="Times New Roman" w:cs="Times New Roman"/>
          <w:sz w:val="28"/>
          <w:szCs w:val="28"/>
          <w:shd w:val="clear" w:color="auto" w:fill="FFFFFF"/>
        </w:rPr>
        <w:t> </w:t>
      </w:r>
      <w:r w:rsidRPr="00EC42C3">
        <w:rPr>
          <w:rFonts w:ascii="Times New Roman" w:hAnsi="Times New Roman" w:cs="Times New Roman"/>
          <w:b/>
          <w:bCs/>
          <w:i/>
          <w:iCs/>
          <w:sz w:val="28"/>
          <w:szCs w:val="28"/>
        </w:rPr>
        <w:t>pertinencia</w:t>
      </w:r>
      <w:r w:rsidRPr="00EC42C3">
        <w:rPr>
          <w:rFonts w:ascii="Times New Roman" w:hAnsi="Times New Roman" w:cs="Times New Roman"/>
          <w:sz w:val="28"/>
          <w:szCs w:val="28"/>
          <w:shd w:val="clear" w:color="auto" w:fill="FFFFFF"/>
        </w:rPr>
        <w:t xml:space="preserve">, cuando se emplean argumentos de naturaleza estrictamente constitucional y no de estirpe legal, doctrinal, de conveniencia </w:t>
      </w:r>
      <w:r w:rsidRPr="00EC42C3">
        <w:rPr>
          <w:rFonts w:ascii="Times New Roman" w:hAnsi="Times New Roman" w:cs="Times New Roman"/>
          <w:sz w:val="28"/>
          <w:szCs w:val="28"/>
          <w:shd w:val="clear" w:color="auto" w:fill="FFFFFF"/>
        </w:rPr>
        <w:t>o de mera implementación; y,</w:t>
      </w:r>
      <w:r w:rsidRPr="00EC42C3">
        <w:rPr>
          <w:rStyle w:val="apple-converted-space"/>
          <w:rFonts w:ascii="Times New Roman" w:eastAsiaTheme="majorEastAsia" w:hAnsi="Times New Roman" w:cs="Times New Roman"/>
          <w:sz w:val="28"/>
          <w:szCs w:val="28"/>
          <w:shd w:val="clear" w:color="auto" w:fill="FFFFFF"/>
        </w:rPr>
        <w:t> </w:t>
      </w:r>
      <w:r w:rsidRPr="00EC42C3">
        <w:rPr>
          <w:rFonts w:ascii="Times New Roman" w:hAnsi="Times New Roman" w:cs="Times New Roman"/>
          <w:i/>
          <w:iCs/>
          <w:sz w:val="28"/>
          <w:szCs w:val="28"/>
        </w:rPr>
        <w:t>(v)</w:t>
      </w:r>
      <w:r w:rsidRPr="00EC42C3">
        <w:rPr>
          <w:rFonts w:ascii="Times New Roman" w:hAnsi="Times New Roman" w:cs="Times New Roman"/>
          <w:sz w:val="28"/>
          <w:szCs w:val="28"/>
          <w:shd w:val="clear" w:color="auto" w:fill="FFFFFF"/>
        </w:rPr>
        <w:t> </w:t>
      </w:r>
      <w:r w:rsidRPr="00EC42C3">
        <w:rPr>
          <w:rFonts w:ascii="Times New Roman" w:hAnsi="Times New Roman" w:cs="Times New Roman"/>
          <w:b/>
          <w:bCs/>
          <w:i/>
          <w:iCs/>
          <w:sz w:val="28"/>
          <w:szCs w:val="28"/>
        </w:rPr>
        <w:t>suficiencia</w:t>
      </w:r>
      <w:r w:rsidRPr="00EC42C3">
        <w:rPr>
          <w:rFonts w:ascii="Times New Roman" w:hAnsi="Times New Roman" w:cs="Times New Roman"/>
          <w:sz w:val="28"/>
          <w:szCs w:val="28"/>
          <w:shd w:val="clear" w:color="auto" w:fill="FFFFFF"/>
        </w:rPr>
        <w:t>, cuando la demanda tiene un alcance persuasivo, es decir, que logra suscitar una duda mínima sobre la inconstitucionalidad de la norma demandada.</w:t>
      </w:r>
      <w:r w:rsidRPr="00EC42C3">
        <w:rPr>
          <w:rStyle w:val="Refdenotaalpie"/>
          <w:rFonts w:ascii="Times New Roman" w:hAnsi="Times New Roman" w:cs="Times New Roman"/>
          <w:sz w:val="28"/>
          <w:szCs w:val="28"/>
          <w:shd w:val="clear" w:color="auto" w:fill="FFFFFF"/>
        </w:rPr>
        <w:footnoteReference w:id="5"/>
      </w:r>
    </w:p>
    <w:p w:rsidR="00660D01" w:rsidRPr="00EC42C3" w:rsidRDefault="00EC42C3" w:rsidP="00B3275D">
      <w:pPr>
        <w:pStyle w:val="Prrafodelista"/>
        <w:tabs>
          <w:tab w:val="left" w:pos="426"/>
        </w:tabs>
        <w:ind w:left="0"/>
        <w:contextualSpacing w:val="0"/>
        <w:jc w:val="both"/>
        <w:rPr>
          <w:rFonts w:ascii="Times New Roman" w:hAnsi="Times New Roman" w:cs="Times New Roman"/>
          <w:b/>
          <w:bCs/>
          <w:sz w:val="28"/>
          <w:szCs w:val="28"/>
        </w:rPr>
      </w:pPr>
    </w:p>
    <w:p w:rsidR="007111D9"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b/>
          <w:bCs/>
          <w:sz w:val="28"/>
          <w:szCs w:val="28"/>
        </w:rPr>
      </w:pPr>
      <w:r w:rsidRPr="00EC42C3">
        <w:rPr>
          <w:rFonts w:ascii="Times New Roman" w:hAnsi="Times New Roman" w:cs="Times New Roman"/>
          <w:sz w:val="28"/>
          <w:szCs w:val="28"/>
          <w:shd w:val="clear" w:color="auto" w:fill="FFFFFF"/>
        </w:rPr>
        <w:t>Adicionalmente, conviene destacar que, como guardiana de la sup</w:t>
      </w:r>
      <w:r w:rsidRPr="00EC42C3">
        <w:rPr>
          <w:rFonts w:ascii="Times New Roman" w:hAnsi="Times New Roman" w:cs="Times New Roman"/>
          <w:sz w:val="28"/>
          <w:szCs w:val="28"/>
          <w:shd w:val="clear" w:color="auto" w:fill="FFFFFF"/>
        </w:rPr>
        <w:t>remacía constitucional, la Sala ha determinado que el control de constitucionalidad no solo procede respecto de acciones del legislador, sino también frente a sus omisiones, cuando estas tienen por efecto el incumplimiento de mandatos constitucionales espe</w:t>
      </w:r>
      <w:r w:rsidRPr="00EC42C3">
        <w:rPr>
          <w:rFonts w:ascii="Times New Roman" w:hAnsi="Times New Roman" w:cs="Times New Roman"/>
          <w:sz w:val="28"/>
          <w:szCs w:val="28"/>
          <w:shd w:val="clear" w:color="auto" w:fill="FFFFFF"/>
        </w:rPr>
        <w:t>cíficos e ineludibles.</w:t>
      </w:r>
      <w:r w:rsidRPr="00EC42C3">
        <w:rPr>
          <w:rStyle w:val="Refdenotaalpie"/>
          <w:rFonts w:ascii="Times New Roman" w:hAnsi="Times New Roman" w:cs="Times New Roman"/>
          <w:sz w:val="28"/>
          <w:szCs w:val="28"/>
          <w:shd w:val="clear" w:color="auto" w:fill="FFFFFF"/>
        </w:rPr>
        <w:footnoteReference w:id="6"/>
      </w:r>
    </w:p>
    <w:p w:rsidR="00C14E43" w:rsidRPr="00EC42C3" w:rsidRDefault="00EC42C3" w:rsidP="00B3275D">
      <w:pPr>
        <w:pStyle w:val="Prrafodelista"/>
        <w:rPr>
          <w:rFonts w:ascii="Times New Roman" w:hAnsi="Times New Roman" w:cs="Times New Roman"/>
          <w:b/>
          <w:bCs/>
          <w:sz w:val="28"/>
          <w:szCs w:val="28"/>
        </w:rPr>
      </w:pPr>
    </w:p>
    <w:p w:rsidR="00C14E43"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b/>
          <w:bCs/>
          <w:sz w:val="28"/>
          <w:szCs w:val="28"/>
        </w:rPr>
      </w:pPr>
      <w:r w:rsidRPr="00EC42C3">
        <w:rPr>
          <w:rFonts w:ascii="Times New Roman" w:hAnsi="Times New Roman" w:cs="Times New Roman"/>
          <w:sz w:val="28"/>
          <w:szCs w:val="28"/>
          <w:shd w:val="clear" w:color="auto" w:fill="FFFFFF"/>
          <w:lang w:val="es-ES_tradnl"/>
        </w:rPr>
        <w:t>En materia de omisiones legislativas, existen dos tipos: las absolutas</w:t>
      </w:r>
      <w:r w:rsidRPr="00EC42C3">
        <w:rPr>
          <w:rStyle w:val="apple-converted-space"/>
          <w:rFonts w:ascii="Times New Roman" w:eastAsiaTheme="majorEastAsia" w:hAnsi="Times New Roman" w:cs="Times New Roman"/>
          <w:sz w:val="28"/>
          <w:szCs w:val="28"/>
          <w:shd w:val="clear" w:color="auto" w:fill="FFFFFF"/>
          <w:lang w:val="es-ES_tradnl"/>
        </w:rPr>
        <w:t> </w:t>
      </w:r>
      <w:r w:rsidRPr="00EC42C3">
        <w:rPr>
          <w:rFonts w:ascii="Times New Roman" w:hAnsi="Times New Roman" w:cs="Times New Roman"/>
          <w:sz w:val="28"/>
          <w:szCs w:val="28"/>
          <w:shd w:val="clear" w:color="auto" w:fill="FFFFFF"/>
          <w:lang w:val="es-ES_tradnl"/>
        </w:rPr>
        <w:t>y las relativas.</w:t>
      </w:r>
      <w:r w:rsidRPr="00EC42C3">
        <w:rPr>
          <w:rStyle w:val="apple-converted-space"/>
          <w:rFonts w:ascii="Times New Roman" w:eastAsiaTheme="majorEastAsia" w:hAnsi="Times New Roman" w:cs="Times New Roman"/>
          <w:sz w:val="28"/>
          <w:szCs w:val="28"/>
          <w:shd w:val="clear" w:color="auto" w:fill="FFFFFF"/>
          <w:lang w:val="es-ES_tradnl"/>
        </w:rPr>
        <w:t xml:space="preserve"> Las omisiones legislativas absolutas se presentan cuando no existe ningún desarrollo legal del precepto constitucional. Por su parte, las </w:t>
      </w:r>
      <w:r w:rsidRPr="00EC42C3">
        <w:rPr>
          <w:rStyle w:val="apple-converted-space"/>
          <w:rFonts w:ascii="Times New Roman" w:eastAsiaTheme="majorEastAsia" w:hAnsi="Times New Roman" w:cs="Times New Roman"/>
          <w:sz w:val="28"/>
          <w:szCs w:val="28"/>
          <w:shd w:val="clear" w:color="auto" w:fill="FFFFFF"/>
          <w:lang w:val="es-ES_tradnl"/>
        </w:rPr>
        <w:t>omisiones legislativas relativas ocurren cuando, aunque existe una disposición legal que en principio cumple el deber constitucional, esta resulta incompleta al carecer de</w:t>
      </w:r>
      <w:r w:rsidRPr="00EC42C3">
        <w:rPr>
          <w:rStyle w:val="apple-converted-space"/>
          <w:rFonts w:ascii="Times New Roman" w:eastAsiaTheme="majorEastAsia" w:hAnsi="Times New Roman" w:cs="Times New Roman"/>
          <w:i/>
          <w:iCs/>
          <w:sz w:val="28"/>
          <w:szCs w:val="28"/>
          <w:shd w:val="clear" w:color="auto" w:fill="FFFFFF"/>
          <w:lang w:val="es-ES_tradnl"/>
        </w:rPr>
        <w:t> </w:t>
      </w:r>
      <w:r w:rsidRPr="00EC42C3">
        <w:rPr>
          <w:rFonts w:ascii="Times New Roman" w:hAnsi="Times New Roman" w:cs="Times New Roman"/>
          <w:i/>
          <w:iCs/>
          <w:sz w:val="28"/>
          <w:szCs w:val="28"/>
          <w:shd w:val="clear" w:color="auto" w:fill="FFFFFF"/>
          <w:lang w:val="es-ES_tradnl"/>
        </w:rPr>
        <w:t>“un ingrediente, consecuencia o condición que resultaba esencial para armonizar el t</w:t>
      </w:r>
      <w:r w:rsidRPr="00EC42C3">
        <w:rPr>
          <w:rFonts w:ascii="Times New Roman" w:hAnsi="Times New Roman" w:cs="Times New Roman"/>
          <w:i/>
          <w:iCs/>
          <w:sz w:val="28"/>
          <w:szCs w:val="28"/>
          <w:shd w:val="clear" w:color="auto" w:fill="FFFFFF"/>
          <w:lang w:val="es-ES_tradnl"/>
        </w:rPr>
        <w:t>exto legal con los mandatos previstos en la Carta Política.”</w:t>
      </w:r>
      <w:r w:rsidRPr="00EC42C3">
        <w:rPr>
          <w:rStyle w:val="Refdenotaalpie"/>
          <w:rFonts w:ascii="Times New Roman" w:hAnsi="Times New Roman" w:cs="Times New Roman"/>
          <w:i/>
          <w:iCs/>
          <w:sz w:val="28"/>
          <w:szCs w:val="28"/>
          <w:shd w:val="clear" w:color="auto" w:fill="FFFFFF"/>
          <w:lang w:val="es-ES_tradnl"/>
        </w:rPr>
        <w:footnoteReference w:id="7"/>
      </w:r>
    </w:p>
    <w:p w:rsidR="00C14E43" w:rsidRPr="00EC42C3" w:rsidRDefault="00EC42C3" w:rsidP="00B3275D">
      <w:pPr>
        <w:pStyle w:val="Prrafodelista"/>
        <w:rPr>
          <w:rFonts w:ascii="Times New Roman" w:hAnsi="Times New Roman" w:cs="Times New Roman"/>
          <w:b/>
          <w:bCs/>
          <w:sz w:val="28"/>
          <w:szCs w:val="28"/>
        </w:rPr>
      </w:pPr>
    </w:p>
    <w:p w:rsidR="00C14E43"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rPr>
        <w:t xml:space="preserve">En este sentido, es importante precisar que el control que ejerce esta Corte, a través de la acción pública de inconstitucionalidad, solo procede frente a las omisiones legislativas relativas. </w:t>
      </w:r>
      <w:r w:rsidRPr="00EC42C3">
        <w:rPr>
          <w:rFonts w:ascii="Times New Roman" w:hAnsi="Times New Roman" w:cs="Times New Roman"/>
          <w:sz w:val="28"/>
          <w:szCs w:val="28"/>
        </w:rPr>
        <w:t xml:space="preserve">En contraste, las omisiones legislativas absolutas </w:t>
      </w:r>
      <w:r w:rsidRPr="00EC42C3">
        <w:rPr>
          <w:rFonts w:ascii="Times New Roman" w:hAnsi="Times New Roman" w:cs="Times New Roman"/>
          <w:i/>
          <w:iCs/>
          <w:sz w:val="28"/>
          <w:szCs w:val="28"/>
        </w:rPr>
        <w:t>“no son susceptibles de control de constitucionalidad, en tanto se carece de objeto sobre el cual pueda recaer el análisis a cargo de la Corte.”</w:t>
      </w:r>
      <w:r w:rsidRPr="00EC42C3">
        <w:rPr>
          <w:rStyle w:val="Refdenotaalpie"/>
          <w:rFonts w:ascii="Times New Roman" w:hAnsi="Times New Roman" w:cs="Times New Roman"/>
          <w:i/>
          <w:iCs/>
          <w:sz w:val="28"/>
          <w:szCs w:val="28"/>
        </w:rPr>
        <w:footnoteReference w:id="8"/>
      </w:r>
    </w:p>
    <w:p w:rsidR="00484460" w:rsidRPr="00EC42C3" w:rsidRDefault="00EC42C3" w:rsidP="00B3275D">
      <w:pPr>
        <w:pStyle w:val="Prrafodelista"/>
        <w:rPr>
          <w:rFonts w:ascii="Times New Roman" w:hAnsi="Times New Roman" w:cs="Times New Roman"/>
          <w:b/>
          <w:bCs/>
          <w:i/>
          <w:iCs/>
          <w:sz w:val="28"/>
          <w:szCs w:val="28"/>
        </w:rPr>
      </w:pPr>
    </w:p>
    <w:p w:rsidR="00484460"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lang w:val="es-ES_tradnl"/>
        </w:rPr>
        <w:t>Así, cuando se presenta una demanda de inconstitucionalida</w:t>
      </w:r>
      <w:r w:rsidRPr="00EC42C3">
        <w:rPr>
          <w:rFonts w:ascii="Times New Roman" w:hAnsi="Times New Roman" w:cs="Times New Roman"/>
          <w:sz w:val="28"/>
          <w:szCs w:val="28"/>
          <w:lang w:val="es-ES_tradnl"/>
        </w:rPr>
        <w:t>d por omisión legislativa relativa, además de cumplir con los requisitos generales de cualquier demanda de inconstitucionalidad, el actor debe formular un razonamiento específico que demuestre la existencia de una carencia parcial de regulación que vulnere</w:t>
      </w:r>
      <w:r w:rsidRPr="00EC42C3">
        <w:rPr>
          <w:rFonts w:ascii="Times New Roman" w:hAnsi="Times New Roman" w:cs="Times New Roman"/>
          <w:sz w:val="28"/>
          <w:szCs w:val="28"/>
          <w:lang w:val="es-ES_tradnl"/>
        </w:rPr>
        <w:t xml:space="preserve"> el ordenamiento superior. Esto implica una carga argumentativa más rigurosa, ya que corresponde al demandante, y no al juez constitucional, delimitar el marco dentro del cual se ejercerá el control sobre la norma acusada de incurrir en una omisión legisla</w:t>
      </w:r>
      <w:r w:rsidRPr="00EC42C3">
        <w:rPr>
          <w:rFonts w:ascii="Times New Roman" w:hAnsi="Times New Roman" w:cs="Times New Roman"/>
          <w:sz w:val="28"/>
          <w:szCs w:val="28"/>
          <w:lang w:val="es-ES_tradnl"/>
        </w:rPr>
        <w:t>tiva relativa.</w:t>
      </w:r>
      <w:r w:rsidRPr="00EC42C3">
        <w:rPr>
          <w:rStyle w:val="Refdenotaalpie"/>
          <w:rFonts w:ascii="Times New Roman" w:hAnsi="Times New Roman" w:cs="Times New Roman"/>
          <w:sz w:val="28"/>
          <w:szCs w:val="28"/>
          <w:lang w:val="es-ES_tradnl"/>
        </w:rPr>
        <w:footnoteReference w:id="9"/>
      </w:r>
    </w:p>
    <w:p w:rsidR="00484460" w:rsidRPr="00EC42C3" w:rsidRDefault="00EC42C3" w:rsidP="00B3275D">
      <w:pPr>
        <w:pStyle w:val="Prrafodelista"/>
        <w:rPr>
          <w:rFonts w:ascii="Times New Roman" w:hAnsi="Times New Roman" w:cs="Times New Roman"/>
          <w:b/>
          <w:bCs/>
          <w:i/>
          <w:iCs/>
          <w:sz w:val="28"/>
          <w:szCs w:val="28"/>
        </w:rPr>
      </w:pPr>
    </w:p>
    <w:p w:rsidR="00484460"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lang w:val="es-ES_tradnl"/>
        </w:rPr>
        <w:t xml:space="preserve">En ese entendido, para que una demanda por omisión legislativa relativa pueda generar un pronunciamiento de </w:t>
      </w:r>
      <w:r w:rsidRPr="00EC42C3">
        <w:rPr>
          <w:rFonts w:ascii="Times New Roman" w:hAnsi="Times New Roman" w:cs="Times New Roman"/>
          <w:sz w:val="28"/>
          <w:szCs w:val="28"/>
          <w:lang w:val="es-ES_tradnl"/>
        </w:rPr>
        <w:t>fondo</w:t>
      </w:r>
      <w:r w:rsidRPr="00EC42C3">
        <w:rPr>
          <w:rFonts w:ascii="Times New Roman" w:hAnsi="Times New Roman" w:cs="Times New Roman"/>
          <w:sz w:val="28"/>
          <w:szCs w:val="28"/>
          <w:lang w:val="es-ES_tradnl"/>
        </w:rPr>
        <w:t>, la jurisprudencia</w:t>
      </w:r>
      <w:r w:rsidRPr="00EC42C3">
        <w:rPr>
          <w:rFonts w:ascii="Times New Roman" w:hAnsi="Times New Roman" w:cs="Times New Roman"/>
          <w:sz w:val="28"/>
          <w:szCs w:val="28"/>
          <w:lang w:val="es-ES_tradnl"/>
        </w:rPr>
        <w:t xml:space="preserve"> ha establecido que el demandante debe: </w:t>
      </w:r>
      <w:r w:rsidRPr="00EC42C3">
        <w:rPr>
          <w:rFonts w:ascii="Times New Roman" w:hAnsi="Times New Roman" w:cs="Times New Roman"/>
          <w:i/>
          <w:iCs/>
          <w:sz w:val="28"/>
          <w:szCs w:val="28"/>
          <w:lang w:val="es-ES_tradnl"/>
        </w:rPr>
        <w:t>(i)</w:t>
      </w:r>
      <w:r w:rsidRPr="00EC42C3">
        <w:rPr>
          <w:rFonts w:ascii="Times New Roman" w:hAnsi="Times New Roman" w:cs="Times New Roman"/>
          <w:sz w:val="28"/>
          <w:szCs w:val="28"/>
          <w:lang w:val="es-ES_tradnl"/>
        </w:rPr>
        <w:t xml:space="preserve"> señalar la norma jurídica sobre la cual se predica la omisión; </w:t>
      </w:r>
      <w:r w:rsidRPr="00EC42C3">
        <w:rPr>
          <w:rFonts w:ascii="Times New Roman" w:hAnsi="Times New Roman" w:cs="Times New Roman"/>
          <w:i/>
          <w:iCs/>
          <w:sz w:val="28"/>
          <w:szCs w:val="28"/>
          <w:lang w:val="es-ES_tradnl"/>
        </w:rPr>
        <w:t>(ii)</w:t>
      </w:r>
      <w:r w:rsidRPr="00EC42C3">
        <w:rPr>
          <w:rFonts w:ascii="Times New Roman" w:hAnsi="Times New Roman" w:cs="Times New Roman"/>
          <w:sz w:val="28"/>
          <w:szCs w:val="28"/>
          <w:lang w:val="es-ES_tradnl"/>
        </w:rPr>
        <w:t xml:space="preserve"> argumentar con claridad, certeza, especificidad, pertinencia y suficiencia por qué el texto señalado incurre en el incumplimiento de un deber específico consagrado en la Constitución; y, a partir de ello, </w:t>
      </w:r>
      <w:r w:rsidRPr="00EC42C3">
        <w:rPr>
          <w:rFonts w:ascii="Times New Roman" w:hAnsi="Times New Roman" w:cs="Times New Roman"/>
          <w:i/>
          <w:iCs/>
          <w:sz w:val="28"/>
          <w:szCs w:val="28"/>
          <w:lang w:val="es-ES_tradnl"/>
        </w:rPr>
        <w:t>(iii)</w:t>
      </w:r>
      <w:r w:rsidRPr="00EC42C3">
        <w:rPr>
          <w:rFonts w:ascii="Times New Roman" w:hAnsi="Times New Roman" w:cs="Times New Roman"/>
          <w:sz w:val="28"/>
          <w:szCs w:val="28"/>
          <w:lang w:val="es-ES_tradnl"/>
        </w:rPr>
        <w:t xml:space="preserve"> explicar los motivos por los cuales se c</w:t>
      </w:r>
      <w:r w:rsidRPr="00EC42C3">
        <w:rPr>
          <w:rFonts w:ascii="Times New Roman" w:hAnsi="Times New Roman" w:cs="Times New Roman"/>
          <w:sz w:val="28"/>
          <w:szCs w:val="28"/>
          <w:lang w:val="es-ES_tradnl"/>
        </w:rPr>
        <w:t>onfigura la omisión inconstitucional. En particular, debe justificar por qué la norma debería incluir a personas no contempladas, prever determinadas consecuencias jurídicas, incorporar un ingrediente normativo indispensable para su compatibilidad con la C</w:t>
      </w:r>
      <w:r w:rsidRPr="00EC42C3">
        <w:rPr>
          <w:rFonts w:ascii="Times New Roman" w:hAnsi="Times New Roman" w:cs="Times New Roman"/>
          <w:sz w:val="28"/>
          <w:szCs w:val="28"/>
          <w:lang w:val="es-ES_tradnl"/>
        </w:rPr>
        <w:t>onstitución, o establecer una condición necesaria para su validez constitucional</w:t>
      </w:r>
      <w:r w:rsidRPr="00EC42C3">
        <w:rPr>
          <w:rFonts w:ascii="Times New Roman" w:hAnsi="Times New Roman" w:cs="Times New Roman"/>
          <w:sz w:val="28"/>
          <w:szCs w:val="28"/>
          <w:lang w:val="es-ES_tradnl"/>
        </w:rPr>
        <w:t>.</w:t>
      </w:r>
      <w:r w:rsidRPr="00EC42C3">
        <w:rPr>
          <w:rStyle w:val="Refdenotaalpie"/>
          <w:rFonts w:ascii="Times New Roman" w:hAnsi="Times New Roman" w:cs="Times New Roman"/>
          <w:sz w:val="28"/>
          <w:szCs w:val="28"/>
          <w:lang w:val="es-ES_tradnl"/>
        </w:rPr>
        <w:footnoteReference w:id="10"/>
      </w:r>
    </w:p>
    <w:p w:rsidR="00484460" w:rsidRPr="00EC42C3" w:rsidRDefault="00EC42C3" w:rsidP="00B3275D">
      <w:pPr>
        <w:pStyle w:val="Prrafodelista"/>
        <w:rPr>
          <w:rFonts w:ascii="Times New Roman" w:hAnsi="Times New Roman" w:cs="Times New Roman"/>
          <w:b/>
          <w:bCs/>
          <w:i/>
          <w:iCs/>
          <w:sz w:val="28"/>
          <w:szCs w:val="28"/>
        </w:rPr>
      </w:pPr>
    </w:p>
    <w:p w:rsidR="00484460"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shd w:val="clear" w:color="auto" w:fill="FFFFFF"/>
        </w:rPr>
        <w:t>Frente a tales exigencias, esta Corte ha precisado que para que se pueda emitir un pronunciamiento de fondo sobre una omisión legislativa relativa, esta debe ser atribuible</w:t>
      </w:r>
      <w:r w:rsidRPr="00EC42C3">
        <w:rPr>
          <w:rFonts w:ascii="Times New Roman" w:hAnsi="Times New Roman" w:cs="Times New Roman"/>
          <w:sz w:val="28"/>
          <w:szCs w:val="28"/>
          <w:shd w:val="clear" w:color="auto" w:fill="FFFFFF"/>
        </w:rPr>
        <w:t xml:space="preserve"> directamente al texto de la disposición demandada y no a otros enunciados normativos ajenos al control de constitucionalidad. La inconstitucionalidad no puede derivarse de interpretaciones amplias o de la ausencia de elementos contenidos en otras normas o</w:t>
      </w:r>
      <w:r w:rsidRPr="00EC42C3">
        <w:rPr>
          <w:rFonts w:ascii="Times New Roman" w:hAnsi="Times New Roman" w:cs="Times New Roman"/>
          <w:sz w:val="28"/>
          <w:szCs w:val="28"/>
          <w:shd w:val="clear" w:color="auto" w:fill="FFFFFF"/>
        </w:rPr>
        <w:t xml:space="preserve"> en la jurisprudencia. Por esta razón, la Sala no ha analizado de fondo demandas cuando la omisión alegada resulta de una lectura subjetiva, aislada o parcial de la disposición impugnada.</w:t>
      </w:r>
      <w:r w:rsidRPr="00EC42C3">
        <w:rPr>
          <w:rStyle w:val="Refdenotaalpie"/>
          <w:rFonts w:ascii="Times New Roman" w:hAnsi="Times New Roman" w:cs="Times New Roman"/>
          <w:sz w:val="28"/>
          <w:szCs w:val="28"/>
          <w:shd w:val="clear" w:color="auto" w:fill="FFFFFF"/>
        </w:rPr>
        <w:footnoteReference w:id="11"/>
      </w:r>
    </w:p>
    <w:p w:rsidR="00484460" w:rsidRPr="00EC42C3" w:rsidRDefault="00EC42C3" w:rsidP="00B3275D">
      <w:pPr>
        <w:pStyle w:val="Prrafodelista"/>
        <w:rPr>
          <w:rFonts w:ascii="Times New Roman" w:hAnsi="Times New Roman" w:cs="Times New Roman"/>
          <w:b/>
          <w:bCs/>
          <w:i/>
          <w:iCs/>
          <w:sz w:val="28"/>
          <w:szCs w:val="28"/>
        </w:rPr>
      </w:pPr>
    </w:p>
    <w:p w:rsidR="00484460"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b/>
          <w:bCs/>
          <w:sz w:val="28"/>
          <w:szCs w:val="28"/>
        </w:rPr>
      </w:pPr>
      <w:r w:rsidRPr="00EC42C3">
        <w:rPr>
          <w:rFonts w:ascii="Times New Roman" w:hAnsi="Times New Roman" w:cs="Times New Roman"/>
          <w:sz w:val="28"/>
          <w:szCs w:val="28"/>
          <w:lang w:val="es-ES_tradnl"/>
        </w:rPr>
        <w:t xml:space="preserve">Finalmente, cabe </w:t>
      </w:r>
      <w:r w:rsidRPr="00EC42C3">
        <w:rPr>
          <w:rFonts w:ascii="Times New Roman" w:hAnsi="Times New Roman" w:cs="Times New Roman"/>
          <w:sz w:val="28"/>
          <w:szCs w:val="28"/>
          <w:lang w:val="es-ES_tradnl"/>
        </w:rPr>
        <w:t xml:space="preserve">señalar que, una vez verificada la aptitud de la </w:t>
      </w:r>
      <w:r w:rsidRPr="00EC42C3">
        <w:rPr>
          <w:rFonts w:ascii="Times New Roman" w:hAnsi="Times New Roman" w:cs="Times New Roman"/>
          <w:sz w:val="28"/>
          <w:szCs w:val="28"/>
          <w:lang w:val="es-ES_tradnl"/>
        </w:rPr>
        <w:t xml:space="preserve">demanda por omisión legislativa relativa, para emitir un pronunciamiento de fondo es necesario desarrollar un juicio que, conforme a la jurisprudencia de esta Corporación, comprende los siguientes elementos: </w:t>
      </w:r>
      <w:r w:rsidRPr="00EC42C3">
        <w:rPr>
          <w:rFonts w:ascii="Times New Roman" w:hAnsi="Times New Roman" w:cs="Times New Roman"/>
          <w:i/>
          <w:iCs/>
          <w:sz w:val="28"/>
          <w:szCs w:val="28"/>
          <w:lang w:val="es-ES_tradnl"/>
        </w:rPr>
        <w:t xml:space="preserve">(i) </w:t>
      </w:r>
      <w:r w:rsidRPr="00EC42C3">
        <w:rPr>
          <w:rFonts w:ascii="Times New Roman" w:hAnsi="Times New Roman" w:cs="Times New Roman"/>
          <w:sz w:val="28"/>
          <w:szCs w:val="28"/>
          <w:lang w:val="es-ES_tradnl"/>
        </w:rPr>
        <w:t>la existencia de una norma sobre la cual rec</w:t>
      </w:r>
      <w:r w:rsidRPr="00EC42C3">
        <w:rPr>
          <w:rFonts w:ascii="Times New Roman" w:hAnsi="Times New Roman" w:cs="Times New Roman"/>
          <w:sz w:val="28"/>
          <w:szCs w:val="28"/>
          <w:lang w:val="es-ES_tradnl"/>
        </w:rPr>
        <w:t xml:space="preserve">aiga necesariamente el cargo; </w:t>
      </w:r>
      <w:r w:rsidRPr="00EC42C3">
        <w:rPr>
          <w:rFonts w:ascii="Times New Roman" w:hAnsi="Times New Roman" w:cs="Times New Roman"/>
          <w:i/>
          <w:iCs/>
          <w:sz w:val="28"/>
          <w:szCs w:val="28"/>
          <w:lang w:val="es-ES_tradnl"/>
        </w:rPr>
        <w:t>(ii)</w:t>
      </w:r>
      <w:r w:rsidRPr="00EC42C3">
        <w:rPr>
          <w:rFonts w:ascii="Times New Roman" w:hAnsi="Times New Roman" w:cs="Times New Roman"/>
          <w:sz w:val="28"/>
          <w:szCs w:val="28"/>
          <w:lang w:val="es-ES_tradnl"/>
        </w:rPr>
        <w:t xml:space="preserve"> que dicha norma excluya de sus consecuencias jurídicas aquellos supuestos que, por ser asimilables, debieron estar contemplados en el texto normativo demandado, o que, en general, omita un ingrediente o condición que, de </w:t>
      </w:r>
      <w:r w:rsidRPr="00EC42C3">
        <w:rPr>
          <w:rFonts w:ascii="Times New Roman" w:hAnsi="Times New Roman" w:cs="Times New Roman"/>
          <w:sz w:val="28"/>
          <w:szCs w:val="28"/>
          <w:lang w:val="es-ES_tradnl"/>
        </w:rPr>
        <w:t xml:space="preserve">acuerdo con </w:t>
      </w:r>
      <w:r w:rsidRPr="00EC42C3">
        <w:rPr>
          <w:rFonts w:ascii="Times New Roman" w:hAnsi="Times New Roman" w:cs="Times New Roman"/>
          <w:sz w:val="28"/>
          <w:szCs w:val="28"/>
          <w:lang w:val="es-ES_tradnl"/>
        </w:rPr>
        <w:t>la Carta</w:t>
      </w:r>
      <w:r w:rsidRPr="00EC42C3">
        <w:rPr>
          <w:rFonts w:ascii="Times New Roman" w:hAnsi="Times New Roman" w:cs="Times New Roman"/>
          <w:sz w:val="28"/>
          <w:szCs w:val="28"/>
          <w:lang w:val="es-ES_tradnl"/>
        </w:rPr>
        <w:t xml:space="preserve">, resulta esencial para su armonización con los mandatos constitucionales; </w:t>
      </w:r>
      <w:r w:rsidRPr="00EC42C3">
        <w:rPr>
          <w:rFonts w:ascii="Times New Roman" w:hAnsi="Times New Roman" w:cs="Times New Roman"/>
          <w:i/>
          <w:iCs/>
          <w:sz w:val="28"/>
          <w:szCs w:val="28"/>
          <w:lang w:val="es-ES_tradnl"/>
        </w:rPr>
        <w:t>(iii)</w:t>
      </w:r>
      <w:r w:rsidRPr="00EC42C3">
        <w:rPr>
          <w:rFonts w:ascii="Times New Roman" w:hAnsi="Times New Roman" w:cs="Times New Roman"/>
          <w:sz w:val="28"/>
          <w:szCs w:val="28"/>
          <w:lang w:val="es-ES_tradnl"/>
        </w:rPr>
        <w:t xml:space="preserve"> que la exclusión de esos casos o ingredientes carezca de una razón suficiente y objetiva; </w:t>
      </w:r>
      <w:r w:rsidRPr="00EC42C3">
        <w:rPr>
          <w:rFonts w:ascii="Times New Roman" w:hAnsi="Times New Roman" w:cs="Times New Roman"/>
          <w:i/>
          <w:iCs/>
          <w:sz w:val="28"/>
          <w:szCs w:val="28"/>
          <w:lang w:val="es-ES_tradnl"/>
        </w:rPr>
        <w:t xml:space="preserve">(iv) </w:t>
      </w:r>
      <w:r w:rsidRPr="00EC42C3">
        <w:rPr>
          <w:rFonts w:ascii="Times New Roman" w:hAnsi="Times New Roman" w:cs="Times New Roman"/>
          <w:sz w:val="28"/>
          <w:szCs w:val="28"/>
          <w:lang w:val="es-ES_tradnl"/>
        </w:rPr>
        <w:t>que dicha exclusión genere una desigualdad negativa frente a</w:t>
      </w:r>
      <w:r w:rsidRPr="00EC42C3">
        <w:rPr>
          <w:rFonts w:ascii="Times New Roman" w:hAnsi="Times New Roman" w:cs="Times New Roman"/>
          <w:sz w:val="28"/>
          <w:szCs w:val="28"/>
          <w:lang w:val="es-ES_tradnl"/>
        </w:rPr>
        <w:t xml:space="preserve"> quienes sí están amparados por los efectos de la norma; y </w:t>
      </w:r>
      <w:r w:rsidRPr="00EC42C3">
        <w:rPr>
          <w:rFonts w:ascii="Times New Roman" w:hAnsi="Times New Roman" w:cs="Times New Roman"/>
          <w:i/>
          <w:iCs/>
          <w:sz w:val="28"/>
          <w:szCs w:val="28"/>
          <w:lang w:val="es-ES_tradnl"/>
        </w:rPr>
        <w:t xml:space="preserve">(v) </w:t>
      </w:r>
      <w:r w:rsidRPr="00EC42C3">
        <w:rPr>
          <w:rFonts w:ascii="Times New Roman" w:hAnsi="Times New Roman" w:cs="Times New Roman"/>
          <w:sz w:val="28"/>
          <w:szCs w:val="28"/>
          <w:lang w:val="es-ES_tradnl"/>
        </w:rPr>
        <w:t>que la omisión obedezca a la inobservancia de un deber específico impuesto de manera directa por el Constituyente al Legislador</w:t>
      </w:r>
      <w:r w:rsidRPr="00EC42C3">
        <w:rPr>
          <w:rFonts w:ascii="Times New Roman" w:hAnsi="Times New Roman" w:cs="Times New Roman"/>
          <w:sz w:val="28"/>
          <w:szCs w:val="28"/>
          <w:lang w:val="es-ES_tradnl"/>
        </w:rPr>
        <w:t>.</w:t>
      </w:r>
      <w:r w:rsidRPr="00EC42C3">
        <w:rPr>
          <w:rStyle w:val="Refdenotaalpie"/>
          <w:rFonts w:ascii="Times New Roman" w:hAnsi="Times New Roman" w:cs="Times New Roman"/>
          <w:sz w:val="28"/>
          <w:szCs w:val="28"/>
          <w:lang w:val="es-ES_tradnl"/>
        </w:rPr>
        <w:footnoteReference w:id="12"/>
      </w:r>
    </w:p>
    <w:p w:rsidR="00F23B67" w:rsidRPr="00EC42C3" w:rsidRDefault="00EC42C3" w:rsidP="00B3275D">
      <w:pPr>
        <w:pStyle w:val="Prrafodelista"/>
        <w:tabs>
          <w:tab w:val="left" w:pos="426"/>
        </w:tabs>
        <w:ind w:left="0"/>
        <w:contextualSpacing w:val="0"/>
        <w:jc w:val="both"/>
        <w:rPr>
          <w:rFonts w:ascii="Times New Roman" w:hAnsi="Times New Roman" w:cs="Times New Roman"/>
          <w:b/>
          <w:bCs/>
          <w:i/>
          <w:iCs/>
          <w:sz w:val="28"/>
          <w:szCs w:val="28"/>
        </w:rPr>
      </w:pPr>
    </w:p>
    <w:p w:rsidR="00FF5668"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 xml:space="preserve">Esclarecido lo anterior, la Sala constata que el actor planteó un cargo que satisface las exigencias argumentativas mínimas exigidas por la jurisprudencia </w:t>
      </w:r>
      <w:r w:rsidRPr="00EC42C3">
        <w:rPr>
          <w:rFonts w:ascii="Times New Roman" w:hAnsi="Times New Roman" w:cs="Times New Roman"/>
          <w:sz w:val="28"/>
          <w:szCs w:val="28"/>
        </w:rPr>
        <w:t xml:space="preserve">constitucional </w:t>
      </w:r>
      <w:r w:rsidRPr="00EC42C3">
        <w:rPr>
          <w:rFonts w:ascii="Times New Roman" w:hAnsi="Times New Roman" w:cs="Times New Roman"/>
          <w:sz w:val="28"/>
          <w:szCs w:val="28"/>
        </w:rPr>
        <w:t>y siguió la metodología fijada por esta Corporación en lo relativo a la omisión legisl</w:t>
      </w:r>
      <w:r w:rsidRPr="00EC42C3">
        <w:rPr>
          <w:rFonts w:ascii="Times New Roman" w:hAnsi="Times New Roman" w:cs="Times New Roman"/>
          <w:sz w:val="28"/>
          <w:szCs w:val="28"/>
        </w:rPr>
        <w:t>ativa relativa. En primer lugar, debe destacarse que los demandantes acreditaron su condición de ciudadanos, al acompañar a su demanda una copia de sus cédulas de ciudadanía. En segundo lugar, la demanda identifica claramente la expresión normativa cuestio</w:t>
      </w:r>
      <w:r w:rsidRPr="00EC42C3">
        <w:rPr>
          <w:rFonts w:ascii="Times New Roman" w:hAnsi="Times New Roman" w:cs="Times New Roman"/>
          <w:sz w:val="28"/>
          <w:szCs w:val="28"/>
        </w:rPr>
        <w:t xml:space="preserve">nada: </w:t>
      </w:r>
      <w:r w:rsidRPr="00EC42C3">
        <w:rPr>
          <w:rFonts w:ascii="Times New Roman" w:hAnsi="Times New Roman" w:cs="Times New Roman"/>
          <w:i/>
          <w:iCs/>
          <w:sz w:val="28"/>
          <w:szCs w:val="28"/>
        </w:rPr>
        <w:t xml:space="preserve">“o de su cónyuge, por matrimonio contraído en la misma época”, </w:t>
      </w:r>
      <w:r w:rsidRPr="00EC42C3">
        <w:rPr>
          <w:rFonts w:ascii="Times New Roman" w:hAnsi="Times New Roman" w:cs="Times New Roman"/>
          <w:sz w:val="28"/>
          <w:szCs w:val="28"/>
        </w:rPr>
        <w:t>contenida en el artículo 108 del Código Civil, señala como infringidas las disposiciones constitucionales contenidas en los artículos 5, 13 y 42 de la Carta Política y justifica la compet</w:t>
      </w:r>
      <w:r w:rsidRPr="00EC42C3">
        <w:rPr>
          <w:rFonts w:ascii="Times New Roman" w:hAnsi="Times New Roman" w:cs="Times New Roman"/>
          <w:sz w:val="28"/>
          <w:szCs w:val="28"/>
        </w:rPr>
        <w:t>encia de esta Corte con base en el artículo 241.4 superior. En tercer lugar, los ac</w:t>
      </w:r>
      <w:r w:rsidRPr="00EC42C3">
        <w:rPr>
          <w:rFonts w:ascii="Times New Roman" w:hAnsi="Times New Roman" w:cs="Times New Roman"/>
          <w:sz w:val="28"/>
          <w:szCs w:val="28"/>
        </w:rPr>
        <w:t>tores</w:t>
      </w:r>
      <w:r w:rsidRPr="00EC42C3">
        <w:rPr>
          <w:rFonts w:ascii="Times New Roman" w:hAnsi="Times New Roman" w:cs="Times New Roman"/>
          <w:sz w:val="28"/>
          <w:szCs w:val="28"/>
        </w:rPr>
        <w:t xml:space="preserve"> presentan una argumentación detallada en la que explican, de una parte, cómo la disposición impugnada establece un trato diferenciado sin justificación constitucional </w:t>
      </w:r>
      <w:r w:rsidRPr="00EC42C3">
        <w:rPr>
          <w:rFonts w:ascii="Times New Roman" w:hAnsi="Times New Roman" w:cs="Times New Roman"/>
          <w:sz w:val="28"/>
          <w:szCs w:val="28"/>
        </w:rPr>
        <w:t>en perjuicio de los compañeros y compañeras permanentes; y de otra, desarrollan con suficiencia los elementos definidos por la jurisprudencia constitucional para configurar una omisión legislativa relativa, al señalar que la norma excluye, sin razón sufici</w:t>
      </w:r>
      <w:r w:rsidRPr="00EC42C3">
        <w:rPr>
          <w:rFonts w:ascii="Times New Roman" w:hAnsi="Times New Roman" w:cs="Times New Roman"/>
          <w:sz w:val="28"/>
          <w:szCs w:val="28"/>
        </w:rPr>
        <w:t>ente, a un grupo que se encuentra en condiciones análogas respecto de la finalidad de la medida, lo cual genera una desigualdad contraria al principio de igualdad consagrado en el texto superior.</w:t>
      </w:r>
    </w:p>
    <w:p w:rsidR="00155FBF" w:rsidRPr="00EC42C3" w:rsidRDefault="00EC42C3" w:rsidP="00B3275D">
      <w:pPr>
        <w:pStyle w:val="Prrafodelista"/>
        <w:tabs>
          <w:tab w:val="left" w:pos="426"/>
        </w:tabs>
        <w:ind w:left="0"/>
        <w:contextualSpacing w:val="0"/>
        <w:jc w:val="both"/>
        <w:rPr>
          <w:rFonts w:ascii="Times New Roman" w:hAnsi="Times New Roman" w:cs="Times New Roman"/>
          <w:sz w:val="28"/>
          <w:szCs w:val="28"/>
        </w:rPr>
      </w:pPr>
    </w:p>
    <w:p w:rsidR="00155FBF"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En definitiva, el cargo por omisión legislativa relativa fu</w:t>
      </w:r>
      <w:r w:rsidRPr="00EC42C3">
        <w:rPr>
          <w:rFonts w:ascii="Times New Roman" w:hAnsi="Times New Roman" w:cs="Times New Roman"/>
          <w:sz w:val="28"/>
          <w:szCs w:val="28"/>
        </w:rPr>
        <w:t xml:space="preserve">e estructurado con los elementos de juicio necesarios para habilitar el estudio de constitucionalidad. Los argumentos presentados en la demanda no solo se ajustan a los requisitos para este tipo de cargos, sino que además suscitan una duda razonable sobre </w:t>
      </w:r>
      <w:r w:rsidRPr="00EC42C3">
        <w:rPr>
          <w:rFonts w:ascii="Times New Roman" w:hAnsi="Times New Roman" w:cs="Times New Roman"/>
          <w:sz w:val="28"/>
          <w:szCs w:val="28"/>
        </w:rPr>
        <w:t xml:space="preserve">la compatibilidad </w:t>
      </w:r>
      <w:r w:rsidRPr="00EC42C3">
        <w:rPr>
          <w:rFonts w:ascii="Times New Roman" w:hAnsi="Times New Roman" w:cs="Times New Roman"/>
          <w:sz w:val="28"/>
          <w:szCs w:val="28"/>
        </w:rPr>
        <w:t>de la norma demandada con la Constitución</w:t>
      </w:r>
      <w:r w:rsidRPr="00EC42C3">
        <w:rPr>
          <w:rFonts w:ascii="Times New Roman" w:hAnsi="Times New Roman" w:cs="Times New Roman"/>
          <w:sz w:val="28"/>
          <w:szCs w:val="28"/>
        </w:rPr>
        <w:t>, lo cual justifica plenamente un pronunciamiento de fondo por parte de esta Corte.</w:t>
      </w:r>
    </w:p>
    <w:p w:rsidR="00155FBF" w:rsidRPr="00EC42C3" w:rsidRDefault="00EC42C3" w:rsidP="00B3275D">
      <w:pPr>
        <w:rPr>
          <w:rFonts w:ascii="Times New Roman" w:hAnsi="Times New Roman" w:cs="Times New Roman"/>
          <w:b/>
          <w:bCs/>
          <w:i/>
          <w:iCs/>
          <w:sz w:val="28"/>
          <w:szCs w:val="28"/>
        </w:rPr>
      </w:pPr>
    </w:p>
    <w:p w:rsidR="00983271" w:rsidRPr="00EC42C3" w:rsidRDefault="00EC42C3" w:rsidP="00A633CD">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b/>
          <w:bCs/>
          <w:i/>
          <w:iCs/>
          <w:sz w:val="28"/>
          <w:szCs w:val="28"/>
          <w:lang w:val="es-ES"/>
        </w:rPr>
        <w:t xml:space="preserve">El control abstracto de constitucionalidad de normas promulgadas antes de </w:t>
      </w:r>
      <w:r w:rsidRPr="00EC42C3">
        <w:rPr>
          <w:rFonts w:ascii="Times New Roman" w:hAnsi="Times New Roman" w:cs="Times New Roman"/>
          <w:b/>
          <w:bCs/>
          <w:i/>
          <w:iCs/>
          <w:sz w:val="28"/>
          <w:szCs w:val="28"/>
          <w:lang w:val="es-ES"/>
        </w:rPr>
        <w:t>la</w:t>
      </w:r>
      <w:r w:rsidRPr="00EC42C3">
        <w:rPr>
          <w:rFonts w:ascii="Times New Roman" w:hAnsi="Times New Roman" w:cs="Times New Roman"/>
          <w:b/>
          <w:bCs/>
          <w:i/>
          <w:iCs/>
          <w:sz w:val="28"/>
          <w:szCs w:val="28"/>
          <w:lang w:val="es-ES"/>
        </w:rPr>
        <w:t xml:space="preserve"> vigencia la Constitución de 1991</w:t>
      </w:r>
      <w:r w:rsidRPr="00EC42C3">
        <w:rPr>
          <w:rFonts w:ascii="Times New Roman" w:hAnsi="Times New Roman" w:cs="Times New Roman"/>
          <w:b/>
          <w:bCs/>
          <w:sz w:val="28"/>
          <w:szCs w:val="28"/>
          <w:lang w:val="es-ES"/>
        </w:rPr>
        <w:t>.</w:t>
      </w:r>
      <w:r w:rsidRPr="00EC42C3">
        <w:rPr>
          <w:rStyle w:val="Refdenotaalpie"/>
          <w:rFonts w:ascii="Times New Roman" w:hAnsi="Times New Roman" w:cs="Times New Roman"/>
          <w:b/>
          <w:bCs/>
          <w:i/>
          <w:iCs/>
          <w:sz w:val="28"/>
          <w:szCs w:val="28"/>
        </w:rPr>
        <w:footnoteReference w:id="13"/>
      </w:r>
      <w:r w:rsidRPr="00EC42C3">
        <w:rPr>
          <w:rFonts w:ascii="Times New Roman" w:hAnsi="Times New Roman" w:cs="Times New Roman"/>
          <w:b/>
          <w:bCs/>
          <w:sz w:val="28"/>
          <w:szCs w:val="28"/>
          <w:lang w:val="es-ES"/>
        </w:rPr>
        <w:t xml:space="preserve"> </w:t>
      </w:r>
      <w:r w:rsidRPr="00EC42C3">
        <w:rPr>
          <w:rFonts w:ascii="Times New Roman" w:hAnsi="Times New Roman" w:cs="Times New Roman"/>
          <w:sz w:val="28"/>
          <w:szCs w:val="28"/>
          <w:lang w:val="es-ES"/>
        </w:rPr>
        <w:t xml:space="preserve">La Constitución de 1991 </w:t>
      </w:r>
      <w:r w:rsidRPr="00EC42C3">
        <w:rPr>
          <w:rFonts w:ascii="Times New Roman" w:hAnsi="Times New Roman" w:cs="Times New Roman"/>
          <w:sz w:val="28"/>
          <w:szCs w:val="28"/>
          <w:lang w:val="es-ES"/>
        </w:rPr>
        <w:t>produjo</w:t>
      </w:r>
      <w:r w:rsidRPr="00EC42C3">
        <w:rPr>
          <w:rFonts w:ascii="Times New Roman" w:hAnsi="Times New Roman" w:cs="Times New Roman"/>
          <w:sz w:val="28"/>
          <w:szCs w:val="28"/>
          <w:lang w:val="es-ES"/>
        </w:rPr>
        <w:t xml:space="preserve"> efectos inmediatos </w:t>
      </w:r>
      <w:r w:rsidRPr="00EC42C3">
        <w:rPr>
          <w:rFonts w:ascii="Times New Roman" w:hAnsi="Times New Roman" w:cs="Times New Roman"/>
          <w:sz w:val="28"/>
          <w:szCs w:val="28"/>
          <w:lang w:val="es-ES"/>
        </w:rPr>
        <w:t>desde</w:t>
      </w:r>
      <w:r w:rsidRPr="00EC42C3">
        <w:rPr>
          <w:rFonts w:ascii="Times New Roman" w:hAnsi="Times New Roman" w:cs="Times New Roman"/>
          <w:sz w:val="28"/>
          <w:szCs w:val="28"/>
          <w:lang w:val="es-ES"/>
        </w:rPr>
        <w:t xml:space="preserve"> su entrada en vigor y </w:t>
      </w:r>
      <w:r w:rsidRPr="00EC42C3">
        <w:rPr>
          <w:rFonts w:ascii="Times New Roman" w:hAnsi="Times New Roman" w:cs="Times New Roman"/>
          <w:sz w:val="28"/>
          <w:szCs w:val="28"/>
          <w:lang w:val="es-ES"/>
        </w:rPr>
        <w:t>se erige</w:t>
      </w:r>
      <w:r w:rsidRPr="00EC42C3">
        <w:rPr>
          <w:rFonts w:ascii="Times New Roman" w:hAnsi="Times New Roman" w:cs="Times New Roman"/>
          <w:sz w:val="28"/>
          <w:szCs w:val="28"/>
          <w:lang w:val="es-ES"/>
        </w:rPr>
        <w:t xml:space="preserve"> como parámetro de control para evaluar la constitucionalidad de las normas legales que la precedieron. </w:t>
      </w:r>
      <w:r w:rsidRPr="00EC42C3">
        <w:rPr>
          <w:rFonts w:ascii="Times New Roman" w:hAnsi="Times New Roman" w:cs="Times New Roman"/>
          <w:sz w:val="28"/>
          <w:szCs w:val="28"/>
          <w:lang w:val="es-ES"/>
        </w:rPr>
        <w:t>No obstante</w:t>
      </w:r>
      <w:r w:rsidRPr="00EC42C3">
        <w:rPr>
          <w:rFonts w:ascii="Times New Roman" w:hAnsi="Times New Roman" w:cs="Times New Roman"/>
          <w:sz w:val="28"/>
          <w:szCs w:val="28"/>
          <w:lang w:val="es-ES"/>
        </w:rPr>
        <w:t xml:space="preserve">, </w:t>
      </w:r>
      <w:r w:rsidRPr="00EC42C3">
        <w:rPr>
          <w:rFonts w:ascii="Times New Roman" w:hAnsi="Times New Roman" w:cs="Times New Roman"/>
          <w:sz w:val="28"/>
          <w:szCs w:val="28"/>
          <w:lang w:val="es-ES"/>
        </w:rPr>
        <w:t xml:space="preserve">conforme al </w:t>
      </w:r>
      <w:r w:rsidRPr="00EC42C3">
        <w:rPr>
          <w:rFonts w:ascii="Times New Roman" w:hAnsi="Times New Roman" w:cs="Times New Roman"/>
          <w:sz w:val="28"/>
          <w:szCs w:val="28"/>
          <w:lang w:val="es-ES"/>
        </w:rPr>
        <w:t xml:space="preserve">artículo 380 de la Constitución, </w:t>
      </w:r>
      <w:r w:rsidRPr="00EC42C3">
        <w:rPr>
          <w:rFonts w:ascii="Times New Roman" w:hAnsi="Times New Roman" w:cs="Times New Roman"/>
          <w:sz w:val="28"/>
          <w:szCs w:val="28"/>
          <w:lang w:val="es-ES"/>
        </w:rPr>
        <w:t xml:space="preserve">su </w:t>
      </w:r>
      <w:r w:rsidRPr="00EC42C3">
        <w:rPr>
          <w:rFonts w:ascii="Times New Roman" w:hAnsi="Times New Roman" w:cs="Times New Roman"/>
          <w:sz w:val="28"/>
          <w:szCs w:val="28"/>
          <w:lang w:val="es-ES"/>
        </w:rPr>
        <w:t>promulgación no implicó la derogatoria automática de toda la legislación anterior. Por consiguiente, las normas preexistentes conservaron su vigencia en la medida en que resultaran compatibles con el nuevo orden constitucional</w:t>
      </w:r>
      <w:r w:rsidRPr="00EC42C3">
        <w:rPr>
          <w:rFonts w:ascii="Times New Roman" w:hAnsi="Times New Roman" w:cs="Times New Roman"/>
          <w:sz w:val="28"/>
          <w:szCs w:val="28"/>
          <w:lang w:val="es-ES"/>
        </w:rPr>
        <w:t>.</w:t>
      </w:r>
      <w:r w:rsidRPr="00EC42C3">
        <w:rPr>
          <w:rStyle w:val="Refdenotaalpie"/>
          <w:rFonts w:ascii="Times New Roman" w:hAnsi="Times New Roman" w:cs="Times New Roman"/>
          <w:sz w:val="28"/>
          <w:szCs w:val="28"/>
          <w:lang w:val="es-ES"/>
        </w:rPr>
        <w:footnoteReference w:id="14"/>
      </w:r>
    </w:p>
    <w:p w:rsidR="00903FB1" w:rsidRPr="00EC42C3" w:rsidRDefault="00EC42C3" w:rsidP="00B3275D">
      <w:pPr>
        <w:pStyle w:val="Prrafodelista"/>
        <w:tabs>
          <w:tab w:val="left" w:pos="426"/>
        </w:tabs>
        <w:ind w:left="0"/>
        <w:contextualSpacing w:val="0"/>
        <w:jc w:val="both"/>
        <w:rPr>
          <w:rFonts w:ascii="Times New Roman" w:hAnsi="Times New Roman" w:cs="Times New Roman"/>
          <w:b/>
          <w:bCs/>
          <w:i/>
          <w:iCs/>
          <w:sz w:val="28"/>
          <w:szCs w:val="28"/>
        </w:rPr>
      </w:pPr>
    </w:p>
    <w:p w:rsidR="00A633CD"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lang w:val="es-ES"/>
        </w:rPr>
        <w:t>Sobre el tema anterior cab</w:t>
      </w:r>
      <w:r w:rsidRPr="00EC42C3">
        <w:rPr>
          <w:rFonts w:ascii="Times New Roman" w:hAnsi="Times New Roman" w:cs="Times New Roman"/>
          <w:sz w:val="28"/>
          <w:szCs w:val="28"/>
          <w:lang w:val="es-ES"/>
        </w:rPr>
        <w:t>e anotar que, como expresión del principio de seguridad jurídica y certidumbre, la legislación preexistente a la Constitución de 1991 mantuvo su vigencia a pesar del cambio del marco Superior. Es decir, la derogatoria de la Constitución de 1886 no supuso l</w:t>
      </w:r>
      <w:r w:rsidRPr="00EC42C3">
        <w:rPr>
          <w:rFonts w:ascii="Times New Roman" w:hAnsi="Times New Roman" w:cs="Times New Roman"/>
          <w:sz w:val="28"/>
          <w:szCs w:val="28"/>
          <w:lang w:val="es-ES"/>
        </w:rPr>
        <w:t xml:space="preserve">a expulsión del ordenamiento jurídico de todas las leyes que se profirieron durante su vigencia. En efecto, el Texto Superior de 1991 no incluyó una cláusula general de derogatoria de la normatividad preconstitucional, por lo que </w:t>
      </w:r>
      <w:r w:rsidRPr="00EC42C3">
        <w:rPr>
          <w:rFonts w:ascii="Times New Roman" w:hAnsi="Times New Roman" w:cs="Times New Roman"/>
          <w:sz w:val="28"/>
          <w:szCs w:val="28"/>
          <w:lang w:val="es-ES"/>
        </w:rPr>
        <w:t>esta Corte ha precisado qu</w:t>
      </w:r>
      <w:r w:rsidRPr="00EC42C3">
        <w:rPr>
          <w:rFonts w:ascii="Times New Roman" w:hAnsi="Times New Roman" w:cs="Times New Roman"/>
          <w:sz w:val="28"/>
          <w:szCs w:val="28"/>
          <w:lang w:val="es-ES"/>
        </w:rPr>
        <w:t xml:space="preserve">e </w:t>
      </w:r>
      <w:r w:rsidRPr="00EC42C3">
        <w:rPr>
          <w:rFonts w:ascii="Times New Roman" w:hAnsi="Times New Roman" w:cs="Times New Roman"/>
          <w:sz w:val="28"/>
          <w:szCs w:val="28"/>
          <w:lang w:val="es-ES"/>
        </w:rPr>
        <w:t>hay una “</w:t>
      </w:r>
      <w:r w:rsidRPr="00EC42C3">
        <w:rPr>
          <w:rFonts w:ascii="Times New Roman" w:hAnsi="Times New Roman" w:cs="Times New Roman"/>
          <w:i/>
          <w:iCs/>
          <w:sz w:val="28"/>
          <w:szCs w:val="28"/>
          <w:lang w:val="es-ES"/>
        </w:rPr>
        <w:t>presunción de subsistencia de la legislación prexistente</w:t>
      </w:r>
      <w:r w:rsidRPr="00EC42C3">
        <w:rPr>
          <w:rFonts w:ascii="Times New Roman" w:hAnsi="Times New Roman" w:cs="Times New Roman"/>
          <w:i/>
          <w:iCs/>
          <w:sz w:val="28"/>
          <w:szCs w:val="28"/>
          <w:lang w:val="es-ES"/>
        </w:rPr>
        <w:t>.</w:t>
      </w:r>
      <w:r w:rsidRPr="00EC42C3">
        <w:rPr>
          <w:rFonts w:ascii="Times New Roman" w:hAnsi="Times New Roman" w:cs="Times New Roman"/>
          <w:i/>
          <w:iCs/>
          <w:sz w:val="28"/>
          <w:szCs w:val="28"/>
          <w:lang w:val="es-ES"/>
        </w:rPr>
        <w:t>”</w:t>
      </w:r>
      <w:r w:rsidRPr="00EC42C3">
        <w:rPr>
          <w:rStyle w:val="Refdenotaalpie"/>
          <w:rFonts w:ascii="Times New Roman" w:hAnsi="Times New Roman" w:cs="Times New Roman"/>
          <w:i/>
          <w:iCs/>
          <w:sz w:val="28"/>
          <w:szCs w:val="28"/>
          <w:lang w:val="es-ES"/>
        </w:rPr>
        <w:footnoteReference w:id="15"/>
      </w:r>
      <w:r w:rsidRPr="00EC42C3">
        <w:rPr>
          <w:rFonts w:ascii="Times New Roman" w:hAnsi="Times New Roman" w:cs="Times New Roman"/>
          <w:sz w:val="28"/>
          <w:szCs w:val="28"/>
          <w:lang w:val="es-ES"/>
        </w:rPr>
        <w:t xml:space="preserve"> </w:t>
      </w:r>
    </w:p>
    <w:p w:rsidR="00312920" w:rsidRPr="00EC42C3" w:rsidRDefault="00EC42C3" w:rsidP="00A633CD">
      <w:pPr>
        <w:ind w:right="567"/>
        <w:jc w:val="both"/>
        <w:rPr>
          <w:rFonts w:ascii="Times New Roman" w:hAnsi="Times New Roman" w:cs="Times New Roman"/>
          <w:b/>
          <w:bCs/>
          <w:i/>
          <w:iCs/>
          <w:sz w:val="28"/>
          <w:szCs w:val="28"/>
        </w:rPr>
      </w:pPr>
    </w:p>
    <w:p w:rsidR="00437FE1" w:rsidRPr="00EC42C3" w:rsidRDefault="00EC42C3" w:rsidP="00A633CD">
      <w:pPr>
        <w:pStyle w:val="Prrafodelista"/>
        <w:numPr>
          <w:ilvl w:val="0"/>
          <w:numId w:val="1"/>
        </w:numPr>
        <w:tabs>
          <w:tab w:val="left" w:pos="426"/>
        </w:tabs>
        <w:ind w:left="0" w:firstLine="0"/>
        <w:contextualSpacing w:val="0"/>
        <w:jc w:val="both"/>
        <w:rPr>
          <w:rFonts w:ascii="Times New Roman" w:hAnsi="Times New Roman" w:cs="Times New Roman"/>
          <w:color w:val="000000" w:themeColor="text1"/>
          <w:sz w:val="28"/>
          <w:szCs w:val="28"/>
        </w:rPr>
      </w:pPr>
      <w:r w:rsidRPr="00EC42C3">
        <w:rPr>
          <w:rFonts w:ascii="Times New Roman" w:hAnsi="Times New Roman" w:cs="Times New Roman"/>
          <w:sz w:val="28"/>
          <w:szCs w:val="28"/>
          <w:lang w:val="es-ES"/>
        </w:rPr>
        <w:t>De conformidad con lo anterior, en línea lo previsto en el numeral 4º del artículo 241 de la Constitución Política de 1991, esta Corporación tiene competencia para decidir sobre las d</w:t>
      </w:r>
      <w:r w:rsidRPr="00EC42C3">
        <w:rPr>
          <w:rFonts w:ascii="Times New Roman" w:hAnsi="Times New Roman" w:cs="Times New Roman"/>
          <w:sz w:val="28"/>
          <w:szCs w:val="28"/>
          <w:lang w:val="es-ES"/>
        </w:rPr>
        <w:t xml:space="preserve">emandas de inconstitucionalidad que promuevan los ciudadanos contra cualquier norma con rango y fuerza de ley, inclusive, sobre todas aquellas normas que precedieron al Texto Superior de 1991. </w:t>
      </w:r>
      <w:r w:rsidRPr="00EC42C3">
        <w:rPr>
          <w:rFonts w:ascii="Times New Roman" w:hAnsi="Times New Roman" w:cs="Times New Roman"/>
          <w:sz w:val="28"/>
          <w:szCs w:val="28"/>
          <w:lang w:val="es-ES"/>
        </w:rPr>
        <w:t>Est</w:t>
      </w:r>
      <w:r w:rsidRPr="00EC42C3">
        <w:rPr>
          <w:rFonts w:ascii="Times New Roman" w:hAnsi="Times New Roman" w:cs="Times New Roman"/>
          <w:sz w:val="28"/>
          <w:szCs w:val="28"/>
          <w:lang w:val="es-ES"/>
        </w:rPr>
        <w:t>a Corte ha reafirmado su competencia para pronunciarse sobre la exequibilidad de aquellas normas con rango y fuerza de ley que preceden a la vigencia de la nueva Constitución, cuando se encuentren vigentes o, en caso de estar derogadas, continúan producien</w:t>
      </w:r>
      <w:r w:rsidRPr="00EC42C3">
        <w:rPr>
          <w:rFonts w:ascii="Times New Roman" w:hAnsi="Times New Roman" w:cs="Times New Roman"/>
          <w:sz w:val="28"/>
          <w:szCs w:val="28"/>
          <w:lang w:val="es-ES"/>
        </w:rPr>
        <w:t>do efectos jurídicos</w:t>
      </w:r>
      <w:r w:rsidRPr="00EC42C3">
        <w:rPr>
          <w:rStyle w:val="Refdenotaalpie"/>
          <w:rFonts w:ascii="Times New Roman" w:hAnsi="Times New Roman" w:cs="Times New Roman"/>
          <w:sz w:val="28"/>
          <w:szCs w:val="28"/>
          <w:lang w:val="es-ES"/>
        </w:rPr>
        <w:footnoteReference w:id="16"/>
      </w:r>
      <w:r w:rsidRPr="00EC42C3">
        <w:rPr>
          <w:rFonts w:ascii="Times New Roman" w:hAnsi="Times New Roman" w:cs="Times New Roman"/>
          <w:sz w:val="28"/>
          <w:szCs w:val="28"/>
          <w:lang w:val="es-ES"/>
        </w:rPr>
        <w:t>. </w:t>
      </w:r>
    </w:p>
    <w:p w:rsidR="00A633CD" w:rsidRPr="00EC42C3" w:rsidRDefault="00EC42C3" w:rsidP="00A633CD">
      <w:pPr>
        <w:pStyle w:val="Prrafodelista"/>
        <w:tabs>
          <w:tab w:val="left" w:pos="426"/>
        </w:tabs>
        <w:ind w:left="0"/>
        <w:contextualSpacing w:val="0"/>
        <w:jc w:val="both"/>
        <w:rPr>
          <w:rFonts w:ascii="Times New Roman" w:hAnsi="Times New Roman" w:cs="Times New Roman"/>
          <w:color w:val="000000" w:themeColor="text1"/>
          <w:sz w:val="28"/>
          <w:szCs w:val="28"/>
        </w:rPr>
      </w:pPr>
    </w:p>
    <w:p w:rsidR="00437FE1" w:rsidRPr="00EC42C3" w:rsidRDefault="00EC42C3" w:rsidP="00437FE1">
      <w:pPr>
        <w:pStyle w:val="Prrafodelista"/>
        <w:numPr>
          <w:ilvl w:val="0"/>
          <w:numId w:val="1"/>
        </w:numPr>
        <w:tabs>
          <w:tab w:val="left" w:pos="426"/>
        </w:tabs>
        <w:ind w:left="0" w:firstLine="0"/>
        <w:contextualSpacing w:val="0"/>
        <w:jc w:val="both"/>
        <w:rPr>
          <w:rFonts w:ascii="Times New Roman" w:hAnsi="Times New Roman" w:cs="Times New Roman"/>
          <w:b/>
          <w:bCs/>
          <w:i/>
          <w:iCs/>
          <w:color w:val="000000" w:themeColor="text1"/>
          <w:sz w:val="28"/>
          <w:szCs w:val="28"/>
        </w:rPr>
      </w:pPr>
      <w:r w:rsidRPr="00EC42C3">
        <w:rPr>
          <w:rFonts w:ascii="Times New Roman" w:hAnsi="Times New Roman" w:cs="Times New Roman"/>
          <w:color w:val="000000" w:themeColor="text1"/>
          <w:sz w:val="28"/>
          <w:szCs w:val="28"/>
        </w:rPr>
        <w:t>Ahora bien, en</w:t>
      </w:r>
      <w:r w:rsidRPr="00EC42C3">
        <w:rPr>
          <w:rFonts w:ascii="Times New Roman" w:hAnsi="Times New Roman" w:cs="Times New Roman"/>
          <w:color w:val="000000" w:themeColor="text1"/>
          <w:sz w:val="28"/>
          <w:szCs w:val="28"/>
        </w:rPr>
        <w:t xml:space="preserve"> los eventos en que</w:t>
      </w:r>
      <w:r w:rsidRPr="00EC42C3">
        <w:rPr>
          <w:rFonts w:ascii="Times New Roman" w:hAnsi="Times New Roman" w:cs="Times New Roman"/>
          <w:color w:val="000000" w:themeColor="text1"/>
          <w:sz w:val="28"/>
          <w:szCs w:val="28"/>
        </w:rPr>
        <w:t xml:space="preserve"> la demanda plantea un cargo por omisión legislativa relativa respecto de una norma anterior a 1991, es necesario justificar la procedencia del control en ese contexto. En tales casos, la </w:t>
      </w:r>
      <w:r w:rsidRPr="00EC42C3">
        <w:rPr>
          <w:rFonts w:ascii="Times New Roman" w:hAnsi="Times New Roman" w:cs="Times New Roman"/>
          <w:color w:val="000000" w:themeColor="text1"/>
          <w:sz w:val="28"/>
          <w:szCs w:val="28"/>
        </w:rPr>
        <w:t>preconstitucionalidad puede explicar la omisión, pero no la justifica frente al nuevo orden constitucional. Esta fue la doctrina establecida en la Sentencia C-600 de 2011, en la cual se precisó que la existencia de disposiciones previas a la Constitución d</w:t>
      </w:r>
      <w:r w:rsidRPr="00EC42C3">
        <w:rPr>
          <w:rFonts w:ascii="Times New Roman" w:hAnsi="Times New Roman" w:cs="Times New Roman"/>
          <w:color w:val="000000" w:themeColor="text1"/>
          <w:sz w:val="28"/>
          <w:szCs w:val="28"/>
        </w:rPr>
        <w:t>e 1991 que no desarrollan plenamente los mandatos superiores actuales no exonera al legislador de su deber de adecuarlas al marco constitucional vigente.</w:t>
      </w:r>
    </w:p>
    <w:p w:rsidR="00437FE1" w:rsidRPr="00EC42C3" w:rsidRDefault="00EC42C3" w:rsidP="00437FE1">
      <w:pPr>
        <w:pStyle w:val="Prrafodelista"/>
        <w:tabs>
          <w:tab w:val="left" w:pos="426"/>
        </w:tabs>
        <w:ind w:left="0"/>
        <w:contextualSpacing w:val="0"/>
        <w:jc w:val="both"/>
        <w:rPr>
          <w:rFonts w:ascii="Times New Roman" w:hAnsi="Times New Roman" w:cs="Times New Roman"/>
          <w:b/>
          <w:bCs/>
          <w:i/>
          <w:iCs/>
          <w:color w:val="000000" w:themeColor="text1"/>
          <w:sz w:val="28"/>
          <w:szCs w:val="28"/>
        </w:rPr>
      </w:pPr>
    </w:p>
    <w:p w:rsidR="00437FE1" w:rsidRPr="00EC42C3" w:rsidRDefault="00EC42C3" w:rsidP="00437FE1">
      <w:pPr>
        <w:pStyle w:val="Prrafodelista"/>
        <w:numPr>
          <w:ilvl w:val="0"/>
          <w:numId w:val="1"/>
        </w:numPr>
        <w:tabs>
          <w:tab w:val="left" w:pos="426"/>
        </w:tabs>
        <w:ind w:left="0" w:firstLine="0"/>
        <w:contextualSpacing w:val="0"/>
        <w:jc w:val="both"/>
        <w:rPr>
          <w:rFonts w:ascii="Times New Roman" w:hAnsi="Times New Roman" w:cs="Times New Roman"/>
          <w:b/>
          <w:bCs/>
          <w:i/>
          <w:iCs/>
          <w:color w:val="000000" w:themeColor="text1"/>
          <w:sz w:val="28"/>
          <w:szCs w:val="28"/>
        </w:rPr>
      </w:pPr>
      <w:r w:rsidRPr="00EC42C3">
        <w:rPr>
          <w:rFonts w:ascii="Times New Roman" w:hAnsi="Times New Roman" w:cs="Times New Roman"/>
          <w:color w:val="000000" w:themeColor="text1"/>
          <w:sz w:val="28"/>
          <w:szCs w:val="28"/>
        </w:rPr>
        <w:t>En efecto, la Corte sostuvo que la permanencia de normas preconstitucionales que generan un vacío o e</w:t>
      </w:r>
      <w:r w:rsidRPr="00EC42C3">
        <w:rPr>
          <w:rFonts w:ascii="Times New Roman" w:hAnsi="Times New Roman" w:cs="Times New Roman"/>
          <w:color w:val="000000" w:themeColor="text1"/>
          <w:sz w:val="28"/>
          <w:szCs w:val="28"/>
        </w:rPr>
        <w:t>xclusión contrarios a los principios de igualdad y no discriminación constituye una omisión imputable al legislador, quien ha tenido el deber de actualizar la legislación durante el periodo de vigencia de la Carta. En consecuencia, la omisión se vuelve act</w:t>
      </w:r>
      <w:r w:rsidRPr="00EC42C3">
        <w:rPr>
          <w:rFonts w:ascii="Times New Roman" w:hAnsi="Times New Roman" w:cs="Times New Roman"/>
          <w:color w:val="000000" w:themeColor="text1"/>
          <w:sz w:val="28"/>
          <w:szCs w:val="28"/>
        </w:rPr>
        <w:t>ual y verificable, no por su origen histórico, sino por la inactividad posterior del legislador frente a las exigencias constitucionales.</w:t>
      </w:r>
    </w:p>
    <w:p w:rsidR="00437FE1" w:rsidRPr="00EC42C3" w:rsidRDefault="00EC42C3" w:rsidP="00437FE1">
      <w:pPr>
        <w:pStyle w:val="Prrafodelista"/>
        <w:rPr>
          <w:rFonts w:ascii="Times New Roman" w:hAnsi="Times New Roman" w:cs="Times New Roman"/>
          <w:color w:val="000000" w:themeColor="text1"/>
          <w:sz w:val="28"/>
          <w:szCs w:val="28"/>
        </w:rPr>
      </w:pPr>
    </w:p>
    <w:p w:rsidR="00341224" w:rsidRPr="00EC42C3" w:rsidRDefault="00EC42C3" w:rsidP="00341224">
      <w:pPr>
        <w:pStyle w:val="Prrafodelista"/>
        <w:numPr>
          <w:ilvl w:val="0"/>
          <w:numId w:val="1"/>
        </w:numPr>
        <w:tabs>
          <w:tab w:val="left" w:pos="426"/>
        </w:tabs>
        <w:ind w:left="0" w:firstLine="0"/>
        <w:contextualSpacing w:val="0"/>
        <w:jc w:val="both"/>
        <w:rPr>
          <w:rFonts w:ascii="Times New Roman" w:hAnsi="Times New Roman" w:cs="Times New Roman"/>
          <w:b/>
          <w:bCs/>
          <w:i/>
          <w:iCs/>
          <w:color w:val="000000" w:themeColor="text1"/>
          <w:sz w:val="28"/>
          <w:szCs w:val="28"/>
        </w:rPr>
      </w:pPr>
      <w:r w:rsidRPr="00EC42C3">
        <w:rPr>
          <w:rFonts w:ascii="Times New Roman" w:hAnsi="Times New Roman" w:cs="Times New Roman"/>
          <w:color w:val="000000" w:themeColor="text1"/>
          <w:sz w:val="28"/>
          <w:szCs w:val="28"/>
        </w:rPr>
        <w:t>Por su parte, en</w:t>
      </w:r>
      <w:r w:rsidRPr="00EC42C3">
        <w:rPr>
          <w:rFonts w:ascii="Times New Roman" w:hAnsi="Times New Roman" w:cs="Times New Roman"/>
          <w:color w:val="000000" w:themeColor="text1"/>
          <w:sz w:val="28"/>
          <w:szCs w:val="28"/>
        </w:rPr>
        <w:t xml:space="preserve"> la Sentencia C-052 de 2025,</w:t>
      </w:r>
      <w:r w:rsidRPr="00EC42C3">
        <w:rPr>
          <w:rFonts w:ascii="Times New Roman" w:hAnsi="Times New Roman" w:cs="Times New Roman"/>
          <w:color w:val="000000" w:themeColor="text1"/>
          <w:sz w:val="28"/>
          <w:szCs w:val="28"/>
        </w:rPr>
        <w:t xml:space="preserve"> </w:t>
      </w:r>
      <w:r w:rsidRPr="00EC42C3">
        <w:rPr>
          <w:rFonts w:ascii="Times New Roman" w:hAnsi="Times New Roman" w:cs="Times New Roman"/>
          <w:color w:val="000000" w:themeColor="text1"/>
          <w:sz w:val="28"/>
          <w:szCs w:val="28"/>
        </w:rPr>
        <w:t xml:space="preserve">la Corte </w:t>
      </w:r>
      <w:r w:rsidRPr="00EC42C3">
        <w:rPr>
          <w:rFonts w:ascii="Times New Roman" w:hAnsi="Times New Roman" w:cs="Times New Roman"/>
          <w:color w:val="000000" w:themeColor="text1"/>
          <w:sz w:val="28"/>
          <w:szCs w:val="28"/>
        </w:rPr>
        <w:t xml:space="preserve">reiteró que </w:t>
      </w:r>
      <w:r w:rsidRPr="00EC42C3">
        <w:rPr>
          <w:rFonts w:ascii="Times New Roman" w:hAnsi="Times New Roman" w:cs="Times New Roman"/>
          <w:color w:val="000000" w:themeColor="text1"/>
          <w:sz w:val="28"/>
          <w:szCs w:val="28"/>
          <w:shd w:val="clear" w:color="auto" w:fill="FFFFFF"/>
        </w:rPr>
        <w:t xml:space="preserve">no toda norma preconstitucional, por el solo hecho </w:t>
      </w:r>
      <w:r w:rsidRPr="00EC42C3">
        <w:rPr>
          <w:rFonts w:ascii="Times New Roman" w:hAnsi="Times New Roman" w:cs="Times New Roman"/>
          <w:color w:val="000000" w:themeColor="text1"/>
          <w:sz w:val="28"/>
          <w:szCs w:val="28"/>
          <w:shd w:val="clear" w:color="auto" w:fill="FFFFFF"/>
        </w:rPr>
        <w:t>de ser emitida y promulgada con anterioridad a la Carta Política vigente, resulta inconstitucional. Por el contrario, es necesario analizarla a la luz del nuevo régimen constitucional para determinar si existe una incompatibilidad material o sustancial ent</w:t>
      </w:r>
      <w:r w:rsidRPr="00EC42C3">
        <w:rPr>
          <w:rFonts w:ascii="Times New Roman" w:hAnsi="Times New Roman" w:cs="Times New Roman"/>
          <w:color w:val="000000" w:themeColor="text1"/>
          <w:sz w:val="28"/>
          <w:szCs w:val="28"/>
          <w:shd w:val="clear" w:color="auto" w:fill="FFFFFF"/>
        </w:rPr>
        <w:t>re la disposición y los principios y normas que orientan el modelo establecido por la Constitución de 1991.</w:t>
      </w:r>
    </w:p>
    <w:p w:rsidR="00437FE1" w:rsidRPr="00EC42C3" w:rsidRDefault="00EC42C3" w:rsidP="00341224">
      <w:pPr>
        <w:rPr>
          <w:rFonts w:ascii="Times New Roman" w:hAnsi="Times New Roman" w:cs="Times New Roman"/>
          <w:color w:val="000000" w:themeColor="text1"/>
          <w:sz w:val="28"/>
          <w:szCs w:val="28"/>
        </w:rPr>
      </w:pPr>
    </w:p>
    <w:p w:rsidR="00B3275D" w:rsidRPr="00EC42C3" w:rsidRDefault="00EC42C3" w:rsidP="00437FE1">
      <w:pPr>
        <w:pStyle w:val="Prrafodelista"/>
        <w:numPr>
          <w:ilvl w:val="0"/>
          <w:numId w:val="1"/>
        </w:numPr>
        <w:tabs>
          <w:tab w:val="left" w:pos="426"/>
        </w:tabs>
        <w:ind w:left="0" w:firstLine="0"/>
        <w:contextualSpacing w:val="0"/>
        <w:jc w:val="both"/>
        <w:rPr>
          <w:rFonts w:ascii="Times New Roman" w:hAnsi="Times New Roman" w:cs="Times New Roman"/>
          <w:b/>
          <w:bCs/>
          <w:i/>
          <w:iCs/>
          <w:color w:val="000000" w:themeColor="text1"/>
          <w:sz w:val="28"/>
          <w:szCs w:val="28"/>
        </w:rPr>
      </w:pPr>
      <w:r w:rsidRPr="00EC42C3">
        <w:rPr>
          <w:rFonts w:ascii="Times New Roman" w:hAnsi="Times New Roman" w:cs="Times New Roman"/>
          <w:color w:val="000000" w:themeColor="text1"/>
          <w:sz w:val="28"/>
          <w:szCs w:val="28"/>
        </w:rPr>
        <w:t>En suma, la condición preconstitucional del artículo 108 del Código Civil no impide el estudio del cargo por omisión legislativa relativa. Por el c</w:t>
      </w:r>
      <w:r w:rsidRPr="00EC42C3">
        <w:rPr>
          <w:rFonts w:ascii="Times New Roman" w:hAnsi="Times New Roman" w:cs="Times New Roman"/>
          <w:color w:val="000000" w:themeColor="text1"/>
          <w:sz w:val="28"/>
          <w:szCs w:val="28"/>
        </w:rPr>
        <w:t xml:space="preserve">ontrario, refuerza la necesidad de examinar si el legislador ha incumplido su deber de actualizar la regulación civil para armonizarla con los principios de igualdad, dignidad humana y protección integral de la familia que irradian la Constitución </w:t>
      </w:r>
      <w:r w:rsidRPr="00EC42C3">
        <w:rPr>
          <w:rFonts w:ascii="Times New Roman" w:hAnsi="Times New Roman" w:cs="Times New Roman"/>
          <w:color w:val="000000" w:themeColor="text1"/>
          <w:sz w:val="28"/>
          <w:szCs w:val="28"/>
        </w:rPr>
        <w:t>Política</w:t>
      </w:r>
      <w:r w:rsidRPr="00EC42C3">
        <w:rPr>
          <w:rFonts w:ascii="Times New Roman" w:hAnsi="Times New Roman" w:cs="Times New Roman"/>
          <w:color w:val="000000" w:themeColor="text1"/>
          <w:sz w:val="28"/>
          <w:szCs w:val="28"/>
        </w:rPr>
        <w:t xml:space="preserve"> </w:t>
      </w:r>
      <w:r w:rsidRPr="00EC42C3">
        <w:rPr>
          <w:rFonts w:ascii="Times New Roman" w:hAnsi="Times New Roman" w:cs="Times New Roman"/>
          <w:color w:val="000000" w:themeColor="text1"/>
          <w:sz w:val="28"/>
          <w:szCs w:val="28"/>
        </w:rPr>
        <w:t>de 1991</w:t>
      </w:r>
      <w:r w:rsidRPr="00EC42C3">
        <w:rPr>
          <w:rFonts w:ascii="Times New Roman" w:hAnsi="Times New Roman" w:cs="Times New Roman"/>
          <w:color w:val="000000" w:themeColor="text1"/>
          <w:sz w:val="28"/>
          <w:szCs w:val="28"/>
        </w:rPr>
        <w:t>, así como</w:t>
      </w:r>
      <w:r w:rsidRPr="00EC42C3">
        <w:rPr>
          <w:rFonts w:ascii="Times New Roman" w:hAnsi="Times New Roman" w:cs="Times New Roman"/>
          <w:color w:val="000000" w:themeColor="text1"/>
          <w:sz w:val="28"/>
          <w:szCs w:val="28"/>
        </w:rPr>
        <w:t xml:space="preserve"> los instrumentos internacionales de derechos humanos que hacen parte del bloque de constitucionalidad.</w:t>
      </w:r>
    </w:p>
    <w:p w:rsidR="00437FE1" w:rsidRPr="00EC42C3" w:rsidRDefault="00EC42C3" w:rsidP="00B3275D">
      <w:pPr>
        <w:spacing w:line="289" w:lineRule="atLeast"/>
        <w:jc w:val="both"/>
        <w:textAlignment w:val="baseline"/>
        <w:rPr>
          <w:rFonts w:ascii="Times New Roman" w:hAnsi="Times New Roman" w:cs="Times New Roman"/>
          <w:sz w:val="28"/>
          <w:szCs w:val="28"/>
        </w:rPr>
      </w:pPr>
    </w:p>
    <w:p w:rsidR="00A633CD" w:rsidRPr="00EC42C3" w:rsidRDefault="00EC42C3" w:rsidP="00B3275D">
      <w:pPr>
        <w:spacing w:line="289" w:lineRule="atLeast"/>
        <w:jc w:val="both"/>
        <w:textAlignment w:val="baseline"/>
        <w:rPr>
          <w:rFonts w:ascii="Times New Roman" w:hAnsi="Times New Roman" w:cs="Times New Roman"/>
          <w:sz w:val="28"/>
          <w:szCs w:val="27"/>
        </w:rPr>
      </w:pPr>
    </w:p>
    <w:p w:rsidR="001019C3" w:rsidRPr="00EC42C3" w:rsidRDefault="00EC42C3" w:rsidP="00B3275D">
      <w:pPr>
        <w:rPr>
          <w:rFonts w:ascii="Times New Roman" w:hAnsi="Times New Roman" w:cs="Times New Roman"/>
          <w:b/>
          <w:bCs/>
          <w:sz w:val="28"/>
          <w:szCs w:val="28"/>
        </w:rPr>
      </w:pPr>
      <w:r w:rsidRPr="00EC42C3">
        <w:rPr>
          <w:rFonts w:ascii="Times New Roman" w:hAnsi="Times New Roman" w:cs="Times New Roman"/>
          <w:b/>
          <w:bCs/>
          <w:sz w:val="28"/>
          <w:szCs w:val="28"/>
        </w:rPr>
        <w:t xml:space="preserve">Problema jurídico y esquema de resolución </w:t>
      </w:r>
    </w:p>
    <w:p w:rsidR="001019C3" w:rsidRPr="00EC42C3" w:rsidRDefault="00EC42C3" w:rsidP="00B3275D">
      <w:pPr>
        <w:rPr>
          <w:rFonts w:ascii="Times New Roman" w:hAnsi="Times New Roman" w:cs="Times New Roman"/>
          <w:b/>
          <w:bCs/>
          <w:i/>
          <w:iCs/>
          <w:sz w:val="28"/>
          <w:szCs w:val="28"/>
        </w:rPr>
      </w:pPr>
    </w:p>
    <w:p w:rsidR="00450D61" w:rsidRPr="00EC42C3" w:rsidRDefault="00EC42C3" w:rsidP="00450D61">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rPr>
        <w:t>En</w:t>
      </w:r>
      <w:r w:rsidRPr="00EC42C3">
        <w:rPr>
          <w:rFonts w:ascii="Times New Roman" w:hAnsi="Times New Roman" w:cs="Times New Roman"/>
          <w:sz w:val="28"/>
          <w:szCs w:val="28"/>
        </w:rPr>
        <w:t xml:space="preserve"> este caso, </w:t>
      </w:r>
      <w:r w:rsidRPr="00EC42C3">
        <w:rPr>
          <w:rFonts w:ascii="Times New Roman" w:hAnsi="Times New Roman" w:cs="Times New Roman"/>
          <w:sz w:val="28"/>
          <w:szCs w:val="28"/>
        </w:rPr>
        <w:t>corresponde a la Sala determinar si</w:t>
      </w:r>
      <w:r w:rsidRPr="00EC42C3">
        <w:rPr>
          <w:rFonts w:ascii="Times New Roman" w:hAnsi="Times New Roman" w:cs="Times New Roman"/>
          <w:sz w:val="28"/>
          <w:szCs w:val="28"/>
        </w:rPr>
        <w:t xml:space="preserve"> </w:t>
      </w:r>
      <w:r w:rsidRPr="00EC42C3">
        <w:rPr>
          <w:rFonts w:ascii="Times New Roman" w:eastAsia="TimesNewRomanPSMT" w:hAnsi="Times New Roman" w:cs="Times New Roman"/>
          <w:color w:val="000000" w:themeColor="text1"/>
          <w:sz w:val="28"/>
          <w:szCs w:val="28"/>
          <w:lang w:val="es"/>
        </w:rPr>
        <w:t xml:space="preserve">la norma demandada, al no incluir a </w:t>
      </w:r>
      <w:r w:rsidRPr="00EC42C3">
        <w:rPr>
          <w:rFonts w:ascii="Times New Roman" w:eastAsia="TimesNewRomanPSMT" w:hAnsi="Times New Roman" w:cs="Times New Roman"/>
          <w:color w:val="000000" w:themeColor="text1"/>
          <w:sz w:val="28"/>
          <w:szCs w:val="28"/>
          <w:lang w:val="es"/>
        </w:rPr>
        <w:t>los compañeros y compañeros permanentes, para que en su favor se pueda rescindir el decreto de posesión por reaparición, conforme a lo previsto en el artículo 108 del Código Civil, incurre en una omisión legislativa relativa, al desconocer lo previsto en l</w:t>
      </w:r>
      <w:r w:rsidRPr="00EC42C3">
        <w:rPr>
          <w:rFonts w:ascii="Times New Roman" w:eastAsia="TimesNewRomanPSMT" w:hAnsi="Times New Roman" w:cs="Times New Roman"/>
          <w:color w:val="000000" w:themeColor="text1"/>
          <w:sz w:val="28"/>
          <w:szCs w:val="28"/>
          <w:lang w:val="es"/>
        </w:rPr>
        <w:t>os artículos 5, 13 y 42 de la Constitución.</w:t>
      </w:r>
    </w:p>
    <w:p w:rsidR="00D70EAF" w:rsidRPr="00EC42C3" w:rsidRDefault="00EC42C3" w:rsidP="00B3275D">
      <w:pPr>
        <w:pStyle w:val="Prrafodelista"/>
        <w:tabs>
          <w:tab w:val="left" w:pos="426"/>
        </w:tabs>
        <w:ind w:left="0"/>
        <w:contextualSpacing w:val="0"/>
        <w:jc w:val="both"/>
        <w:rPr>
          <w:rFonts w:ascii="Times New Roman" w:hAnsi="Times New Roman" w:cs="Times New Roman"/>
          <w:b/>
          <w:bCs/>
          <w:i/>
          <w:iCs/>
          <w:sz w:val="28"/>
          <w:szCs w:val="28"/>
        </w:rPr>
      </w:pPr>
    </w:p>
    <w:p w:rsidR="001019C3" w:rsidRPr="00EC42C3" w:rsidRDefault="00EC42C3" w:rsidP="00DE4F97">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sz w:val="28"/>
          <w:szCs w:val="28"/>
        </w:rPr>
        <w:t>Para resolver el problema jurídico</w:t>
      </w:r>
      <w:r w:rsidRPr="00EC42C3">
        <w:rPr>
          <w:rFonts w:ascii="Times New Roman" w:hAnsi="Times New Roman" w:cs="Times New Roman"/>
          <w:sz w:val="28"/>
          <w:szCs w:val="28"/>
        </w:rPr>
        <w:t xml:space="preserve"> planteado</w:t>
      </w:r>
      <w:r w:rsidRPr="00EC42C3">
        <w:rPr>
          <w:rFonts w:ascii="Times New Roman" w:hAnsi="Times New Roman" w:cs="Times New Roman"/>
          <w:sz w:val="28"/>
          <w:szCs w:val="28"/>
        </w:rPr>
        <w:t>, la Sala</w:t>
      </w:r>
      <w:r w:rsidRPr="00EC42C3">
        <w:rPr>
          <w:rFonts w:ascii="Times New Roman" w:hAnsi="Times New Roman" w:cs="Times New Roman"/>
          <w:sz w:val="28"/>
          <w:szCs w:val="28"/>
        </w:rPr>
        <w:t xml:space="preserve"> seguirá la siguiente agenda:</w:t>
      </w:r>
      <w:r w:rsidRPr="00EC42C3">
        <w:rPr>
          <w:rFonts w:ascii="Times New Roman" w:hAnsi="Times New Roman" w:cs="Times New Roman"/>
          <w:sz w:val="28"/>
          <w:szCs w:val="28"/>
        </w:rPr>
        <w:t xml:space="preserve"> </w:t>
      </w:r>
      <w:r w:rsidRPr="00EC42C3">
        <w:rPr>
          <w:rFonts w:ascii="Times New Roman" w:hAnsi="Times New Roman" w:cs="Times New Roman"/>
          <w:i/>
          <w:iCs/>
          <w:sz w:val="28"/>
          <w:szCs w:val="28"/>
        </w:rPr>
        <w:t>(</w:t>
      </w:r>
      <w:r w:rsidRPr="00EC42C3">
        <w:rPr>
          <w:rFonts w:ascii="Times New Roman" w:hAnsi="Times New Roman" w:cs="Times New Roman"/>
          <w:i/>
          <w:iCs/>
          <w:sz w:val="28"/>
          <w:szCs w:val="28"/>
          <w:lang w:val="es-ES"/>
        </w:rPr>
        <w:t>i) </w:t>
      </w:r>
      <w:r w:rsidRPr="00EC42C3">
        <w:rPr>
          <w:rFonts w:ascii="Times New Roman" w:hAnsi="Times New Roman" w:cs="Times New Roman"/>
          <w:sz w:val="28"/>
          <w:szCs w:val="28"/>
          <w:lang w:val="es-ES"/>
        </w:rPr>
        <w:t>abordará el</w:t>
      </w:r>
      <w:r w:rsidRPr="00EC42C3">
        <w:rPr>
          <w:rFonts w:ascii="Times New Roman" w:hAnsi="Times New Roman" w:cs="Times New Roman"/>
          <w:sz w:val="28"/>
          <w:szCs w:val="28"/>
          <w:lang w:val="es-ES"/>
        </w:rPr>
        <w:t xml:space="preserve"> </w:t>
      </w:r>
      <w:r w:rsidRPr="00EC42C3">
        <w:rPr>
          <w:rFonts w:ascii="Times New Roman" w:hAnsi="Times New Roman" w:cs="Times New Roman"/>
          <w:sz w:val="28"/>
          <w:szCs w:val="28"/>
        </w:rPr>
        <w:t xml:space="preserve">marco normativo relacionado con la </w:t>
      </w:r>
      <w:r w:rsidRPr="00EC42C3">
        <w:rPr>
          <w:rFonts w:ascii="Times New Roman" w:hAnsi="Times New Roman" w:cs="Times New Roman"/>
          <w:sz w:val="28"/>
          <w:szCs w:val="28"/>
        </w:rPr>
        <w:t xml:space="preserve">declaración de </w:t>
      </w:r>
      <w:r w:rsidRPr="00EC42C3">
        <w:rPr>
          <w:rFonts w:ascii="Times New Roman" w:hAnsi="Times New Roman" w:cs="Times New Roman"/>
          <w:sz w:val="28"/>
          <w:szCs w:val="28"/>
        </w:rPr>
        <w:t xml:space="preserve">ausencia de una persona, la presunción de muerte y la </w:t>
      </w:r>
      <w:r w:rsidRPr="00EC42C3">
        <w:rPr>
          <w:rFonts w:ascii="Times New Roman" w:hAnsi="Times New Roman" w:cs="Times New Roman"/>
          <w:sz w:val="28"/>
          <w:szCs w:val="28"/>
        </w:rPr>
        <w:t>rescisión del decreto de posesión por reaparición;</w:t>
      </w:r>
      <w:r w:rsidRPr="00EC42C3">
        <w:rPr>
          <w:rFonts w:ascii="Times New Roman" w:hAnsi="Times New Roman" w:cs="Times New Roman"/>
          <w:sz w:val="28"/>
          <w:szCs w:val="28"/>
          <w:lang w:val="es-ES"/>
        </w:rPr>
        <w:t xml:space="preserve"> </w:t>
      </w:r>
      <w:r w:rsidRPr="00EC42C3">
        <w:rPr>
          <w:rFonts w:ascii="Times New Roman" w:hAnsi="Times New Roman" w:cs="Times New Roman"/>
          <w:i/>
          <w:iCs/>
          <w:sz w:val="28"/>
          <w:szCs w:val="28"/>
          <w:lang w:val="es-ES"/>
        </w:rPr>
        <w:t xml:space="preserve">(ii) </w:t>
      </w:r>
      <w:r w:rsidRPr="00EC42C3">
        <w:rPr>
          <w:rFonts w:ascii="Times New Roman" w:hAnsi="Times New Roman" w:cs="Times New Roman"/>
          <w:sz w:val="28"/>
          <w:szCs w:val="28"/>
          <w:lang w:val="es-ES"/>
        </w:rPr>
        <w:t>reiterará el concepto vigente de familia a la luz de la Constitución y su proyección en distintas áreas del derecho; </w:t>
      </w:r>
      <w:r w:rsidRPr="00EC42C3">
        <w:rPr>
          <w:rFonts w:ascii="Times New Roman" w:hAnsi="Times New Roman" w:cs="Times New Roman"/>
          <w:i/>
          <w:iCs/>
          <w:sz w:val="28"/>
          <w:szCs w:val="28"/>
          <w:lang w:val="es-ES"/>
        </w:rPr>
        <w:t>(i</w:t>
      </w:r>
      <w:r w:rsidRPr="00EC42C3">
        <w:rPr>
          <w:rFonts w:ascii="Times New Roman" w:hAnsi="Times New Roman" w:cs="Times New Roman"/>
          <w:i/>
          <w:iCs/>
          <w:sz w:val="28"/>
          <w:szCs w:val="28"/>
          <w:lang w:val="es-ES"/>
        </w:rPr>
        <w:t>ii</w:t>
      </w:r>
      <w:r w:rsidRPr="00EC42C3">
        <w:rPr>
          <w:rFonts w:ascii="Times New Roman" w:hAnsi="Times New Roman" w:cs="Times New Roman"/>
          <w:i/>
          <w:iCs/>
          <w:sz w:val="28"/>
          <w:szCs w:val="28"/>
          <w:lang w:val="es-ES"/>
        </w:rPr>
        <w:t>)</w:t>
      </w:r>
      <w:r w:rsidRPr="00EC42C3">
        <w:rPr>
          <w:rFonts w:ascii="Times New Roman" w:hAnsi="Times New Roman" w:cs="Times New Roman"/>
          <w:sz w:val="28"/>
          <w:szCs w:val="28"/>
          <w:lang w:val="es-ES"/>
        </w:rPr>
        <w:t> se referirá a la validez de las diferenciaciones normativas entre el matrimon</w:t>
      </w:r>
      <w:r w:rsidRPr="00EC42C3">
        <w:rPr>
          <w:rFonts w:ascii="Times New Roman" w:hAnsi="Times New Roman" w:cs="Times New Roman"/>
          <w:sz w:val="28"/>
          <w:szCs w:val="28"/>
          <w:lang w:val="es-ES"/>
        </w:rPr>
        <w:t>io y la unión marital de hecho;</w:t>
      </w:r>
      <w:r w:rsidRPr="00EC42C3">
        <w:rPr>
          <w:rFonts w:ascii="Times New Roman" w:hAnsi="Times New Roman" w:cs="Times New Roman"/>
          <w:sz w:val="28"/>
          <w:szCs w:val="28"/>
          <w:lang w:val="es-ES"/>
        </w:rPr>
        <w:t xml:space="preserve"> </w:t>
      </w:r>
      <w:r w:rsidRPr="00EC42C3">
        <w:rPr>
          <w:rFonts w:ascii="Times New Roman" w:hAnsi="Times New Roman" w:cs="Times New Roman"/>
          <w:i/>
          <w:iCs/>
          <w:sz w:val="28"/>
          <w:szCs w:val="28"/>
          <w:lang w:val="es-ES"/>
        </w:rPr>
        <w:t>(</w:t>
      </w:r>
      <w:r w:rsidRPr="00EC42C3">
        <w:rPr>
          <w:rFonts w:ascii="Times New Roman" w:hAnsi="Times New Roman" w:cs="Times New Roman"/>
          <w:i/>
          <w:iCs/>
          <w:sz w:val="28"/>
          <w:szCs w:val="28"/>
          <w:lang w:val="es-ES"/>
        </w:rPr>
        <w:t>i</w:t>
      </w:r>
      <w:r w:rsidRPr="00EC42C3">
        <w:rPr>
          <w:rFonts w:ascii="Times New Roman" w:hAnsi="Times New Roman" w:cs="Times New Roman"/>
          <w:i/>
          <w:iCs/>
          <w:sz w:val="28"/>
          <w:szCs w:val="28"/>
          <w:lang w:val="es-ES"/>
        </w:rPr>
        <w:t>v) </w:t>
      </w:r>
      <w:r w:rsidRPr="00EC42C3">
        <w:rPr>
          <w:rFonts w:ascii="Times New Roman" w:hAnsi="Times New Roman" w:cs="Times New Roman"/>
          <w:sz w:val="28"/>
          <w:szCs w:val="28"/>
          <w:lang w:val="es-ES"/>
        </w:rPr>
        <w:t>destacará la protección constitucional de las familias conformadas por parejas del mismo sexo</w:t>
      </w:r>
      <w:r w:rsidRPr="00EC42C3">
        <w:rPr>
          <w:rFonts w:ascii="Times New Roman" w:hAnsi="Times New Roman" w:cs="Times New Roman"/>
          <w:sz w:val="28"/>
          <w:szCs w:val="28"/>
        </w:rPr>
        <w:t xml:space="preserve">; </w:t>
      </w:r>
      <w:r w:rsidRPr="00EC42C3">
        <w:rPr>
          <w:rFonts w:ascii="Times New Roman" w:hAnsi="Times New Roman" w:cs="Times New Roman"/>
          <w:i/>
          <w:iCs/>
          <w:sz w:val="28"/>
          <w:szCs w:val="28"/>
        </w:rPr>
        <w:t>(v)</w:t>
      </w:r>
      <w:r w:rsidRPr="00EC42C3">
        <w:rPr>
          <w:rFonts w:ascii="Times New Roman" w:hAnsi="Times New Roman" w:cs="Times New Roman"/>
          <w:sz w:val="28"/>
          <w:szCs w:val="28"/>
          <w:lang w:val="es-ES"/>
        </w:rPr>
        <w:t xml:space="preserve"> </w:t>
      </w:r>
      <w:r w:rsidRPr="00EC42C3">
        <w:rPr>
          <w:rFonts w:ascii="Times New Roman" w:hAnsi="Times New Roman" w:cs="Times New Roman"/>
          <w:sz w:val="28"/>
          <w:szCs w:val="28"/>
          <w:lang w:val="es-ES"/>
        </w:rPr>
        <w:t>expondrá ciertas disposiciones del bloque de constitucionalidad referentes a la igualdad y la no discriminación</w:t>
      </w:r>
      <w:r w:rsidRPr="00EC42C3">
        <w:rPr>
          <w:rFonts w:ascii="Times New Roman" w:hAnsi="Times New Roman" w:cs="Times New Roman"/>
          <w:sz w:val="28"/>
          <w:szCs w:val="28"/>
          <w:lang w:val="es-ES"/>
        </w:rPr>
        <w:t>, en part</w:t>
      </w:r>
      <w:r w:rsidRPr="00EC42C3">
        <w:rPr>
          <w:rFonts w:ascii="Times New Roman" w:hAnsi="Times New Roman" w:cs="Times New Roman"/>
          <w:sz w:val="28"/>
          <w:szCs w:val="28"/>
          <w:lang w:val="es-ES"/>
        </w:rPr>
        <w:t xml:space="preserve">icular, </w:t>
      </w:r>
      <w:r w:rsidRPr="00EC42C3">
        <w:rPr>
          <w:rFonts w:ascii="Times New Roman" w:hAnsi="Times New Roman" w:cs="Times New Roman"/>
          <w:sz w:val="28"/>
          <w:szCs w:val="28"/>
          <w:lang w:val="es-ES"/>
        </w:rPr>
        <w:t>el Pacto Internacional de Derechos Civiles y Políticos y la Convención Americana de Derechos Humanos</w:t>
      </w:r>
      <w:r w:rsidRPr="00EC42C3">
        <w:rPr>
          <w:rFonts w:ascii="Times New Roman" w:hAnsi="Times New Roman" w:cs="Times New Roman"/>
          <w:sz w:val="28"/>
          <w:szCs w:val="28"/>
          <w:lang w:val="es-ES"/>
        </w:rPr>
        <w:t>;</w:t>
      </w:r>
      <w:r w:rsidRPr="00EC42C3">
        <w:rPr>
          <w:rFonts w:ascii="Times New Roman" w:hAnsi="Times New Roman" w:cs="Times New Roman"/>
          <w:sz w:val="28"/>
          <w:szCs w:val="28"/>
          <w:lang w:val="es-ES"/>
        </w:rPr>
        <w:t xml:space="preserve"> y,</w:t>
      </w:r>
      <w:r w:rsidRPr="00EC42C3">
        <w:rPr>
          <w:rFonts w:ascii="Times New Roman" w:hAnsi="Times New Roman" w:cs="Times New Roman"/>
          <w:sz w:val="28"/>
          <w:szCs w:val="28"/>
          <w:lang w:val="es-ES"/>
        </w:rPr>
        <w:t xml:space="preserve"> p</w:t>
      </w:r>
      <w:r w:rsidRPr="00EC42C3">
        <w:rPr>
          <w:rFonts w:ascii="Times New Roman" w:hAnsi="Times New Roman" w:cs="Times New Roman"/>
          <w:sz w:val="28"/>
          <w:szCs w:val="28"/>
          <w:lang w:val="es-ES"/>
        </w:rPr>
        <w:t xml:space="preserve">or último, </w:t>
      </w:r>
      <w:r w:rsidRPr="00EC42C3">
        <w:rPr>
          <w:rFonts w:ascii="Times New Roman" w:hAnsi="Times New Roman" w:cs="Times New Roman"/>
          <w:i/>
          <w:iCs/>
          <w:sz w:val="28"/>
          <w:szCs w:val="28"/>
          <w:lang w:val="es-ES"/>
        </w:rPr>
        <w:t>(v</w:t>
      </w:r>
      <w:r w:rsidRPr="00EC42C3">
        <w:rPr>
          <w:rFonts w:ascii="Times New Roman" w:hAnsi="Times New Roman" w:cs="Times New Roman"/>
          <w:i/>
          <w:iCs/>
          <w:sz w:val="28"/>
          <w:szCs w:val="28"/>
          <w:lang w:val="es-ES"/>
        </w:rPr>
        <w:t>i</w:t>
      </w:r>
      <w:r w:rsidRPr="00EC42C3">
        <w:rPr>
          <w:rFonts w:ascii="Times New Roman" w:hAnsi="Times New Roman" w:cs="Times New Roman"/>
          <w:i/>
          <w:iCs/>
          <w:sz w:val="28"/>
          <w:szCs w:val="28"/>
          <w:lang w:val="es-ES"/>
        </w:rPr>
        <w:t xml:space="preserve">) </w:t>
      </w:r>
      <w:r w:rsidRPr="00EC42C3">
        <w:rPr>
          <w:rFonts w:ascii="Times New Roman" w:hAnsi="Times New Roman" w:cs="Times New Roman"/>
          <w:sz w:val="28"/>
          <w:szCs w:val="28"/>
          <w:lang w:val="es-ES"/>
        </w:rPr>
        <w:t>analizará la constitucionalidad d</w:t>
      </w:r>
      <w:r w:rsidRPr="00EC42C3">
        <w:rPr>
          <w:rFonts w:ascii="Times New Roman" w:hAnsi="Times New Roman" w:cs="Times New Roman"/>
          <w:sz w:val="28"/>
          <w:szCs w:val="28"/>
          <w:lang w:val="es-ES"/>
        </w:rPr>
        <w:t>e la expresión acusada</w:t>
      </w:r>
      <w:r w:rsidRPr="00EC42C3">
        <w:rPr>
          <w:rFonts w:ascii="Times New Roman" w:hAnsi="Times New Roman" w:cs="Times New Roman"/>
          <w:sz w:val="28"/>
          <w:szCs w:val="28"/>
          <w:lang w:val="es-ES"/>
        </w:rPr>
        <w:t>. </w:t>
      </w:r>
    </w:p>
    <w:p w:rsidR="008812EA" w:rsidRPr="00EC42C3" w:rsidRDefault="00EC42C3" w:rsidP="00B3275D">
      <w:pPr>
        <w:jc w:val="both"/>
        <w:rPr>
          <w:rFonts w:ascii="Times New Roman" w:hAnsi="Times New Roman" w:cs="Times New Roman"/>
          <w:b/>
          <w:bCs/>
          <w:i/>
          <w:iCs/>
          <w:sz w:val="28"/>
          <w:szCs w:val="28"/>
        </w:rPr>
      </w:pPr>
    </w:p>
    <w:p w:rsidR="00B3275D" w:rsidRPr="00EC42C3" w:rsidRDefault="00EC42C3" w:rsidP="00B3275D">
      <w:pPr>
        <w:jc w:val="both"/>
        <w:rPr>
          <w:rFonts w:ascii="Times New Roman" w:hAnsi="Times New Roman" w:cs="Times New Roman"/>
          <w:b/>
          <w:bCs/>
          <w:i/>
          <w:iCs/>
          <w:sz w:val="28"/>
          <w:szCs w:val="28"/>
        </w:rPr>
      </w:pPr>
    </w:p>
    <w:p w:rsidR="008812EA" w:rsidRPr="00EC42C3" w:rsidRDefault="00EC42C3" w:rsidP="00B3275D">
      <w:pPr>
        <w:jc w:val="both"/>
        <w:rPr>
          <w:rFonts w:ascii="Times New Roman" w:hAnsi="Times New Roman" w:cs="Times New Roman"/>
          <w:b/>
          <w:bCs/>
          <w:sz w:val="28"/>
          <w:szCs w:val="28"/>
        </w:rPr>
      </w:pPr>
      <w:r w:rsidRPr="00EC42C3">
        <w:rPr>
          <w:rFonts w:ascii="Times New Roman" w:hAnsi="Times New Roman" w:cs="Times New Roman"/>
          <w:b/>
          <w:bCs/>
          <w:sz w:val="28"/>
          <w:szCs w:val="28"/>
        </w:rPr>
        <w:t>Marco normativo</w:t>
      </w:r>
      <w:r w:rsidRPr="00EC42C3">
        <w:rPr>
          <w:rFonts w:ascii="Times New Roman" w:hAnsi="Times New Roman" w:cs="Times New Roman"/>
          <w:b/>
          <w:bCs/>
          <w:sz w:val="28"/>
          <w:szCs w:val="28"/>
        </w:rPr>
        <w:t xml:space="preserve"> sobre la declaración de</w:t>
      </w:r>
      <w:r w:rsidRPr="00EC42C3">
        <w:rPr>
          <w:rFonts w:ascii="Times New Roman" w:hAnsi="Times New Roman" w:cs="Times New Roman"/>
          <w:b/>
          <w:bCs/>
          <w:sz w:val="28"/>
          <w:szCs w:val="28"/>
        </w:rPr>
        <w:t xml:space="preserve"> ausencia de una persona, presunción de muerte y r</w:t>
      </w:r>
      <w:r w:rsidRPr="00EC42C3">
        <w:rPr>
          <w:rFonts w:ascii="Times New Roman" w:hAnsi="Times New Roman" w:cs="Times New Roman"/>
          <w:b/>
          <w:bCs/>
          <w:sz w:val="28"/>
          <w:szCs w:val="28"/>
        </w:rPr>
        <w:t>escisión del decreto de posesión por reaparición</w:t>
      </w:r>
    </w:p>
    <w:p w:rsidR="00D42E3D" w:rsidRPr="00EC42C3" w:rsidRDefault="00EC42C3" w:rsidP="00B3275D">
      <w:pPr>
        <w:pStyle w:val="Prrafodelista"/>
        <w:rPr>
          <w:rFonts w:ascii="Times New Roman" w:hAnsi="Times New Roman" w:cs="Times New Roman"/>
          <w:sz w:val="28"/>
          <w:szCs w:val="28"/>
        </w:rPr>
      </w:pPr>
    </w:p>
    <w:p w:rsidR="00AB3077"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 xml:space="preserve">El Código Civil regula las consecuencias jurídicas derivadas de la desaparición de una persona y su eventual reaparición. </w:t>
      </w:r>
      <w:r w:rsidRPr="00EC42C3">
        <w:rPr>
          <w:rFonts w:ascii="Times New Roman" w:hAnsi="Times New Roman" w:cs="Times New Roman"/>
          <w:sz w:val="28"/>
          <w:szCs w:val="28"/>
        </w:rPr>
        <w:t>Inicialmente</w:t>
      </w:r>
      <w:r w:rsidRPr="00EC42C3">
        <w:rPr>
          <w:rFonts w:ascii="Times New Roman" w:hAnsi="Times New Roman" w:cs="Times New Roman"/>
          <w:sz w:val="28"/>
          <w:szCs w:val="28"/>
        </w:rPr>
        <w:t xml:space="preserve">, </w:t>
      </w:r>
      <w:r w:rsidRPr="00EC42C3">
        <w:rPr>
          <w:rFonts w:ascii="Times New Roman" w:hAnsi="Times New Roman" w:cs="Times New Roman"/>
          <w:sz w:val="28"/>
          <w:szCs w:val="28"/>
        </w:rPr>
        <w:t xml:space="preserve">en </w:t>
      </w:r>
      <w:r w:rsidRPr="00EC42C3">
        <w:rPr>
          <w:rFonts w:ascii="Times New Roman" w:hAnsi="Times New Roman" w:cs="Times New Roman"/>
          <w:sz w:val="28"/>
          <w:szCs w:val="28"/>
        </w:rPr>
        <w:t xml:space="preserve">el artículo 96 </w:t>
      </w:r>
      <w:r w:rsidRPr="00EC42C3">
        <w:rPr>
          <w:rFonts w:ascii="Times New Roman" w:hAnsi="Times New Roman" w:cs="Times New Roman"/>
          <w:sz w:val="28"/>
          <w:szCs w:val="28"/>
        </w:rPr>
        <w:t>di</w:t>
      </w:r>
      <w:r w:rsidRPr="00EC42C3">
        <w:rPr>
          <w:rFonts w:ascii="Times New Roman" w:hAnsi="Times New Roman" w:cs="Times New Roman"/>
          <w:sz w:val="28"/>
          <w:szCs w:val="28"/>
        </w:rPr>
        <w:t xml:space="preserve">spone </w:t>
      </w:r>
      <w:r w:rsidRPr="00EC42C3">
        <w:rPr>
          <w:rFonts w:ascii="Times New Roman" w:hAnsi="Times New Roman" w:cs="Times New Roman"/>
          <w:sz w:val="28"/>
          <w:szCs w:val="28"/>
        </w:rPr>
        <w:t>que, cuando alguien desaparece de su domicilio y se desconoce su paradero, la situación se c</w:t>
      </w:r>
      <w:r w:rsidRPr="00EC42C3">
        <w:rPr>
          <w:rFonts w:ascii="Times New Roman" w:hAnsi="Times New Roman" w:cs="Times New Roman"/>
          <w:sz w:val="28"/>
          <w:szCs w:val="28"/>
        </w:rPr>
        <w:t>alifica</w:t>
      </w:r>
      <w:r w:rsidRPr="00EC42C3">
        <w:rPr>
          <w:rFonts w:ascii="Times New Roman" w:hAnsi="Times New Roman" w:cs="Times New Roman"/>
          <w:sz w:val="28"/>
          <w:szCs w:val="28"/>
        </w:rPr>
        <w:t xml:space="preserve"> como mera ausencia, correspondiendo a sus apoderados o representantes legales velar por sus intereses.</w:t>
      </w:r>
    </w:p>
    <w:p w:rsidR="00AB3077" w:rsidRPr="00EC42C3" w:rsidRDefault="00EC42C3" w:rsidP="00B3275D">
      <w:pPr>
        <w:pStyle w:val="Prrafodelista"/>
        <w:tabs>
          <w:tab w:val="left" w:pos="426"/>
        </w:tabs>
        <w:ind w:left="0"/>
        <w:contextualSpacing w:val="0"/>
        <w:jc w:val="both"/>
        <w:rPr>
          <w:rFonts w:ascii="Times New Roman" w:hAnsi="Times New Roman" w:cs="Times New Roman"/>
          <w:sz w:val="28"/>
          <w:szCs w:val="28"/>
        </w:rPr>
      </w:pPr>
    </w:p>
    <w:p w:rsidR="00AB3077"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Si transcurren dos años sin que se tengan noti</w:t>
      </w:r>
      <w:r w:rsidRPr="00EC42C3">
        <w:rPr>
          <w:rFonts w:ascii="Times New Roman" w:hAnsi="Times New Roman" w:cs="Times New Roman"/>
          <w:sz w:val="28"/>
          <w:szCs w:val="28"/>
        </w:rPr>
        <w:t>cias del ausente, el artículo 97 del Código Civil establece que podrá presumirse su muerte, siempre que se cumplan ciertas condiciones procesales. En particular, la declaración debe ser realizada por el juez del último domicilio en el país, previa justific</w:t>
      </w:r>
      <w:r w:rsidRPr="00EC42C3">
        <w:rPr>
          <w:rFonts w:ascii="Times New Roman" w:hAnsi="Times New Roman" w:cs="Times New Roman"/>
          <w:sz w:val="28"/>
          <w:szCs w:val="28"/>
        </w:rPr>
        <w:t xml:space="preserve">ación de que se desconoce su paradero y </w:t>
      </w:r>
      <w:r w:rsidRPr="00EC42C3">
        <w:rPr>
          <w:rFonts w:ascii="Times New Roman" w:hAnsi="Times New Roman" w:cs="Times New Roman"/>
          <w:sz w:val="28"/>
          <w:szCs w:val="28"/>
        </w:rPr>
        <w:t xml:space="preserve">de </w:t>
      </w:r>
      <w:r w:rsidRPr="00EC42C3">
        <w:rPr>
          <w:rFonts w:ascii="Times New Roman" w:hAnsi="Times New Roman" w:cs="Times New Roman"/>
          <w:sz w:val="28"/>
          <w:szCs w:val="28"/>
        </w:rPr>
        <w:t>que se han agotado las diligencias para ubicarlo. Antes de decidir, se ordena la citación del desaparecido mediante edictos publicados al menos tres veces, con un intervalo mayor a cuatro meses, se designa un defe</w:t>
      </w:r>
      <w:r w:rsidRPr="00EC42C3">
        <w:rPr>
          <w:rFonts w:ascii="Times New Roman" w:hAnsi="Times New Roman" w:cs="Times New Roman"/>
          <w:sz w:val="28"/>
          <w:szCs w:val="28"/>
        </w:rPr>
        <w:t>nsor que interviene en todo el trámite y se publican las providencias que se profieran. La fecha presuntiva de muerte será el último día del primer bienio contado desde las últimas noticias, y, pasados dos años adicionales, podrá concederse la posesión pro</w:t>
      </w:r>
      <w:r w:rsidRPr="00EC42C3">
        <w:rPr>
          <w:rFonts w:ascii="Times New Roman" w:hAnsi="Times New Roman" w:cs="Times New Roman"/>
          <w:sz w:val="28"/>
          <w:szCs w:val="28"/>
        </w:rPr>
        <w:t>visoria de los bienes. No obstante, en casos de guerra, naufragio u otros peligros semejantes, el juez podrá fijar como fecha presuntiva la del suceso y otorgar de inmediato la posesión definitiva de los bienes, siempre que se hayan cumplido las citaciones</w:t>
      </w:r>
      <w:r w:rsidRPr="00EC42C3">
        <w:rPr>
          <w:rFonts w:ascii="Times New Roman" w:hAnsi="Times New Roman" w:cs="Times New Roman"/>
          <w:sz w:val="28"/>
          <w:szCs w:val="28"/>
        </w:rPr>
        <w:t xml:space="preserve"> y justificaciones correspondientes.</w:t>
      </w:r>
    </w:p>
    <w:p w:rsidR="00AB3077" w:rsidRPr="00EC42C3" w:rsidRDefault="00EC42C3" w:rsidP="00B3275D">
      <w:pPr>
        <w:pStyle w:val="Prrafodelista"/>
        <w:tabs>
          <w:tab w:val="left" w:pos="426"/>
        </w:tabs>
        <w:ind w:left="0"/>
        <w:contextualSpacing w:val="0"/>
        <w:jc w:val="both"/>
        <w:rPr>
          <w:rFonts w:ascii="Times New Roman" w:hAnsi="Times New Roman" w:cs="Times New Roman"/>
          <w:sz w:val="28"/>
          <w:szCs w:val="28"/>
        </w:rPr>
      </w:pPr>
    </w:p>
    <w:p w:rsidR="00AB3077"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Sobre esta figura, en la Sentencia T-1095 de 2005</w:t>
      </w:r>
      <w:r w:rsidRPr="00EC42C3">
        <w:rPr>
          <w:rFonts w:ascii="Times New Roman" w:hAnsi="Times New Roman" w:cs="Times New Roman"/>
          <w:sz w:val="28"/>
          <w:szCs w:val="28"/>
        </w:rPr>
        <w:t xml:space="preserve"> se</w:t>
      </w:r>
      <w:r w:rsidRPr="00EC42C3">
        <w:rPr>
          <w:rFonts w:ascii="Times New Roman" w:hAnsi="Times New Roman" w:cs="Times New Roman"/>
          <w:sz w:val="28"/>
          <w:szCs w:val="28"/>
        </w:rPr>
        <w:t xml:space="preserve"> puntualizó que las circunstancias que permiten presumir el fin de la existencia de una persona en razón a su desaparecimiento tienen que encontrarse demostradas en u</w:t>
      </w:r>
      <w:r w:rsidRPr="00EC42C3">
        <w:rPr>
          <w:rFonts w:ascii="Times New Roman" w:hAnsi="Times New Roman" w:cs="Times New Roman"/>
          <w:sz w:val="28"/>
          <w:szCs w:val="28"/>
        </w:rPr>
        <w:t>n proceso judicial, y corresponde a un juez su valoración, para que mediante sentencia declare la muerte por desaparecimiento, providencia en la cual debe dejarse definido el día en que se presume ha ocurrido el deceso.</w:t>
      </w:r>
    </w:p>
    <w:p w:rsidR="00AB3077" w:rsidRPr="00EC42C3" w:rsidRDefault="00EC42C3" w:rsidP="00B3275D">
      <w:pPr>
        <w:pStyle w:val="Prrafodelista"/>
        <w:tabs>
          <w:tab w:val="left" w:pos="426"/>
        </w:tabs>
        <w:ind w:left="0"/>
        <w:contextualSpacing w:val="0"/>
        <w:jc w:val="both"/>
        <w:rPr>
          <w:rFonts w:ascii="Times New Roman" w:hAnsi="Times New Roman" w:cs="Times New Roman"/>
          <w:sz w:val="28"/>
          <w:szCs w:val="28"/>
        </w:rPr>
      </w:pPr>
    </w:p>
    <w:p w:rsidR="00AB3077"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Por su parte</w:t>
      </w:r>
      <w:r w:rsidRPr="00EC42C3">
        <w:rPr>
          <w:rFonts w:ascii="Times New Roman" w:hAnsi="Times New Roman" w:cs="Times New Roman"/>
          <w:sz w:val="28"/>
          <w:szCs w:val="28"/>
        </w:rPr>
        <w:t>, el artículo 584 del C</w:t>
      </w:r>
      <w:r w:rsidRPr="00EC42C3">
        <w:rPr>
          <w:rFonts w:ascii="Times New Roman" w:hAnsi="Times New Roman" w:cs="Times New Roman"/>
          <w:sz w:val="28"/>
          <w:szCs w:val="28"/>
        </w:rPr>
        <w:t xml:space="preserve">ódigo General del Proceso </w:t>
      </w:r>
      <w:r w:rsidRPr="00EC42C3">
        <w:rPr>
          <w:rFonts w:ascii="Times New Roman" w:hAnsi="Times New Roman" w:cs="Times New Roman"/>
          <w:sz w:val="28"/>
          <w:szCs w:val="28"/>
        </w:rPr>
        <w:t xml:space="preserve">remite, para la declaración de muerte presunta, a lo previsto en </w:t>
      </w:r>
      <w:r w:rsidRPr="00EC42C3">
        <w:rPr>
          <w:rFonts w:ascii="Times New Roman" w:hAnsi="Times New Roman" w:cs="Times New Roman"/>
          <w:sz w:val="28"/>
          <w:szCs w:val="28"/>
        </w:rPr>
        <w:t xml:space="preserve">los numerales 2, 3 y 4 del artículo 583 </w:t>
      </w:r>
      <w:r w:rsidRPr="00EC42C3">
        <w:rPr>
          <w:rFonts w:ascii="Times New Roman" w:hAnsi="Times New Roman" w:cs="Times New Roman"/>
          <w:sz w:val="28"/>
          <w:szCs w:val="28"/>
        </w:rPr>
        <w:t>ibidem,</w:t>
      </w:r>
      <w:r w:rsidRPr="00EC42C3">
        <w:rPr>
          <w:rStyle w:val="Refdenotaalpie"/>
          <w:rFonts w:ascii="Times New Roman" w:hAnsi="Times New Roman" w:cs="Times New Roman"/>
          <w:sz w:val="28"/>
          <w:szCs w:val="28"/>
        </w:rPr>
        <w:footnoteReference w:id="17"/>
      </w:r>
      <w:r w:rsidRPr="00EC42C3">
        <w:rPr>
          <w:rFonts w:ascii="Times New Roman" w:hAnsi="Times New Roman" w:cs="Times New Roman"/>
          <w:sz w:val="28"/>
          <w:szCs w:val="28"/>
        </w:rPr>
        <w:t xml:space="preserve"> y al numeral 2 del artículo 97 del Código Civil, </w:t>
      </w:r>
      <w:r w:rsidRPr="00EC42C3">
        <w:rPr>
          <w:rFonts w:ascii="Times New Roman" w:hAnsi="Times New Roman" w:cs="Times New Roman"/>
          <w:sz w:val="28"/>
          <w:szCs w:val="28"/>
        </w:rPr>
        <w:t>con excepción de la publicación en el Diario Oficial. La sentencia</w:t>
      </w:r>
      <w:r w:rsidRPr="00EC42C3">
        <w:rPr>
          <w:rFonts w:ascii="Times New Roman" w:hAnsi="Times New Roman" w:cs="Times New Roman"/>
          <w:sz w:val="28"/>
          <w:szCs w:val="28"/>
        </w:rPr>
        <w:t xml:space="preserve"> </w:t>
      </w:r>
      <w:r w:rsidRPr="00EC42C3">
        <w:rPr>
          <w:rFonts w:ascii="Times New Roman" w:hAnsi="Times New Roman" w:cs="Times New Roman"/>
          <w:sz w:val="28"/>
          <w:szCs w:val="28"/>
        </w:rPr>
        <w:t xml:space="preserve">que declare la muerte presunta debe: </w:t>
      </w:r>
      <w:r w:rsidRPr="00EC42C3">
        <w:rPr>
          <w:rFonts w:ascii="Times New Roman" w:hAnsi="Times New Roman" w:cs="Times New Roman"/>
          <w:i/>
          <w:iCs/>
          <w:sz w:val="28"/>
          <w:szCs w:val="28"/>
        </w:rPr>
        <w:t>(i)</w:t>
      </w:r>
      <w:r w:rsidRPr="00EC42C3">
        <w:rPr>
          <w:rFonts w:ascii="Times New Roman" w:hAnsi="Times New Roman" w:cs="Times New Roman"/>
          <w:sz w:val="28"/>
          <w:szCs w:val="28"/>
        </w:rPr>
        <w:t xml:space="preserve"> fijar la fecha presunta del deceso conforme a lo dispuesto en el Código Civil; </w:t>
      </w:r>
      <w:r w:rsidRPr="00EC42C3">
        <w:rPr>
          <w:rFonts w:ascii="Times New Roman" w:hAnsi="Times New Roman" w:cs="Times New Roman"/>
          <w:i/>
          <w:iCs/>
          <w:sz w:val="28"/>
          <w:szCs w:val="28"/>
        </w:rPr>
        <w:t xml:space="preserve">(ii) </w:t>
      </w:r>
      <w:r w:rsidRPr="00EC42C3">
        <w:rPr>
          <w:rFonts w:ascii="Times New Roman" w:hAnsi="Times New Roman" w:cs="Times New Roman"/>
          <w:sz w:val="28"/>
          <w:szCs w:val="28"/>
        </w:rPr>
        <w:t xml:space="preserve">ordenar su inscripción en el registro civil de defunción; y </w:t>
      </w:r>
      <w:r w:rsidRPr="00EC42C3">
        <w:rPr>
          <w:rFonts w:ascii="Times New Roman" w:hAnsi="Times New Roman" w:cs="Times New Roman"/>
          <w:i/>
          <w:iCs/>
          <w:sz w:val="28"/>
          <w:szCs w:val="28"/>
        </w:rPr>
        <w:t>(iii)</w:t>
      </w:r>
      <w:r w:rsidRPr="00EC42C3">
        <w:rPr>
          <w:rFonts w:ascii="Times New Roman" w:hAnsi="Times New Roman" w:cs="Times New Roman"/>
          <w:sz w:val="28"/>
          <w:szCs w:val="28"/>
        </w:rPr>
        <w:t xml:space="preserve"> disponer su publicación. Una vez publicada, es posible iniciar el</w:t>
      </w:r>
      <w:r w:rsidRPr="00EC42C3">
        <w:rPr>
          <w:rFonts w:ascii="Times New Roman" w:hAnsi="Times New Roman" w:cs="Times New Roman"/>
          <w:sz w:val="28"/>
          <w:szCs w:val="28"/>
        </w:rPr>
        <w:t xml:space="preserve"> proceso de sucesión y la liquidación de la sociedad conyugal; sin embargo, la partición o adjudicación podrá rescindirse, a favor de las personas señaladas en el artículo 108 del Código Civil, si así lo solicitan mediante proceso verbal dentro de los diez</w:t>
      </w:r>
      <w:r w:rsidRPr="00EC42C3">
        <w:rPr>
          <w:rFonts w:ascii="Times New Roman" w:hAnsi="Times New Roman" w:cs="Times New Roman"/>
          <w:sz w:val="28"/>
          <w:szCs w:val="28"/>
        </w:rPr>
        <w:t xml:space="preserve"> (10) años siguientes, procediendo la restitución de bienes o, si estos fueron enajenados, la aplicación de lo previsto por la ley sustancial.</w:t>
      </w:r>
    </w:p>
    <w:p w:rsidR="00D42E3D" w:rsidRPr="00EC42C3" w:rsidRDefault="00EC42C3" w:rsidP="00B3275D">
      <w:pPr>
        <w:rPr>
          <w:rFonts w:ascii="Times New Roman" w:hAnsi="Times New Roman" w:cs="Times New Roman"/>
          <w:sz w:val="28"/>
          <w:szCs w:val="28"/>
        </w:rPr>
      </w:pPr>
    </w:p>
    <w:p w:rsidR="00490EF7"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 xml:space="preserve">A partir de </w:t>
      </w:r>
      <w:r w:rsidRPr="00EC42C3">
        <w:rPr>
          <w:rFonts w:ascii="Times New Roman" w:hAnsi="Times New Roman" w:cs="Times New Roman"/>
          <w:sz w:val="28"/>
          <w:szCs w:val="28"/>
        </w:rPr>
        <w:t>esta</w:t>
      </w:r>
      <w:r w:rsidRPr="00EC42C3">
        <w:rPr>
          <w:rFonts w:ascii="Times New Roman" w:hAnsi="Times New Roman" w:cs="Times New Roman"/>
          <w:sz w:val="28"/>
          <w:szCs w:val="28"/>
        </w:rPr>
        <w:t xml:space="preserve"> presunción, </w:t>
      </w:r>
      <w:r w:rsidRPr="00EC42C3">
        <w:rPr>
          <w:rFonts w:ascii="Times New Roman" w:hAnsi="Times New Roman" w:cs="Times New Roman"/>
          <w:sz w:val="28"/>
          <w:szCs w:val="28"/>
        </w:rPr>
        <w:t xml:space="preserve">el artículo 107 del Código Civil establece reglas probatorias relacionadas con la </w:t>
      </w:r>
      <w:r w:rsidRPr="00EC42C3">
        <w:rPr>
          <w:rFonts w:ascii="Times New Roman" w:hAnsi="Times New Roman" w:cs="Times New Roman"/>
          <w:sz w:val="28"/>
          <w:szCs w:val="28"/>
        </w:rPr>
        <w:t>fecha presunta de muerte del desaparecido. Señala que quien invoque un derecho cuya existencia dependa de que el desaparecido haya muerto en esa fecha no tendrá la carga de probar el deceso real, pudiendo ejercerlo mientras no se demuestre lo contrario. En</w:t>
      </w:r>
      <w:r w:rsidRPr="00EC42C3">
        <w:rPr>
          <w:rFonts w:ascii="Times New Roman" w:hAnsi="Times New Roman" w:cs="Times New Roman"/>
          <w:sz w:val="28"/>
          <w:szCs w:val="28"/>
        </w:rPr>
        <w:t xml:space="preserve"> cambio, si el derecho reclamado requiere acreditar que el fallecimiento ocurrió en una fecha distinta, será el interesado quien deba probarlo; de no hacerlo, no podrá desplazar a otros titulares ni exigirles responsabilidad.</w:t>
      </w:r>
    </w:p>
    <w:p w:rsidR="00490EF7" w:rsidRPr="00EC42C3" w:rsidRDefault="00EC42C3" w:rsidP="00B3275D">
      <w:pPr>
        <w:pStyle w:val="Prrafodelista"/>
        <w:tabs>
          <w:tab w:val="left" w:pos="426"/>
        </w:tabs>
        <w:ind w:left="0"/>
        <w:contextualSpacing w:val="0"/>
        <w:jc w:val="both"/>
        <w:rPr>
          <w:rFonts w:ascii="Times New Roman" w:hAnsi="Times New Roman" w:cs="Times New Roman"/>
          <w:sz w:val="28"/>
          <w:szCs w:val="28"/>
        </w:rPr>
      </w:pPr>
    </w:p>
    <w:p w:rsidR="00AB3077"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En materia registral</w:t>
      </w:r>
      <w:r w:rsidRPr="00EC42C3">
        <w:rPr>
          <w:rFonts w:ascii="Times New Roman" w:hAnsi="Times New Roman" w:cs="Times New Roman"/>
          <w:sz w:val="28"/>
          <w:szCs w:val="28"/>
        </w:rPr>
        <w:t>, el artí</w:t>
      </w:r>
      <w:r w:rsidRPr="00EC42C3">
        <w:rPr>
          <w:rFonts w:ascii="Times New Roman" w:hAnsi="Times New Roman" w:cs="Times New Roman"/>
          <w:sz w:val="28"/>
          <w:szCs w:val="28"/>
        </w:rPr>
        <w:t>culo 81 del Decreto 1260 de 1970 establece que las sentencias ejecutoriadas que declaren la muerte presunta por desaparecimiento deben inscribirse en el registro de defunciones, con los datos correspondientes, y archivarse en la oficina respectiva. En caso</w:t>
      </w:r>
      <w:r w:rsidRPr="00EC42C3">
        <w:rPr>
          <w:rFonts w:ascii="Times New Roman" w:hAnsi="Times New Roman" w:cs="Times New Roman"/>
          <w:sz w:val="28"/>
          <w:szCs w:val="28"/>
        </w:rPr>
        <w:t xml:space="preserve"> de hallarse restos humanos, el registro consignará la información suministrada por el denunciante. Esta disposición complementa las reglas del Código Civil al precisar los efectos registrales de la declaración de muerte presunta, asegurando la publicidad </w:t>
      </w:r>
      <w:r w:rsidRPr="00EC42C3">
        <w:rPr>
          <w:rFonts w:ascii="Times New Roman" w:hAnsi="Times New Roman" w:cs="Times New Roman"/>
          <w:sz w:val="28"/>
          <w:szCs w:val="28"/>
        </w:rPr>
        <w:t>y certeza jurídica del acto.</w:t>
      </w:r>
    </w:p>
    <w:p w:rsidR="00AB3077" w:rsidRPr="00EC42C3" w:rsidRDefault="00EC42C3" w:rsidP="00B3275D">
      <w:pPr>
        <w:pStyle w:val="Prrafodelista"/>
        <w:rPr>
          <w:rFonts w:ascii="Times New Roman" w:hAnsi="Times New Roman" w:cs="Times New Roman"/>
          <w:sz w:val="28"/>
          <w:szCs w:val="28"/>
        </w:rPr>
      </w:pPr>
    </w:p>
    <w:p w:rsidR="00490EF7"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 xml:space="preserve">El artículo 108 del Código Civil regula la hipótesis en la que la persona declarada desaparecida reaparece. En tal caso, se </w:t>
      </w:r>
      <w:r w:rsidRPr="00EC42C3">
        <w:rPr>
          <w:rFonts w:ascii="Times New Roman" w:hAnsi="Times New Roman" w:cs="Times New Roman"/>
          <w:sz w:val="28"/>
          <w:szCs w:val="28"/>
        </w:rPr>
        <w:t>reconoce que el decreto de posesión definitiva podrá rescindirse en favor del desaparecido, cuando rea</w:t>
      </w:r>
      <w:r w:rsidRPr="00EC42C3">
        <w:rPr>
          <w:rFonts w:ascii="Times New Roman" w:hAnsi="Times New Roman" w:cs="Times New Roman"/>
          <w:sz w:val="28"/>
          <w:szCs w:val="28"/>
        </w:rPr>
        <w:t>parece, o de sus legitimarios habidos durante el desaparecimiento o de su cónyuge</w:t>
      </w:r>
      <w:r w:rsidRPr="00EC42C3">
        <w:rPr>
          <w:rFonts w:ascii="Times New Roman" w:hAnsi="Times New Roman" w:cs="Times New Roman"/>
          <w:sz w:val="28"/>
          <w:szCs w:val="28"/>
        </w:rPr>
        <w:t xml:space="preserve">, siempre que el matrimonio se haya celebrado en ese mismo período. </w:t>
      </w:r>
    </w:p>
    <w:p w:rsidR="00490EF7" w:rsidRPr="00EC42C3" w:rsidRDefault="00EC42C3" w:rsidP="00B3275D">
      <w:pPr>
        <w:pStyle w:val="Prrafodelista"/>
        <w:rPr>
          <w:rFonts w:ascii="Times New Roman" w:hAnsi="Times New Roman" w:cs="Times New Roman"/>
          <w:sz w:val="28"/>
          <w:szCs w:val="28"/>
        </w:rPr>
      </w:pPr>
    </w:p>
    <w:p w:rsidR="00D42E3D"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 xml:space="preserve">A su vez, el artículo 109 </w:t>
      </w:r>
      <w:r w:rsidRPr="00EC42C3">
        <w:rPr>
          <w:rFonts w:ascii="Times New Roman" w:hAnsi="Times New Roman" w:cs="Times New Roman"/>
          <w:sz w:val="28"/>
          <w:szCs w:val="28"/>
        </w:rPr>
        <w:t xml:space="preserve">siguiente </w:t>
      </w:r>
      <w:r w:rsidRPr="00EC42C3">
        <w:rPr>
          <w:rFonts w:ascii="Times New Roman" w:hAnsi="Times New Roman" w:cs="Times New Roman"/>
          <w:sz w:val="28"/>
          <w:szCs w:val="28"/>
        </w:rPr>
        <w:t xml:space="preserve">complementa </w:t>
      </w:r>
      <w:r w:rsidRPr="00EC42C3">
        <w:rPr>
          <w:rFonts w:ascii="Times New Roman" w:hAnsi="Times New Roman" w:cs="Times New Roman"/>
          <w:sz w:val="28"/>
          <w:szCs w:val="28"/>
        </w:rPr>
        <w:t>la</w:t>
      </w:r>
      <w:r w:rsidRPr="00EC42C3">
        <w:rPr>
          <w:rFonts w:ascii="Times New Roman" w:hAnsi="Times New Roman" w:cs="Times New Roman"/>
          <w:sz w:val="28"/>
          <w:szCs w:val="28"/>
        </w:rPr>
        <w:t xml:space="preserve"> disposición</w:t>
      </w:r>
      <w:r w:rsidRPr="00EC42C3">
        <w:rPr>
          <w:rFonts w:ascii="Times New Roman" w:hAnsi="Times New Roman" w:cs="Times New Roman"/>
          <w:sz w:val="28"/>
          <w:szCs w:val="28"/>
        </w:rPr>
        <w:t xml:space="preserve"> aludida</w:t>
      </w:r>
      <w:r w:rsidRPr="00EC42C3">
        <w:rPr>
          <w:rFonts w:ascii="Times New Roman" w:hAnsi="Times New Roman" w:cs="Times New Roman"/>
          <w:sz w:val="28"/>
          <w:szCs w:val="28"/>
        </w:rPr>
        <w:t xml:space="preserve"> al establecer que dicha rescisión podrá ser promovida en cualquier momento por el propio desaparecido, mientras que los demás legitimados solo podrán hacerlo dentro de los plazos de prescripción contados a partir de la fecha de la verdadera muerte. La pro</w:t>
      </w:r>
      <w:r w:rsidRPr="00EC42C3">
        <w:rPr>
          <w:rFonts w:ascii="Times New Roman" w:hAnsi="Times New Roman" w:cs="Times New Roman"/>
          <w:sz w:val="28"/>
          <w:szCs w:val="28"/>
        </w:rPr>
        <w:t>cedencia del beneficio exige sentencia judicial y permite la restitución de los bienes en el estado en que se encuentren, conservando la validez de las enajenaciones, hipotecas y demás derechos reales válidamente constituidos. Se presume la buena fe de los</w:t>
      </w:r>
      <w:r w:rsidRPr="00EC42C3">
        <w:rPr>
          <w:rFonts w:ascii="Times New Roman" w:hAnsi="Times New Roman" w:cs="Times New Roman"/>
          <w:sz w:val="28"/>
          <w:szCs w:val="28"/>
        </w:rPr>
        <w:t xml:space="preserve"> actuales poseedores, salvo prueba en contrario, y se reputa mala fe el conocimiento y ocultamiento de la verdadera muerte o existencia del desaparecido.</w:t>
      </w:r>
    </w:p>
    <w:p w:rsidR="00490EF7" w:rsidRPr="00EC42C3" w:rsidRDefault="00EC42C3" w:rsidP="00B3275D">
      <w:pPr>
        <w:pStyle w:val="Prrafodelista"/>
        <w:rPr>
          <w:rFonts w:ascii="Times New Roman" w:hAnsi="Times New Roman" w:cs="Times New Roman"/>
          <w:sz w:val="28"/>
          <w:szCs w:val="28"/>
        </w:rPr>
      </w:pPr>
    </w:p>
    <w:p w:rsidR="00490EF7"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En síntesis, la normativa civil y procesal configura un régimen que, partiendo de la presunción de mu</w:t>
      </w:r>
      <w:r w:rsidRPr="00EC42C3">
        <w:rPr>
          <w:rFonts w:ascii="Times New Roman" w:hAnsi="Times New Roman" w:cs="Times New Roman"/>
          <w:sz w:val="28"/>
          <w:szCs w:val="28"/>
        </w:rPr>
        <w:t>erte, habilita la administración y disposición de los bienes del desaparecido, pero reconoce, como garantía esencial, la posibilidad de revertir tales efectos si la persona reaparece. En efecto, el régimen jurídico previsto en los artículos 108 y 109 del C</w:t>
      </w:r>
      <w:r w:rsidRPr="00EC42C3">
        <w:rPr>
          <w:rFonts w:ascii="Times New Roman" w:hAnsi="Times New Roman" w:cs="Times New Roman"/>
          <w:sz w:val="28"/>
          <w:szCs w:val="28"/>
        </w:rPr>
        <w:t>ódigo Civil reconoce que la reaparición de la persona declarada muerta presuntivamente activa un derecho especial a solicitar la rescisión del decreto de posesión definitiva de sus bienes. Este mecanismo no solo busca restituir el patrimonio al legítimo ti</w:t>
      </w:r>
      <w:r w:rsidRPr="00EC42C3">
        <w:rPr>
          <w:rFonts w:ascii="Times New Roman" w:hAnsi="Times New Roman" w:cs="Times New Roman"/>
          <w:sz w:val="28"/>
          <w:szCs w:val="28"/>
        </w:rPr>
        <w:t>tular, sino que también extiende su protección a un círculo cercano de beneficiarios, como los legitimarios nacidos durante la desaparición y el cónyuge cuyo matrimonio se haya celebrado en ese mismo periodo. Se trata, por tanto, de una garantía que salvag</w:t>
      </w:r>
      <w:r w:rsidRPr="00EC42C3">
        <w:rPr>
          <w:rFonts w:ascii="Times New Roman" w:hAnsi="Times New Roman" w:cs="Times New Roman"/>
          <w:sz w:val="28"/>
          <w:szCs w:val="28"/>
        </w:rPr>
        <w:t xml:space="preserve">uarda la justicia material y restablece el equilibrio jurídico afectado por una declaración de muerte que, a la postre, se demuestra errónea. </w:t>
      </w:r>
    </w:p>
    <w:p w:rsidR="00490EF7" w:rsidRPr="00EC42C3" w:rsidRDefault="00EC42C3" w:rsidP="00B3275D">
      <w:pPr>
        <w:pStyle w:val="Prrafodelista"/>
        <w:rPr>
          <w:rFonts w:ascii="Times New Roman" w:hAnsi="Times New Roman" w:cs="Times New Roman"/>
          <w:sz w:val="28"/>
          <w:szCs w:val="28"/>
        </w:rPr>
      </w:pPr>
    </w:p>
    <w:p w:rsidR="00490EF7"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Ciertamente, la exigencia de un proceso judicial para su procedencia, la posibilidad de restitución en el estado</w:t>
      </w:r>
      <w:r w:rsidRPr="00EC42C3">
        <w:rPr>
          <w:rFonts w:ascii="Times New Roman" w:hAnsi="Times New Roman" w:cs="Times New Roman"/>
          <w:sz w:val="28"/>
          <w:szCs w:val="28"/>
        </w:rPr>
        <w:t xml:space="preserve"> en que se encuentren los bienes y la presunción de buena fe de los actuales poseedores, revelan que el legislador diseñó un sistema que busca armonizar la protección de los derechos del reaparecido con la seguridad jurídica de quienes, confiando en la pre</w:t>
      </w:r>
      <w:r w:rsidRPr="00EC42C3">
        <w:rPr>
          <w:rFonts w:ascii="Times New Roman" w:hAnsi="Times New Roman" w:cs="Times New Roman"/>
          <w:sz w:val="28"/>
          <w:szCs w:val="28"/>
        </w:rPr>
        <w:t>sunción legal, han adquirido derechos durante su ausencia. Sin embargo, al circunscribir el beneficio únicamente al cónyuge y no incluir expresamente al compañero o compañera permanente, la norma plantea un tratamiento diferenciado que, frente al mandato c</w:t>
      </w:r>
      <w:r w:rsidRPr="00EC42C3">
        <w:rPr>
          <w:rFonts w:ascii="Times New Roman" w:hAnsi="Times New Roman" w:cs="Times New Roman"/>
          <w:sz w:val="28"/>
          <w:szCs w:val="28"/>
        </w:rPr>
        <w:t>onstitucional de igualdad y a la equiparación jurídica entre matrimonio y unión marital de hecho, constituye el núcleo del cuestionamiento planteado en esta demanda.</w:t>
      </w:r>
    </w:p>
    <w:p w:rsidR="00490EF7" w:rsidRPr="00EC42C3" w:rsidRDefault="00EC42C3" w:rsidP="00B3275D">
      <w:pPr>
        <w:pStyle w:val="Prrafodelista"/>
        <w:tabs>
          <w:tab w:val="left" w:pos="426"/>
        </w:tabs>
        <w:ind w:left="0"/>
        <w:contextualSpacing w:val="0"/>
        <w:jc w:val="both"/>
        <w:rPr>
          <w:rFonts w:ascii="Times New Roman" w:hAnsi="Times New Roman" w:cs="Times New Roman"/>
          <w:sz w:val="28"/>
          <w:szCs w:val="28"/>
        </w:rPr>
      </w:pPr>
    </w:p>
    <w:p w:rsidR="00D922D8" w:rsidRPr="00EC42C3" w:rsidRDefault="00EC42C3" w:rsidP="00B3275D">
      <w:pPr>
        <w:pStyle w:val="Prrafodelista"/>
        <w:tabs>
          <w:tab w:val="left" w:pos="426"/>
        </w:tabs>
        <w:ind w:left="0"/>
        <w:contextualSpacing w:val="0"/>
        <w:jc w:val="both"/>
        <w:rPr>
          <w:rFonts w:ascii="Times New Roman" w:hAnsi="Times New Roman" w:cs="Times New Roman"/>
          <w:sz w:val="28"/>
          <w:szCs w:val="28"/>
        </w:rPr>
      </w:pPr>
    </w:p>
    <w:p w:rsidR="009247DB" w:rsidRPr="00EC42C3" w:rsidRDefault="00EC42C3" w:rsidP="00B3275D">
      <w:pPr>
        <w:jc w:val="both"/>
        <w:rPr>
          <w:rFonts w:ascii="Times New Roman" w:hAnsi="Times New Roman" w:cs="Times New Roman"/>
          <w:b/>
          <w:bCs/>
          <w:sz w:val="28"/>
          <w:szCs w:val="28"/>
        </w:rPr>
      </w:pPr>
      <w:r w:rsidRPr="00EC42C3">
        <w:rPr>
          <w:rFonts w:ascii="Times New Roman" w:hAnsi="Times New Roman" w:cs="Times New Roman"/>
          <w:b/>
          <w:bCs/>
          <w:sz w:val="28"/>
          <w:szCs w:val="28"/>
        </w:rPr>
        <w:t>La noción actual de familia y su proyección en distintas áreas del derecho</w:t>
      </w:r>
      <w:r w:rsidRPr="00EC42C3">
        <w:rPr>
          <w:rFonts w:ascii="Times New Roman" w:hAnsi="Times New Roman" w:cs="Times New Roman"/>
          <w:b/>
          <w:bCs/>
          <w:sz w:val="28"/>
          <w:szCs w:val="28"/>
        </w:rPr>
        <w:t xml:space="preserve">. Reiteración </w:t>
      </w:r>
      <w:r w:rsidRPr="00EC42C3">
        <w:rPr>
          <w:rFonts w:ascii="Times New Roman" w:hAnsi="Times New Roman" w:cs="Times New Roman"/>
          <w:b/>
          <w:bCs/>
          <w:sz w:val="28"/>
          <w:szCs w:val="28"/>
        </w:rPr>
        <w:t>de jurisprudencia</w:t>
      </w:r>
    </w:p>
    <w:p w:rsidR="009247DB" w:rsidRPr="00EC42C3" w:rsidRDefault="00EC42C3" w:rsidP="00B3275D">
      <w:pPr>
        <w:rPr>
          <w:rFonts w:ascii="Times New Roman" w:hAnsi="Times New Roman" w:cs="Times New Roman"/>
          <w:b/>
          <w:bCs/>
          <w:i/>
          <w:iCs/>
          <w:sz w:val="28"/>
          <w:szCs w:val="28"/>
        </w:rPr>
      </w:pPr>
    </w:p>
    <w:p w:rsidR="00904966"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rPr>
        <w:t>La Constitución</w:t>
      </w:r>
      <w:r w:rsidRPr="00EC42C3">
        <w:rPr>
          <w:rFonts w:ascii="Times New Roman" w:hAnsi="Times New Roman" w:cs="Times New Roman"/>
          <w:sz w:val="28"/>
          <w:szCs w:val="28"/>
        </w:rPr>
        <w:t>,</w:t>
      </w:r>
      <w:r w:rsidRPr="00EC42C3">
        <w:rPr>
          <w:rFonts w:ascii="Times New Roman" w:hAnsi="Times New Roman" w:cs="Times New Roman"/>
          <w:sz w:val="28"/>
          <w:szCs w:val="28"/>
        </w:rPr>
        <w:t xml:space="preserve"> en su artículo 42</w:t>
      </w:r>
      <w:r w:rsidRPr="00EC42C3">
        <w:rPr>
          <w:rFonts w:ascii="Times New Roman" w:hAnsi="Times New Roman" w:cs="Times New Roman"/>
          <w:sz w:val="28"/>
          <w:szCs w:val="28"/>
        </w:rPr>
        <w:t>,</w:t>
      </w:r>
      <w:r w:rsidRPr="00EC42C3">
        <w:rPr>
          <w:rStyle w:val="Refdenotaalpie"/>
          <w:rFonts w:ascii="Times New Roman" w:hAnsi="Times New Roman" w:cs="Times New Roman"/>
          <w:sz w:val="28"/>
          <w:szCs w:val="28"/>
        </w:rPr>
        <w:footnoteReference w:id="18"/>
      </w:r>
      <w:r w:rsidRPr="00EC42C3">
        <w:rPr>
          <w:rFonts w:ascii="Times New Roman" w:hAnsi="Times New Roman" w:cs="Times New Roman"/>
          <w:sz w:val="28"/>
          <w:szCs w:val="28"/>
        </w:rPr>
        <w:t xml:space="preserve"> reconoce </w:t>
      </w:r>
      <w:r w:rsidRPr="00EC42C3">
        <w:rPr>
          <w:rFonts w:ascii="Times New Roman" w:hAnsi="Times New Roman" w:cs="Times New Roman"/>
          <w:sz w:val="28"/>
          <w:szCs w:val="28"/>
        </w:rPr>
        <w:t xml:space="preserve">que </w:t>
      </w:r>
      <w:r w:rsidRPr="00EC42C3">
        <w:rPr>
          <w:rFonts w:ascii="Times New Roman" w:hAnsi="Times New Roman" w:cs="Times New Roman"/>
          <w:sz w:val="28"/>
          <w:szCs w:val="28"/>
        </w:rPr>
        <w:t>la familia</w:t>
      </w:r>
      <w:r w:rsidRPr="00EC42C3">
        <w:rPr>
          <w:rFonts w:ascii="Times New Roman" w:hAnsi="Times New Roman" w:cs="Times New Roman"/>
          <w:sz w:val="28"/>
          <w:szCs w:val="28"/>
        </w:rPr>
        <w:t>,</w:t>
      </w:r>
      <w:r w:rsidRPr="00EC42C3">
        <w:rPr>
          <w:rFonts w:ascii="Times New Roman" w:hAnsi="Times New Roman" w:cs="Times New Roman"/>
          <w:sz w:val="28"/>
          <w:szCs w:val="28"/>
        </w:rPr>
        <w:t xml:space="preserve"> </w:t>
      </w:r>
      <w:r w:rsidRPr="00EC42C3">
        <w:rPr>
          <w:rFonts w:ascii="Times New Roman" w:hAnsi="Times New Roman" w:cs="Times New Roman"/>
          <w:sz w:val="28"/>
          <w:szCs w:val="28"/>
        </w:rPr>
        <w:t>como</w:t>
      </w:r>
      <w:r w:rsidRPr="00EC42C3">
        <w:rPr>
          <w:rFonts w:ascii="Times New Roman" w:hAnsi="Times New Roman" w:cs="Times New Roman"/>
          <w:sz w:val="28"/>
          <w:szCs w:val="28"/>
        </w:rPr>
        <w:t xml:space="preserve"> núcleo fundamental de la sociedad</w:t>
      </w:r>
      <w:r w:rsidRPr="00EC42C3">
        <w:rPr>
          <w:rFonts w:ascii="Times New Roman" w:hAnsi="Times New Roman" w:cs="Times New Roman"/>
          <w:sz w:val="28"/>
          <w:szCs w:val="28"/>
        </w:rPr>
        <w:t xml:space="preserve">, </w:t>
      </w:r>
      <w:r w:rsidRPr="00EC42C3">
        <w:rPr>
          <w:rFonts w:ascii="Times New Roman" w:hAnsi="Times New Roman" w:cs="Times New Roman"/>
          <w:sz w:val="28"/>
          <w:szCs w:val="28"/>
        </w:rPr>
        <w:t xml:space="preserve">puede conformarse </w:t>
      </w:r>
      <w:r w:rsidRPr="00EC42C3">
        <w:rPr>
          <w:rFonts w:ascii="Times New Roman" w:hAnsi="Times New Roman" w:cs="Times New Roman"/>
          <w:sz w:val="28"/>
          <w:szCs w:val="28"/>
        </w:rPr>
        <w:t xml:space="preserve">tanto por vínculos naturales como jurídicos, </w:t>
      </w:r>
      <w:r w:rsidRPr="00EC42C3">
        <w:rPr>
          <w:rFonts w:ascii="Times New Roman" w:hAnsi="Times New Roman" w:cs="Times New Roman"/>
          <w:sz w:val="28"/>
          <w:szCs w:val="28"/>
        </w:rPr>
        <w:t>a partir de</w:t>
      </w:r>
      <w:r w:rsidRPr="00EC42C3">
        <w:rPr>
          <w:rFonts w:ascii="Times New Roman" w:hAnsi="Times New Roman" w:cs="Times New Roman"/>
          <w:sz w:val="28"/>
          <w:szCs w:val="28"/>
        </w:rPr>
        <w:t xml:space="preserve"> la decisión libre y responsable de quienes deciden integrarla. En virtud de su relevancia dentro del tejido social, tanto el Estado como la sociedad tienen el deber de garantizar su protección integral.</w:t>
      </w:r>
    </w:p>
    <w:p w:rsidR="00993F89" w:rsidRPr="00EC42C3" w:rsidRDefault="00EC42C3" w:rsidP="00B3275D">
      <w:pPr>
        <w:tabs>
          <w:tab w:val="left" w:pos="426"/>
        </w:tabs>
        <w:jc w:val="both"/>
        <w:rPr>
          <w:rFonts w:ascii="Times New Roman" w:hAnsi="Times New Roman" w:cs="Times New Roman"/>
          <w:b/>
          <w:bCs/>
          <w:i/>
          <w:iCs/>
          <w:sz w:val="28"/>
          <w:szCs w:val="28"/>
        </w:rPr>
      </w:pPr>
    </w:p>
    <w:p w:rsidR="00904966"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lang w:val="es-ES"/>
        </w:rPr>
        <w:t xml:space="preserve">Como se </w:t>
      </w:r>
      <w:r w:rsidRPr="00EC42C3">
        <w:rPr>
          <w:rFonts w:ascii="Times New Roman" w:hAnsi="Times New Roman" w:cs="Times New Roman"/>
          <w:sz w:val="28"/>
          <w:szCs w:val="28"/>
          <w:lang w:val="es-ES"/>
        </w:rPr>
        <w:t>explicar</w:t>
      </w:r>
      <w:r w:rsidRPr="00EC42C3">
        <w:rPr>
          <w:rFonts w:ascii="Times New Roman" w:hAnsi="Times New Roman" w:cs="Times New Roman"/>
          <w:sz w:val="28"/>
          <w:szCs w:val="28"/>
          <w:lang w:val="es-ES"/>
        </w:rPr>
        <w:t>á en detalle</w:t>
      </w:r>
      <w:r w:rsidRPr="00EC42C3">
        <w:rPr>
          <w:rFonts w:ascii="Times New Roman" w:hAnsi="Times New Roman" w:cs="Times New Roman"/>
          <w:sz w:val="28"/>
          <w:szCs w:val="28"/>
          <w:lang w:val="es-ES"/>
        </w:rPr>
        <w:t xml:space="preserve"> más adelante, </w:t>
      </w:r>
      <w:r w:rsidRPr="00EC42C3">
        <w:rPr>
          <w:rFonts w:ascii="Times New Roman" w:hAnsi="Times New Roman" w:cs="Times New Roman"/>
          <w:sz w:val="28"/>
          <w:szCs w:val="28"/>
          <w:lang w:val="es-ES"/>
        </w:rPr>
        <w:t>la juris</w:t>
      </w:r>
      <w:r w:rsidRPr="00EC42C3">
        <w:rPr>
          <w:rFonts w:ascii="Times New Roman" w:hAnsi="Times New Roman" w:cs="Times New Roman"/>
          <w:sz w:val="28"/>
          <w:szCs w:val="28"/>
          <w:lang w:val="es-ES"/>
        </w:rPr>
        <w:t xml:space="preserve">prudencia de esta Corporación ha reconocido que, a partir de la entrada en vigor de la Carta Política, la institución familiar </w:t>
      </w:r>
      <w:r w:rsidRPr="00EC42C3">
        <w:rPr>
          <w:rFonts w:ascii="Times New Roman" w:hAnsi="Times New Roman" w:cs="Times New Roman"/>
          <w:sz w:val="28"/>
          <w:szCs w:val="28"/>
          <w:lang w:val="es-ES"/>
        </w:rPr>
        <w:t>ha adquirido una proyección transversal en todas las esferas sociales y culturales. En tal sentido, la familia constituye un refe</w:t>
      </w:r>
      <w:r w:rsidRPr="00EC42C3">
        <w:rPr>
          <w:rFonts w:ascii="Times New Roman" w:hAnsi="Times New Roman" w:cs="Times New Roman"/>
          <w:sz w:val="28"/>
          <w:szCs w:val="28"/>
          <w:lang w:val="es-ES"/>
        </w:rPr>
        <w:t>rente central para todas las áreas del derecho y opera, además, como parámetro esencial en la formulación de políticas públicas.</w:t>
      </w:r>
    </w:p>
    <w:p w:rsidR="00904966" w:rsidRPr="00EC42C3" w:rsidRDefault="00EC42C3" w:rsidP="00B3275D">
      <w:pPr>
        <w:pStyle w:val="Prrafodelista"/>
        <w:rPr>
          <w:rFonts w:ascii="Times New Roman" w:hAnsi="Times New Roman" w:cs="Times New Roman"/>
          <w:sz w:val="28"/>
          <w:szCs w:val="28"/>
          <w:lang w:val="es-ES"/>
        </w:rPr>
      </w:pPr>
    </w:p>
    <w:p w:rsidR="00904966"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lang w:val="es-ES"/>
        </w:rPr>
        <w:t>Así, p</w:t>
      </w:r>
      <w:r w:rsidRPr="00EC42C3">
        <w:rPr>
          <w:rFonts w:ascii="Times New Roman" w:hAnsi="Times New Roman" w:cs="Times New Roman"/>
          <w:sz w:val="28"/>
          <w:szCs w:val="28"/>
          <w:lang w:val="es-ES"/>
        </w:rPr>
        <w:t xml:space="preserve">or ejemplo, el sistema de salud </w:t>
      </w:r>
      <w:r w:rsidRPr="00EC42C3">
        <w:rPr>
          <w:rFonts w:ascii="Times New Roman" w:hAnsi="Times New Roman" w:cs="Times New Roman"/>
          <w:sz w:val="28"/>
          <w:szCs w:val="28"/>
          <w:lang w:val="es-ES"/>
        </w:rPr>
        <w:t>ha sido diseñado sobre la base de una protección amplia hacia los integrantes del núcleo</w:t>
      </w:r>
      <w:r w:rsidRPr="00EC42C3">
        <w:rPr>
          <w:rFonts w:ascii="Times New Roman" w:hAnsi="Times New Roman" w:cs="Times New Roman"/>
          <w:sz w:val="28"/>
          <w:szCs w:val="28"/>
          <w:lang w:val="es-ES"/>
        </w:rPr>
        <w:t xml:space="preserve"> familiar</w:t>
      </w:r>
      <w:r w:rsidRPr="00EC42C3">
        <w:rPr>
          <w:rFonts w:ascii="Times New Roman" w:hAnsi="Times New Roman" w:cs="Times New Roman"/>
          <w:sz w:val="28"/>
          <w:szCs w:val="28"/>
          <w:lang w:val="es-ES"/>
        </w:rPr>
        <w:t xml:space="preserve">. Esta protección adquiere un especial significado cuando se trata de </w:t>
      </w:r>
      <w:r w:rsidRPr="00EC42C3">
        <w:rPr>
          <w:rFonts w:ascii="Times New Roman" w:hAnsi="Times New Roman" w:cs="Times New Roman"/>
          <w:sz w:val="28"/>
          <w:szCs w:val="28"/>
          <w:lang w:val="es-ES"/>
        </w:rPr>
        <w:t>sujetos de especial protección constitucional, como los niños</w:t>
      </w:r>
      <w:r w:rsidRPr="00EC42C3">
        <w:rPr>
          <w:rFonts w:ascii="Times New Roman" w:hAnsi="Times New Roman" w:cs="Times New Roman"/>
          <w:sz w:val="28"/>
          <w:szCs w:val="28"/>
          <w:lang w:val="es-ES"/>
        </w:rPr>
        <w:t>, los adultos mayores</w:t>
      </w:r>
      <w:r w:rsidRPr="00EC42C3">
        <w:rPr>
          <w:rFonts w:ascii="Times New Roman" w:hAnsi="Times New Roman" w:cs="Times New Roman"/>
          <w:sz w:val="28"/>
          <w:szCs w:val="28"/>
          <w:lang w:val="es-ES"/>
        </w:rPr>
        <w:t xml:space="preserve"> y las mujeres gestantes. Lo mismo ocurre en el ámbito de la seguridad social, </w:t>
      </w:r>
      <w:r w:rsidRPr="00EC42C3">
        <w:rPr>
          <w:rFonts w:ascii="Times New Roman" w:hAnsi="Times New Roman" w:cs="Times New Roman"/>
          <w:sz w:val="28"/>
          <w:szCs w:val="28"/>
          <w:lang w:val="es-ES"/>
        </w:rPr>
        <w:t xml:space="preserve">en el que las </w:t>
      </w:r>
      <w:r w:rsidRPr="00EC42C3">
        <w:rPr>
          <w:rFonts w:ascii="Times New Roman" w:hAnsi="Times New Roman" w:cs="Times New Roman"/>
          <w:sz w:val="28"/>
          <w:szCs w:val="28"/>
          <w:lang w:val="es-ES"/>
        </w:rPr>
        <w:t>pr</w:t>
      </w:r>
      <w:r w:rsidRPr="00EC42C3">
        <w:rPr>
          <w:rFonts w:ascii="Times New Roman" w:hAnsi="Times New Roman" w:cs="Times New Roman"/>
          <w:sz w:val="28"/>
          <w:szCs w:val="28"/>
          <w:lang w:val="es-ES"/>
        </w:rPr>
        <w:t>estaciones por vejez, invalidez o muerte no solo protegen a quien ostenta la calidad de cotizante o pensionado, sino también a su grupo familiar.</w:t>
      </w:r>
    </w:p>
    <w:p w:rsidR="00904966" w:rsidRPr="00EC42C3" w:rsidRDefault="00EC42C3" w:rsidP="00B3275D">
      <w:pPr>
        <w:pStyle w:val="Prrafodelista"/>
        <w:rPr>
          <w:rFonts w:ascii="Times New Roman" w:hAnsi="Times New Roman" w:cs="Times New Roman"/>
          <w:b/>
          <w:bCs/>
          <w:i/>
          <w:iCs/>
          <w:sz w:val="28"/>
          <w:szCs w:val="28"/>
        </w:rPr>
      </w:pPr>
    </w:p>
    <w:p w:rsidR="00904966"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rPr>
        <w:t xml:space="preserve">Esta ampliación </w:t>
      </w:r>
      <w:r w:rsidRPr="00EC42C3">
        <w:rPr>
          <w:rFonts w:ascii="Times New Roman" w:hAnsi="Times New Roman" w:cs="Times New Roman"/>
          <w:sz w:val="28"/>
          <w:szCs w:val="28"/>
          <w:lang w:val="es-ES"/>
        </w:rPr>
        <w:t xml:space="preserve">en la noción de familia ha implicado que su regulación no se limite exclusivamente al Código </w:t>
      </w:r>
      <w:r w:rsidRPr="00EC42C3">
        <w:rPr>
          <w:rFonts w:ascii="Times New Roman" w:hAnsi="Times New Roman" w:cs="Times New Roman"/>
          <w:sz w:val="28"/>
          <w:szCs w:val="28"/>
          <w:lang w:val="es-ES"/>
        </w:rPr>
        <w:t>Civil. Por el contrario, las disposiciones relativas a su alcance y efectos se encuentran diseminadas en distintos cuerpos normativos, como la Ley 100 de 1993 o el mismo Código Civil. De igual forma, el vínculo familiar resulta relevante en otras áreas, co</w:t>
      </w:r>
      <w:r w:rsidRPr="00EC42C3">
        <w:rPr>
          <w:rFonts w:ascii="Times New Roman" w:hAnsi="Times New Roman" w:cs="Times New Roman"/>
          <w:sz w:val="28"/>
          <w:szCs w:val="28"/>
          <w:lang w:val="es-ES"/>
        </w:rPr>
        <w:t>mo el derecho penal, particularmente en los delitos de inasistencia alimentaria (art. 233) y violencia intrafamiliar (art. 229), o en el ámbito de la vivienda, en donde la Ley 258 de 1996 reconoce la figura de la afectación a vivienda familiar.</w:t>
      </w:r>
    </w:p>
    <w:p w:rsidR="00CA203E" w:rsidRPr="00EC42C3" w:rsidRDefault="00EC42C3" w:rsidP="00B3275D">
      <w:pPr>
        <w:pStyle w:val="Prrafodelista"/>
        <w:tabs>
          <w:tab w:val="left" w:pos="426"/>
        </w:tabs>
        <w:ind w:left="0"/>
        <w:contextualSpacing w:val="0"/>
        <w:jc w:val="both"/>
        <w:rPr>
          <w:rFonts w:ascii="Times New Roman" w:hAnsi="Times New Roman" w:cs="Times New Roman"/>
          <w:sz w:val="28"/>
          <w:szCs w:val="28"/>
        </w:rPr>
      </w:pPr>
    </w:p>
    <w:p w:rsidR="00E4340E"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lang w:val="es-ES"/>
        </w:rPr>
        <w:t xml:space="preserve">De otra parte, </w:t>
      </w:r>
      <w:r w:rsidRPr="00EC42C3">
        <w:rPr>
          <w:rFonts w:ascii="Times New Roman" w:hAnsi="Times New Roman" w:cs="Times New Roman"/>
          <w:sz w:val="28"/>
          <w:szCs w:val="28"/>
        </w:rPr>
        <w:t>la jurisprudencia constitucional ha ampliado progresivamente el alcance del concepto de familia, reconociendo que esta puede estar conformada por personas unidas mediante un vínculo natural o jurídico, con el propósito de realizar una vida e</w:t>
      </w:r>
      <w:r w:rsidRPr="00EC42C3">
        <w:rPr>
          <w:rFonts w:ascii="Times New Roman" w:hAnsi="Times New Roman" w:cs="Times New Roman"/>
          <w:sz w:val="28"/>
          <w:szCs w:val="28"/>
        </w:rPr>
        <w:t>n común. Esta protección se extiende sin distinción por la orientación sexual de sus integrantes, de modo que incluye tanto a parejas del mismo sexo como a aquellas conformadas por personas de distinto sexo.</w:t>
      </w:r>
    </w:p>
    <w:p w:rsidR="00E4340E" w:rsidRPr="00EC42C3" w:rsidRDefault="00EC42C3" w:rsidP="00B3275D">
      <w:pPr>
        <w:pStyle w:val="Prrafodelista"/>
        <w:tabs>
          <w:tab w:val="left" w:pos="426"/>
        </w:tabs>
        <w:ind w:left="0"/>
        <w:contextualSpacing w:val="0"/>
        <w:jc w:val="both"/>
        <w:rPr>
          <w:rFonts w:ascii="Times New Roman" w:hAnsi="Times New Roman" w:cs="Times New Roman"/>
          <w:b/>
          <w:bCs/>
          <w:i/>
          <w:iCs/>
          <w:sz w:val="28"/>
          <w:szCs w:val="28"/>
        </w:rPr>
      </w:pPr>
    </w:p>
    <w:p w:rsidR="00443B9D" w:rsidRPr="00EC42C3" w:rsidRDefault="00EC42C3" w:rsidP="00B3275D">
      <w:pPr>
        <w:pStyle w:val="Prrafodelista"/>
        <w:tabs>
          <w:tab w:val="left" w:pos="426"/>
        </w:tabs>
        <w:ind w:left="0"/>
        <w:contextualSpacing w:val="0"/>
        <w:jc w:val="both"/>
        <w:rPr>
          <w:rFonts w:ascii="Times New Roman" w:hAnsi="Times New Roman" w:cs="Times New Roman"/>
          <w:b/>
          <w:bCs/>
          <w:i/>
          <w:iCs/>
          <w:sz w:val="28"/>
          <w:szCs w:val="28"/>
        </w:rPr>
      </w:pPr>
    </w:p>
    <w:p w:rsidR="00DB6484" w:rsidRPr="00EC42C3" w:rsidRDefault="00EC42C3" w:rsidP="00B3275D">
      <w:pPr>
        <w:jc w:val="both"/>
        <w:rPr>
          <w:rFonts w:ascii="Times New Roman" w:hAnsi="Times New Roman" w:cs="Times New Roman"/>
          <w:b/>
          <w:bCs/>
          <w:i/>
          <w:iCs/>
          <w:sz w:val="28"/>
          <w:szCs w:val="28"/>
        </w:rPr>
      </w:pPr>
      <w:r w:rsidRPr="00EC42C3">
        <w:rPr>
          <w:rFonts w:ascii="Times New Roman" w:hAnsi="Times New Roman" w:cs="Times New Roman"/>
          <w:b/>
          <w:bCs/>
          <w:sz w:val="28"/>
          <w:szCs w:val="28"/>
        </w:rPr>
        <w:t>L</w:t>
      </w:r>
      <w:r w:rsidRPr="00EC42C3">
        <w:rPr>
          <w:rFonts w:ascii="Times New Roman" w:hAnsi="Times New Roman" w:cs="Times New Roman"/>
          <w:b/>
          <w:bCs/>
          <w:sz w:val="28"/>
          <w:szCs w:val="28"/>
          <w:lang w:val="es-ES"/>
        </w:rPr>
        <w:t xml:space="preserve">a validez de las diferenciaciones normativas </w:t>
      </w:r>
      <w:r w:rsidRPr="00EC42C3">
        <w:rPr>
          <w:rFonts w:ascii="Times New Roman" w:hAnsi="Times New Roman" w:cs="Times New Roman"/>
          <w:b/>
          <w:bCs/>
          <w:sz w:val="28"/>
          <w:szCs w:val="28"/>
          <w:lang w:val="es-ES"/>
        </w:rPr>
        <w:t>entre el matrimonio y la unión marital de hecho. Reiteración de jurisprudencia</w:t>
      </w:r>
    </w:p>
    <w:p w:rsidR="00DB6484" w:rsidRPr="00EC42C3" w:rsidRDefault="00EC42C3" w:rsidP="00B3275D">
      <w:pPr>
        <w:rPr>
          <w:rFonts w:ascii="Times New Roman" w:hAnsi="Times New Roman" w:cs="Times New Roman"/>
          <w:b/>
          <w:bCs/>
          <w:i/>
          <w:iCs/>
          <w:sz w:val="28"/>
          <w:szCs w:val="28"/>
        </w:rPr>
      </w:pPr>
    </w:p>
    <w:p w:rsidR="001019C3"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shd w:val="clear" w:color="auto" w:fill="FFFFFF"/>
        </w:rPr>
        <w:t xml:space="preserve">El </w:t>
      </w:r>
      <w:r w:rsidRPr="00EC42C3">
        <w:rPr>
          <w:rFonts w:ascii="Times New Roman" w:hAnsi="Times New Roman" w:cs="Times New Roman"/>
          <w:sz w:val="28"/>
          <w:szCs w:val="28"/>
          <w:shd w:val="clear" w:color="auto" w:fill="FFFFFF"/>
        </w:rPr>
        <w:t xml:space="preserve">artículo 42 </w:t>
      </w:r>
      <w:r w:rsidRPr="00EC42C3">
        <w:rPr>
          <w:rFonts w:ascii="Times New Roman" w:hAnsi="Times New Roman" w:cs="Times New Roman"/>
          <w:sz w:val="28"/>
          <w:szCs w:val="28"/>
          <w:shd w:val="clear" w:color="auto" w:fill="FFFFFF"/>
        </w:rPr>
        <w:t xml:space="preserve">de la Constitución </w:t>
      </w:r>
      <w:r w:rsidRPr="00EC42C3">
        <w:rPr>
          <w:rFonts w:ascii="Times New Roman" w:hAnsi="Times New Roman" w:cs="Times New Roman"/>
          <w:sz w:val="28"/>
          <w:szCs w:val="28"/>
          <w:shd w:val="clear" w:color="auto" w:fill="FFFFFF"/>
        </w:rPr>
        <w:t>reconoce y protege las distintas formas de conformar una familia. En consecuencia, tanto el matrimonio como contrato y unión solemne, como las</w:t>
      </w:r>
      <w:r w:rsidRPr="00EC42C3">
        <w:rPr>
          <w:rFonts w:ascii="Times New Roman" w:hAnsi="Times New Roman" w:cs="Times New Roman"/>
          <w:sz w:val="28"/>
          <w:szCs w:val="28"/>
          <w:shd w:val="clear" w:color="auto" w:fill="FFFFFF"/>
        </w:rPr>
        <w:t xml:space="preserve"> uniones maritales de hecho, son arreglos familiares válidos que gozan de protección jurídica. Sin embargo, ello no se traduce en que ambas formas de configurar una familia sean idénticas. La voluntad de quienes deciden integrar una familia de una u otra f</w:t>
      </w:r>
      <w:r w:rsidRPr="00EC42C3">
        <w:rPr>
          <w:rFonts w:ascii="Times New Roman" w:hAnsi="Times New Roman" w:cs="Times New Roman"/>
          <w:sz w:val="28"/>
          <w:szCs w:val="28"/>
          <w:shd w:val="clear" w:color="auto" w:fill="FFFFFF"/>
        </w:rPr>
        <w:t>orma no obliga al Legislador a equiparar íntegramente ambas instituciones. Por ende, una y otra (matrimonio y unión marital) son protegidas y reguladas por la ley de acuerdo con sus particularidades propias</w:t>
      </w:r>
      <w:r w:rsidRPr="00EC42C3">
        <w:rPr>
          <w:rFonts w:ascii="Times New Roman" w:hAnsi="Times New Roman" w:cs="Times New Roman"/>
          <w:sz w:val="28"/>
          <w:szCs w:val="28"/>
          <w:shd w:val="clear" w:color="auto" w:fill="FFFFFF"/>
        </w:rPr>
        <w:t>.</w:t>
      </w:r>
      <w:r w:rsidRPr="00EC42C3">
        <w:rPr>
          <w:rStyle w:val="Refdenotaalpie"/>
          <w:rFonts w:ascii="Times New Roman" w:hAnsi="Times New Roman" w:cs="Times New Roman"/>
          <w:sz w:val="28"/>
          <w:szCs w:val="28"/>
          <w:shd w:val="clear" w:color="auto" w:fill="FFFFFF"/>
        </w:rPr>
        <w:footnoteReference w:id="19"/>
      </w:r>
    </w:p>
    <w:p w:rsidR="005054E6" w:rsidRPr="00EC42C3" w:rsidRDefault="00EC42C3" w:rsidP="00B3275D">
      <w:pPr>
        <w:pStyle w:val="Prrafodelista"/>
        <w:tabs>
          <w:tab w:val="left" w:pos="426"/>
        </w:tabs>
        <w:ind w:left="0"/>
        <w:contextualSpacing w:val="0"/>
        <w:jc w:val="both"/>
        <w:rPr>
          <w:rFonts w:ascii="Times New Roman" w:hAnsi="Times New Roman" w:cs="Times New Roman"/>
          <w:b/>
          <w:bCs/>
          <w:i/>
          <w:iCs/>
          <w:sz w:val="28"/>
          <w:szCs w:val="28"/>
        </w:rPr>
      </w:pPr>
    </w:p>
    <w:p w:rsidR="005054E6" w:rsidRPr="00EC42C3" w:rsidRDefault="00EC42C3" w:rsidP="003525D5">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lang w:val="es-ES"/>
        </w:rPr>
        <w:t xml:space="preserve">En relación con esta materia, en la </w:t>
      </w:r>
      <w:r w:rsidRPr="00EC42C3">
        <w:rPr>
          <w:rFonts w:ascii="Times New Roman" w:hAnsi="Times New Roman" w:cs="Times New Roman"/>
          <w:sz w:val="28"/>
          <w:szCs w:val="28"/>
          <w:lang w:val="es-ES"/>
        </w:rPr>
        <w:t xml:space="preserve">Sentencia </w:t>
      </w:r>
      <w:r w:rsidRPr="00EC42C3">
        <w:rPr>
          <w:rFonts w:ascii="Times New Roman" w:hAnsi="Times New Roman" w:cs="Times New Roman"/>
          <w:sz w:val="28"/>
          <w:szCs w:val="28"/>
          <w:lang w:val="es-ES"/>
        </w:rPr>
        <w:t>C-456 de 2020</w:t>
      </w:r>
      <w:r w:rsidRPr="00EC42C3">
        <w:rPr>
          <w:rFonts w:ascii="Times New Roman" w:hAnsi="Times New Roman" w:cs="Times New Roman"/>
          <w:sz w:val="28"/>
          <w:szCs w:val="28"/>
          <w:lang w:val="es-ES"/>
        </w:rPr>
        <w:t xml:space="preserve"> se hacen importantes precisiones, que ahora se reiteran. En efecto, en la sentencia en comento se declaró la exequibilidad condicionada de las normas enunciadas en las </w:t>
      </w:r>
      <w:r w:rsidRPr="00EC42C3">
        <w:rPr>
          <w:rFonts w:ascii="Times New Roman" w:hAnsi="Times New Roman" w:cs="Times New Roman"/>
          <w:sz w:val="28"/>
          <w:szCs w:val="28"/>
          <w:lang w:val="es-ES"/>
        </w:rPr>
        <w:t>expresiones </w:t>
      </w:r>
      <w:r w:rsidRPr="00EC42C3">
        <w:rPr>
          <w:rFonts w:ascii="Times New Roman" w:hAnsi="Times New Roman" w:cs="Times New Roman"/>
          <w:i/>
          <w:iCs/>
          <w:sz w:val="28"/>
          <w:szCs w:val="28"/>
          <w:bdr w:val="none" w:sz="0" w:space="0" w:color="auto" w:frame="1"/>
          <w:lang w:val="es-ES_tradnl"/>
        </w:rPr>
        <w:t>“cónyuge”, “casada”, “cónyuges” y “marido y mujer”</w:t>
      </w:r>
      <w:r w:rsidRPr="00EC42C3">
        <w:rPr>
          <w:rFonts w:ascii="Times New Roman" w:hAnsi="Times New Roman" w:cs="Times New Roman"/>
          <w:i/>
          <w:iCs/>
          <w:sz w:val="28"/>
          <w:szCs w:val="28"/>
          <w:bdr w:val="none" w:sz="0" w:space="0" w:color="auto" w:frame="1"/>
          <w:lang w:val="es-ES_tradnl"/>
        </w:rPr>
        <w:t>,</w:t>
      </w:r>
      <w:r w:rsidRPr="00EC42C3">
        <w:rPr>
          <w:rFonts w:ascii="Times New Roman" w:hAnsi="Times New Roman" w:cs="Times New Roman"/>
          <w:i/>
          <w:iCs/>
          <w:sz w:val="28"/>
          <w:szCs w:val="28"/>
          <w:bdr w:val="none" w:sz="0" w:space="0" w:color="auto" w:frame="1"/>
          <w:lang w:val="es-ES_tradnl"/>
        </w:rPr>
        <w:t> </w:t>
      </w:r>
      <w:r w:rsidRPr="00EC42C3">
        <w:rPr>
          <w:rFonts w:ascii="Times New Roman" w:hAnsi="Times New Roman" w:cs="Times New Roman"/>
          <w:sz w:val="28"/>
          <w:szCs w:val="28"/>
          <w:bdr w:val="none" w:sz="0" w:space="0" w:color="auto" w:frame="1"/>
          <w:lang w:val="es-ES_tradnl"/>
        </w:rPr>
        <w:t>contenidas</w:t>
      </w:r>
      <w:r w:rsidRPr="00EC42C3">
        <w:rPr>
          <w:rFonts w:ascii="Times New Roman" w:hAnsi="Times New Roman" w:cs="Times New Roman"/>
          <w:sz w:val="28"/>
          <w:szCs w:val="28"/>
          <w:bdr w:val="none" w:sz="0" w:space="0" w:color="auto" w:frame="1"/>
          <w:lang w:val="es-ES_tradnl"/>
        </w:rPr>
        <w:t xml:space="preserve"> en los artículos </w:t>
      </w:r>
      <w:r w:rsidRPr="00EC42C3">
        <w:rPr>
          <w:rFonts w:ascii="Times New Roman" w:hAnsi="Times New Roman" w:cs="Times New Roman"/>
          <w:sz w:val="28"/>
          <w:szCs w:val="28"/>
        </w:rPr>
        <w:t>19 numeral 2, 61, 745, 1025 numeral 2, 1026 inciso segundo, 1056, 1068 numeral 13, 1119, 1125, 1161, 1165, 1195, 1196, 1266 numeral 1 y 1488 del Código Civil,</w:t>
      </w:r>
      <w:r w:rsidRPr="00EC42C3">
        <w:rPr>
          <w:rFonts w:ascii="Times New Roman" w:hAnsi="Times New Roman" w:cs="Times New Roman"/>
          <w:sz w:val="28"/>
          <w:szCs w:val="28"/>
          <w:shd w:val="clear" w:color="auto" w:fill="FFFFFF"/>
        </w:rPr>
        <w:t xml:space="preserve"> por los cargos examinados en </w:t>
      </w:r>
      <w:r w:rsidRPr="00EC42C3">
        <w:rPr>
          <w:rFonts w:ascii="Times New Roman" w:hAnsi="Times New Roman" w:cs="Times New Roman"/>
          <w:sz w:val="28"/>
          <w:szCs w:val="28"/>
          <w:shd w:val="clear" w:color="auto" w:fill="FFFFFF"/>
        </w:rPr>
        <w:t>dicha</w:t>
      </w:r>
      <w:r w:rsidRPr="00EC42C3">
        <w:rPr>
          <w:rFonts w:ascii="Times New Roman" w:hAnsi="Times New Roman" w:cs="Times New Roman"/>
          <w:sz w:val="28"/>
          <w:szCs w:val="28"/>
          <w:shd w:val="clear" w:color="auto" w:fill="FFFFFF"/>
        </w:rPr>
        <w:t xml:space="preserve"> </w:t>
      </w:r>
      <w:r w:rsidRPr="00EC42C3">
        <w:rPr>
          <w:rFonts w:ascii="Times New Roman" w:hAnsi="Times New Roman" w:cs="Times New Roman"/>
          <w:sz w:val="28"/>
          <w:szCs w:val="28"/>
          <w:shd w:val="clear" w:color="auto" w:fill="FFFFFF"/>
        </w:rPr>
        <w:t>providen</w:t>
      </w:r>
      <w:r w:rsidRPr="00EC42C3">
        <w:rPr>
          <w:rFonts w:ascii="Times New Roman" w:hAnsi="Times New Roman" w:cs="Times New Roman"/>
          <w:sz w:val="28"/>
          <w:szCs w:val="28"/>
          <w:shd w:val="clear" w:color="auto" w:fill="FFFFFF"/>
        </w:rPr>
        <w:t xml:space="preserve">cia, bajo el entendido de que estas </w:t>
      </w:r>
      <w:r w:rsidRPr="00EC42C3">
        <w:rPr>
          <w:rFonts w:ascii="Times New Roman" w:hAnsi="Times New Roman" w:cs="Times New Roman"/>
          <w:sz w:val="28"/>
          <w:szCs w:val="28"/>
          <w:shd w:val="clear" w:color="auto" w:fill="FFFFFF"/>
        </w:rPr>
        <w:t>expresiones se refieren, en igualdad de derechos y deberes, a los cónyuges y a los compañeros permanentes de las uniones maritales de hecho, tanto de parejas de distinto sexo como de parejas del mismo sexo.</w:t>
      </w:r>
    </w:p>
    <w:p w:rsidR="00CE426C" w:rsidRPr="00EC42C3" w:rsidRDefault="00EC42C3" w:rsidP="00B3275D">
      <w:pPr>
        <w:pStyle w:val="Prrafodelista"/>
        <w:rPr>
          <w:rFonts w:ascii="Times New Roman" w:hAnsi="Times New Roman" w:cs="Times New Roman"/>
          <w:b/>
          <w:bCs/>
          <w:i/>
          <w:iCs/>
          <w:sz w:val="28"/>
          <w:szCs w:val="28"/>
        </w:rPr>
      </w:pPr>
    </w:p>
    <w:p w:rsidR="001019C3"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rPr>
        <w:t>En el análisis que se hace en la referida senten</w:t>
      </w:r>
      <w:r w:rsidRPr="00EC42C3">
        <w:rPr>
          <w:rFonts w:ascii="Times New Roman" w:hAnsi="Times New Roman" w:cs="Times New Roman"/>
          <w:sz w:val="28"/>
          <w:szCs w:val="28"/>
        </w:rPr>
        <w:t xml:space="preserve">cia, desde luego, se reconoce que </w:t>
      </w:r>
      <w:r w:rsidRPr="00EC42C3">
        <w:rPr>
          <w:rFonts w:ascii="Times New Roman" w:hAnsi="Times New Roman" w:cs="Times New Roman"/>
          <w:sz w:val="28"/>
          <w:szCs w:val="28"/>
        </w:rPr>
        <w:t>existe una diferencia entre la regulación del matrimonio y la de la unión marital de hecho. Por una parte, en lo que respecta al matrimonio, el Código Civil adoptó y reguló una institución familiar que responde a la noción</w:t>
      </w:r>
      <w:r w:rsidRPr="00EC42C3">
        <w:rPr>
          <w:rFonts w:ascii="Times New Roman" w:hAnsi="Times New Roman" w:cs="Times New Roman"/>
          <w:sz w:val="28"/>
          <w:szCs w:val="28"/>
        </w:rPr>
        <w:t xml:space="preserve"> vigente para el momento de su entrada en vigencia (año 1873). De </w:t>
      </w:r>
      <w:r w:rsidRPr="00EC42C3">
        <w:rPr>
          <w:rFonts w:ascii="Times New Roman" w:hAnsi="Times New Roman" w:cs="Times New Roman"/>
          <w:sz w:val="28"/>
          <w:szCs w:val="28"/>
        </w:rPr>
        <w:t>conformidad</w:t>
      </w:r>
      <w:r w:rsidRPr="00EC42C3">
        <w:rPr>
          <w:rFonts w:ascii="Times New Roman" w:hAnsi="Times New Roman" w:cs="Times New Roman"/>
          <w:sz w:val="28"/>
          <w:szCs w:val="28"/>
        </w:rPr>
        <w:t xml:space="preserve"> con el artículo 113 de es</w:t>
      </w:r>
      <w:r w:rsidRPr="00EC42C3">
        <w:rPr>
          <w:rFonts w:ascii="Times New Roman" w:hAnsi="Times New Roman" w:cs="Times New Roman"/>
          <w:sz w:val="28"/>
          <w:szCs w:val="28"/>
        </w:rPr>
        <w:t>a codificación</w:t>
      </w:r>
      <w:r w:rsidRPr="00EC42C3">
        <w:rPr>
          <w:rFonts w:ascii="Times New Roman" w:hAnsi="Times New Roman" w:cs="Times New Roman"/>
          <w:sz w:val="28"/>
          <w:szCs w:val="28"/>
        </w:rPr>
        <w:t>, el matrimonio es un contrato solemne por el cual</w:t>
      </w:r>
      <w:r w:rsidRPr="00EC42C3">
        <w:rPr>
          <w:rStyle w:val="apple-converted-space"/>
          <w:rFonts w:ascii="Times New Roman" w:eastAsiaTheme="majorEastAsia" w:hAnsi="Times New Roman" w:cs="Times New Roman"/>
          <w:sz w:val="28"/>
          <w:szCs w:val="28"/>
          <w:lang w:val="es-ES"/>
        </w:rPr>
        <w:t> </w:t>
      </w:r>
      <w:r w:rsidRPr="00EC42C3">
        <w:rPr>
          <w:rFonts w:ascii="Times New Roman" w:hAnsi="Times New Roman" w:cs="Times New Roman"/>
          <w:i/>
          <w:iCs/>
          <w:sz w:val="28"/>
          <w:szCs w:val="28"/>
        </w:rPr>
        <w:t xml:space="preserve">“un hombre y una mujer se unen con el fin de vivir juntos, procrear y auxiliarse </w:t>
      </w:r>
      <w:r w:rsidRPr="00EC42C3">
        <w:rPr>
          <w:rFonts w:ascii="Times New Roman" w:hAnsi="Times New Roman" w:cs="Times New Roman"/>
          <w:i/>
          <w:iCs/>
          <w:sz w:val="28"/>
          <w:szCs w:val="28"/>
        </w:rPr>
        <w:t>mutuamente</w:t>
      </w:r>
      <w:r w:rsidRPr="00EC42C3">
        <w:rPr>
          <w:rFonts w:ascii="Times New Roman" w:hAnsi="Times New Roman" w:cs="Times New Roman"/>
          <w:i/>
          <w:iCs/>
          <w:sz w:val="28"/>
          <w:szCs w:val="28"/>
        </w:rPr>
        <w:t>.</w:t>
      </w:r>
      <w:r w:rsidRPr="00EC42C3">
        <w:rPr>
          <w:rFonts w:ascii="Times New Roman" w:hAnsi="Times New Roman" w:cs="Times New Roman"/>
          <w:i/>
          <w:iCs/>
          <w:sz w:val="28"/>
          <w:szCs w:val="28"/>
        </w:rPr>
        <w:t>”</w:t>
      </w:r>
      <w:r w:rsidRPr="00EC42C3">
        <w:rPr>
          <w:rFonts w:ascii="Times New Roman" w:hAnsi="Times New Roman" w:cs="Times New Roman"/>
          <w:sz w:val="28"/>
          <w:szCs w:val="28"/>
        </w:rPr>
        <w:t xml:space="preserve"> Esa regulación exhaustiva se materializa en el mismo Código Civil el cual regula:</w:t>
      </w:r>
      <w:r w:rsidRPr="00EC42C3">
        <w:rPr>
          <w:rStyle w:val="apple-converted-space"/>
          <w:rFonts w:ascii="Times New Roman" w:eastAsiaTheme="majorEastAsia" w:hAnsi="Times New Roman" w:cs="Times New Roman"/>
          <w:sz w:val="28"/>
          <w:szCs w:val="28"/>
          <w:lang w:val="es-ES"/>
        </w:rPr>
        <w:t> </w:t>
      </w:r>
      <w:r w:rsidRPr="00EC42C3">
        <w:rPr>
          <w:rFonts w:ascii="Times New Roman" w:hAnsi="Times New Roman" w:cs="Times New Roman"/>
          <w:i/>
          <w:iCs/>
          <w:sz w:val="28"/>
          <w:szCs w:val="28"/>
        </w:rPr>
        <w:t>(i)</w:t>
      </w:r>
      <w:r w:rsidRPr="00EC42C3">
        <w:rPr>
          <w:rStyle w:val="apple-converted-space"/>
          <w:rFonts w:ascii="Times New Roman" w:eastAsiaTheme="majorEastAsia" w:hAnsi="Times New Roman" w:cs="Times New Roman"/>
          <w:sz w:val="28"/>
          <w:szCs w:val="28"/>
          <w:lang w:val="es-ES"/>
        </w:rPr>
        <w:t> </w:t>
      </w:r>
      <w:r w:rsidRPr="00EC42C3">
        <w:rPr>
          <w:rFonts w:ascii="Times New Roman" w:hAnsi="Times New Roman" w:cs="Times New Roman"/>
          <w:sz w:val="28"/>
          <w:szCs w:val="28"/>
        </w:rPr>
        <w:t>los requisitos y criterios de perfeccionamiento (artículos 113-139),</w:t>
      </w:r>
      <w:r w:rsidRPr="00EC42C3">
        <w:rPr>
          <w:rStyle w:val="apple-converted-space"/>
          <w:rFonts w:ascii="Times New Roman" w:eastAsiaTheme="majorEastAsia" w:hAnsi="Times New Roman" w:cs="Times New Roman"/>
          <w:sz w:val="28"/>
          <w:szCs w:val="28"/>
          <w:lang w:val="es-ES"/>
        </w:rPr>
        <w:t> </w:t>
      </w:r>
      <w:r w:rsidRPr="00EC42C3">
        <w:rPr>
          <w:rFonts w:ascii="Times New Roman" w:hAnsi="Times New Roman" w:cs="Times New Roman"/>
          <w:i/>
          <w:iCs/>
          <w:sz w:val="28"/>
          <w:szCs w:val="28"/>
        </w:rPr>
        <w:t>(ii)</w:t>
      </w:r>
      <w:r w:rsidRPr="00EC42C3">
        <w:rPr>
          <w:rStyle w:val="apple-converted-space"/>
          <w:rFonts w:ascii="Times New Roman" w:eastAsiaTheme="majorEastAsia" w:hAnsi="Times New Roman" w:cs="Times New Roman"/>
          <w:sz w:val="28"/>
          <w:szCs w:val="28"/>
          <w:lang w:val="es-ES"/>
        </w:rPr>
        <w:t> </w:t>
      </w:r>
      <w:r w:rsidRPr="00EC42C3">
        <w:rPr>
          <w:rFonts w:ascii="Times New Roman" w:hAnsi="Times New Roman" w:cs="Times New Roman"/>
          <w:sz w:val="28"/>
          <w:szCs w:val="28"/>
        </w:rPr>
        <w:t>las causales de nulidad y sus efectos (artículos 140-151);</w:t>
      </w:r>
      <w:r w:rsidRPr="00EC42C3">
        <w:rPr>
          <w:rStyle w:val="apple-converted-space"/>
          <w:rFonts w:ascii="Times New Roman" w:eastAsiaTheme="majorEastAsia" w:hAnsi="Times New Roman" w:cs="Times New Roman"/>
          <w:sz w:val="28"/>
          <w:szCs w:val="28"/>
          <w:lang w:val="es-ES"/>
        </w:rPr>
        <w:t> </w:t>
      </w:r>
      <w:r w:rsidRPr="00EC42C3">
        <w:rPr>
          <w:rFonts w:ascii="Times New Roman" w:hAnsi="Times New Roman" w:cs="Times New Roman"/>
          <w:i/>
          <w:iCs/>
          <w:sz w:val="28"/>
          <w:szCs w:val="28"/>
        </w:rPr>
        <w:t>(iii)</w:t>
      </w:r>
      <w:r w:rsidRPr="00EC42C3">
        <w:rPr>
          <w:rStyle w:val="apple-converted-space"/>
          <w:rFonts w:ascii="Times New Roman" w:eastAsiaTheme="majorEastAsia" w:hAnsi="Times New Roman" w:cs="Times New Roman"/>
          <w:sz w:val="28"/>
          <w:szCs w:val="28"/>
          <w:lang w:val="es-ES"/>
        </w:rPr>
        <w:t> </w:t>
      </w:r>
      <w:r w:rsidRPr="00EC42C3">
        <w:rPr>
          <w:rFonts w:ascii="Times New Roman" w:hAnsi="Times New Roman" w:cs="Times New Roman"/>
          <w:sz w:val="28"/>
          <w:szCs w:val="28"/>
        </w:rPr>
        <w:t xml:space="preserve">su disolución, el </w:t>
      </w:r>
      <w:r w:rsidRPr="00EC42C3">
        <w:rPr>
          <w:rFonts w:ascii="Times New Roman" w:hAnsi="Times New Roman" w:cs="Times New Roman"/>
          <w:sz w:val="28"/>
          <w:szCs w:val="28"/>
        </w:rPr>
        <w:t>divorcio y la separación de cuerpos (artículos 153-168);</w:t>
      </w:r>
      <w:r w:rsidRPr="00EC42C3">
        <w:rPr>
          <w:rStyle w:val="apple-converted-space"/>
          <w:rFonts w:ascii="Times New Roman" w:eastAsiaTheme="majorEastAsia" w:hAnsi="Times New Roman" w:cs="Times New Roman"/>
          <w:sz w:val="28"/>
          <w:szCs w:val="28"/>
          <w:lang w:val="es-ES"/>
        </w:rPr>
        <w:t> </w:t>
      </w:r>
      <w:r w:rsidRPr="00EC42C3">
        <w:rPr>
          <w:rFonts w:ascii="Times New Roman" w:hAnsi="Times New Roman" w:cs="Times New Roman"/>
          <w:i/>
          <w:iCs/>
          <w:sz w:val="28"/>
          <w:szCs w:val="28"/>
        </w:rPr>
        <w:t>(iv)</w:t>
      </w:r>
      <w:r w:rsidRPr="00EC42C3">
        <w:rPr>
          <w:rStyle w:val="apple-converted-space"/>
          <w:rFonts w:ascii="Times New Roman" w:eastAsiaTheme="majorEastAsia" w:hAnsi="Times New Roman" w:cs="Times New Roman"/>
          <w:sz w:val="28"/>
          <w:szCs w:val="28"/>
          <w:lang w:val="es-ES"/>
        </w:rPr>
        <w:t> </w:t>
      </w:r>
      <w:r w:rsidRPr="00EC42C3">
        <w:rPr>
          <w:rFonts w:ascii="Times New Roman" w:hAnsi="Times New Roman" w:cs="Times New Roman"/>
          <w:sz w:val="28"/>
          <w:szCs w:val="28"/>
        </w:rPr>
        <w:t>las obligaciones y derechos entre cónyuges (artículos 176-212), y</w:t>
      </w:r>
      <w:r w:rsidRPr="00EC42C3">
        <w:rPr>
          <w:rStyle w:val="apple-converted-space"/>
          <w:rFonts w:ascii="Times New Roman" w:eastAsiaTheme="majorEastAsia" w:hAnsi="Times New Roman" w:cs="Times New Roman"/>
          <w:sz w:val="28"/>
          <w:szCs w:val="28"/>
          <w:lang w:val="es-ES"/>
        </w:rPr>
        <w:t> </w:t>
      </w:r>
      <w:r w:rsidRPr="00EC42C3">
        <w:rPr>
          <w:rFonts w:ascii="Times New Roman" w:hAnsi="Times New Roman" w:cs="Times New Roman"/>
          <w:i/>
          <w:iCs/>
          <w:sz w:val="28"/>
          <w:szCs w:val="28"/>
        </w:rPr>
        <w:t>(v)</w:t>
      </w:r>
      <w:r w:rsidRPr="00EC42C3">
        <w:rPr>
          <w:rStyle w:val="apple-converted-space"/>
          <w:rFonts w:ascii="Times New Roman" w:eastAsiaTheme="majorEastAsia" w:hAnsi="Times New Roman" w:cs="Times New Roman"/>
          <w:sz w:val="28"/>
          <w:szCs w:val="28"/>
          <w:lang w:val="es-ES"/>
        </w:rPr>
        <w:t> </w:t>
      </w:r>
      <w:r w:rsidRPr="00EC42C3">
        <w:rPr>
          <w:rFonts w:ascii="Times New Roman" w:hAnsi="Times New Roman" w:cs="Times New Roman"/>
          <w:sz w:val="28"/>
          <w:szCs w:val="28"/>
        </w:rPr>
        <w:t>el régimen de alimentos (artículos 411 a 427), entre otros.</w:t>
      </w:r>
    </w:p>
    <w:p w:rsidR="00B92B0E" w:rsidRPr="00EC42C3" w:rsidRDefault="00EC42C3" w:rsidP="00B3275D">
      <w:pPr>
        <w:pStyle w:val="Prrafodelista"/>
        <w:rPr>
          <w:rFonts w:ascii="Times New Roman" w:hAnsi="Times New Roman" w:cs="Times New Roman"/>
          <w:b/>
          <w:bCs/>
          <w:i/>
          <w:iCs/>
          <w:sz w:val="28"/>
          <w:szCs w:val="28"/>
        </w:rPr>
      </w:pPr>
    </w:p>
    <w:p w:rsidR="007865FD" w:rsidRPr="00EC42C3" w:rsidRDefault="00EC42C3" w:rsidP="00DC1D45">
      <w:pPr>
        <w:pStyle w:val="Prrafodelista"/>
        <w:numPr>
          <w:ilvl w:val="0"/>
          <w:numId w:val="1"/>
        </w:numPr>
        <w:tabs>
          <w:tab w:val="left" w:pos="426"/>
        </w:tabs>
        <w:ind w:left="0" w:firstLine="0"/>
        <w:contextualSpacing w:val="0"/>
        <w:jc w:val="both"/>
        <w:rPr>
          <w:rFonts w:ascii="Times New Roman" w:hAnsi="Times New Roman" w:cs="Times New Roman"/>
          <w:sz w:val="28"/>
          <w:szCs w:val="28"/>
          <w:lang w:val="es-ES"/>
        </w:rPr>
      </w:pPr>
      <w:r w:rsidRPr="00EC42C3">
        <w:rPr>
          <w:rFonts w:ascii="Times New Roman" w:hAnsi="Times New Roman" w:cs="Times New Roman"/>
          <w:sz w:val="28"/>
          <w:szCs w:val="28"/>
          <w:lang w:val="es-ES"/>
        </w:rPr>
        <w:t>En contraste</w:t>
      </w:r>
      <w:r w:rsidRPr="00EC42C3">
        <w:rPr>
          <w:rFonts w:ascii="Times New Roman" w:hAnsi="Times New Roman" w:cs="Times New Roman"/>
          <w:sz w:val="28"/>
          <w:szCs w:val="28"/>
          <w:lang w:val="es-ES"/>
        </w:rPr>
        <w:t xml:space="preserve">, </w:t>
      </w:r>
      <w:r w:rsidRPr="00EC42C3">
        <w:rPr>
          <w:rFonts w:ascii="Times New Roman" w:hAnsi="Times New Roman" w:cs="Times New Roman"/>
          <w:sz w:val="28"/>
          <w:szCs w:val="28"/>
          <w:lang w:val="es-ES"/>
        </w:rPr>
        <w:t>la unión marital de hecho no cuenta con una regul</w:t>
      </w:r>
      <w:r w:rsidRPr="00EC42C3">
        <w:rPr>
          <w:rFonts w:ascii="Times New Roman" w:hAnsi="Times New Roman" w:cs="Times New Roman"/>
          <w:sz w:val="28"/>
          <w:szCs w:val="28"/>
          <w:lang w:val="es-ES"/>
        </w:rPr>
        <w:t xml:space="preserve">ación tan amplia ni sistemática como la del matrimonio. Disposiciones normativas como la Ley </w:t>
      </w:r>
      <w:r w:rsidRPr="00EC42C3">
        <w:rPr>
          <w:rFonts w:ascii="Times New Roman" w:hAnsi="Times New Roman" w:cs="Times New Roman"/>
          <w:sz w:val="28"/>
          <w:szCs w:val="28"/>
          <w:lang w:val="es-ES"/>
        </w:rPr>
        <w:t xml:space="preserve">54 de 1990 y la </w:t>
      </w:r>
      <w:r w:rsidRPr="00EC42C3">
        <w:rPr>
          <w:rFonts w:ascii="Times New Roman" w:hAnsi="Times New Roman" w:cs="Times New Roman"/>
          <w:sz w:val="28"/>
          <w:szCs w:val="28"/>
          <w:lang w:val="es-ES"/>
        </w:rPr>
        <w:t xml:space="preserve">Ley </w:t>
      </w:r>
      <w:r w:rsidRPr="00EC42C3">
        <w:rPr>
          <w:rFonts w:ascii="Times New Roman" w:hAnsi="Times New Roman" w:cs="Times New Roman"/>
          <w:sz w:val="28"/>
          <w:szCs w:val="28"/>
          <w:lang w:val="es-ES"/>
        </w:rPr>
        <w:t>1564 de 2012</w:t>
      </w:r>
      <w:r w:rsidRPr="00EC42C3">
        <w:rPr>
          <w:rFonts w:ascii="Times New Roman" w:hAnsi="Times New Roman" w:cs="Times New Roman"/>
          <w:sz w:val="28"/>
          <w:szCs w:val="28"/>
          <w:lang w:val="es-ES"/>
        </w:rPr>
        <w:t xml:space="preserve"> abordan únicamente aspectos puntuales, tales como el régimen patrimonial aplicable a los compañeros permanentes o los mecanismos p</w:t>
      </w:r>
      <w:r w:rsidRPr="00EC42C3">
        <w:rPr>
          <w:rFonts w:ascii="Times New Roman" w:hAnsi="Times New Roman" w:cs="Times New Roman"/>
          <w:sz w:val="28"/>
          <w:szCs w:val="28"/>
          <w:lang w:val="es-ES"/>
        </w:rPr>
        <w:t>ara</w:t>
      </w:r>
      <w:r w:rsidRPr="00EC42C3">
        <w:rPr>
          <w:rFonts w:ascii="Times New Roman" w:hAnsi="Times New Roman" w:cs="Times New Roman"/>
          <w:sz w:val="28"/>
          <w:szCs w:val="28"/>
          <w:lang w:val="es-ES"/>
        </w:rPr>
        <w:t xml:space="preserve"> </w:t>
      </w:r>
      <w:r w:rsidRPr="00EC42C3">
        <w:rPr>
          <w:rFonts w:ascii="Times New Roman" w:hAnsi="Times New Roman" w:cs="Times New Roman"/>
          <w:sz w:val="28"/>
          <w:szCs w:val="28"/>
          <w:lang w:val="es-ES"/>
        </w:rPr>
        <w:t>declarar la existencia de la unión marital de hecho</w:t>
      </w:r>
      <w:r w:rsidRPr="00EC42C3">
        <w:rPr>
          <w:rFonts w:ascii="Times New Roman" w:hAnsi="Times New Roman" w:cs="Times New Roman"/>
          <w:sz w:val="28"/>
          <w:szCs w:val="28"/>
          <w:lang w:val="es-ES"/>
        </w:rPr>
        <w:t>.</w:t>
      </w:r>
      <w:r w:rsidRPr="00EC42C3">
        <w:rPr>
          <w:rFonts w:ascii="Times New Roman" w:hAnsi="Times New Roman" w:cs="Times New Roman"/>
          <w:sz w:val="28"/>
          <w:szCs w:val="28"/>
          <w:lang w:val="es-ES"/>
        </w:rPr>
        <w:t xml:space="preserve"> </w:t>
      </w:r>
      <w:r w:rsidRPr="00EC42C3">
        <w:rPr>
          <w:rFonts w:ascii="Times New Roman" w:hAnsi="Times New Roman" w:cs="Times New Roman"/>
          <w:sz w:val="28"/>
          <w:szCs w:val="28"/>
          <w:lang w:val="es-ES"/>
        </w:rPr>
        <w:t>S</w:t>
      </w:r>
      <w:r w:rsidRPr="00EC42C3">
        <w:rPr>
          <w:rFonts w:ascii="Times New Roman" w:hAnsi="Times New Roman" w:cs="Times New Roman"/>
          <w:sz w:val="28"/>
          <w:szCs w:val="28"/>
          <w:lang w:val="es-ES"/>
        </w:rPr>
        <w:t xml:space="preserve">in embargo, </w:t>
      </w:r>
      <w:r w:rsidRPr="00EC42C3">
        <w:rPr>
          <w:rFonts w:ascii="Times New Roman" w:hAnsi="Times New Roman" w:cs="Times New Roman"/>
          <w:sz w:val="28"/>
          <w:szCs w:val="28"/>
          <w:lang w:val="es-ES"/>
        </w:rPr>
        <w:t>el ordenamiento jurídico carece de una regulación integral que desarrolle de manera equivalente todos los aspectos que el Código Civil contempla para el matrimonio.</w:t>
      </w:r>
    </w:p>
    <w:p w:rsidR="00B92B0E" w:rsidRPr="00EC42C3" w:rsidRDefault="00EC42C3" w:rsidP="00B3275D">
      <w:pPr>
        <w:pStyle w:val="Prrafodelista"/>
        <w:rPr>
          <w:rFonts w:ascii="Times New Roman" w:hAnsi="Times New Roman" w:cs="Times New Roman"/>
          <w:sz w:val="28"/>
          <w:szCs w:val="28"/>
        </w:rPr>
      </w:pPr>
    </w:p>
    <w:p w:rsidR="00967300"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rPr>
        <w:t>Ante lo anterior, la</w:t>
      </w:r>
      <w:r w:rsidRPr="00EC42C3">
        <w:rPr>
          <w:rFonts w:ascii="Times New Roman" w:hAnsi="Times New Roman" w:cs="Times New Roman"/>
          <w:sz w:val="28"/>
          <w:szCs w:val="28"/>
        </w:rPr>
        <w:t xml:space="preserve"> Sentencia C-456 de 2020 destaca que l</w:t>
      </w:r>
      <w:r w:rsidRPr="00EC42C3">
        <w:rPr>
          <w:rFonts w:ascii="Times New Roman" w:hAnsi="Times New Roman" w:cs="Times New Roman"/>
          <w:sz w:val="28"/>
          <w:szCs w:val="28"/>
        </w:rPr>
        <w:t>a diferencia en</w:t>
      </w:r>
      <w:r w:rsidRPr="00EC42C3">
        <w:rPr>
          <w:rFonts w:ascii="Times New Roman" w:hAnsi="Times New Roman" w:cs="Times New Roman"/>
          <w:sz w:val="28"/>
          <w:szCs w:val="28"/>
        </w:rPr>
        <w:t xml:space="preserve">tre </w:t>
      </w:r>
      <w:r w:rsidRPr="00EC42C3">
        <w:rPr>
          <w:rFonts w:ascii="Times New Roman" w:hAnsi="Times New Roman" w:cs="Times New Roman"/>
          <w:sz w:val="28"/>
          <w:szCs w:val="28"/>
        </w:rPr>
        <w:t xml:space="preserve">la </w:t>
      </w:r>
      <w:r w:rsidRPr="00EC42C3">
        <w:rPr>
          <w:rFonts w:ascii="Times New Roman" w:hAnsi="Times New Roman" w:cs="Times New Roman"/>
          <w:sz w:val="28"/>
          <w:szCs w:val="28"/>
        </w:rPr>
        <w:t xml:space="preserve">regulación de las dos instituciones, en su extensión y detalle, </w:t>
      </w:r>
      <w:r w:rsidRPr="00EC42C3">
        <w:rPr>
          <w:rFonts w:ascii="Times New Roman" w:hAnsi="Times New Roman" w:cs="Times New Roman"/>
          <w:sz w:val="28"/>
          <w:szCs w:val="28"/>
        </w:rPr>
        <w:t>genera tres debates constitucionales</w:t>
      </w:r>
      <w:r w:rsidRPr="00EC42C3">
        <w:rPr>
          <w:rFonts w:ascii="Times New Roman" w:hAnsi="Times New Roman" w:cs="Times New Roman"/>
          <w:sz w:val="28"/>
          <w:szCs w:val="28"/>
        </w:rPr>
        <w:t xml:space="preserve">. </w:t>
      </w:r>
    </w:p>
    <w:p w:rsidR="00967300" w:rsidRPr="00EC42C3" w:rsidRDefault="00EC42C3" w:rsidP="00967300">
      <w:pPr>
        <w:pStyle w:val="Prrafodelista"/>
        <w:rPr>
          <w:rFonts w:ascii="Times New Roman" w:hAnsi="Times New Roman" w:cs="Times New Roman"/>
          <w:sz w:val="28"/>
          <w:szCs w:val="28"/>
        </w:rPr>
      </w:pPr>
    </w:p>
    <w:p w:rsidR="006C1553" w:rsidRPr="00EC42C3" w:rsidRDefault="00EC42C3" w:rsidP="00B3275D">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rPr>
        <w:t>E</w:t>
      </w:r>
      <w:r w:rsidRPr="00EC42C3">
        <w:rPr>
          <w:rFonts w:ascii="Times New Roman" w:hAnsi="Times New Roman" w:cs="Times New Roman"/>
          <w:sz w:val="28"/>
          <w:szCs w:val="28"/>
        </w:rPr>
        <w:t>n e</w:t>
      </w:r>
      <w:r w:rsidRPr="00EC42C3">
        <w:rPr>
          <w:rFonts w:ascii="Times New Roman" w:hAnsi="Times New Roman" w:cs="Times New Roman"/>
          <w:sz w:val="28"/>
          <w:szCs w:val="28"/>
        </w:rPr>
        <w:t>l primer</w:t>
      </w:r>
      <w:r w:rsidRPr="00EC42C3">
        <w:rPr>
          <w:rFonts w:ascii="Times New Roman" w:hAnsi="Times New Roman" w:cs="Times New Roman"/>
          <w:sz w:val="28"/>
          <w:szCs w:val="28"/>
        </w:rPr>
        <w:t xml:space="preserve"> debate se</w:t>
      </w:r>
      <w:r w:rsidRPr="00EC42C3">
        <w:rPr>
          <w:rFonts w:ascii="Times New Roman" w:hAnsi="Times New Roman" w:cs="Times New Roman"/>
          <w:sz w:val="28"/>
          <w:szCs w:val="28"/>
        </w:rPr>
        <w:t xml:space="preserve"> cuestiona si </w:t>
      </w:r>
      <w:r w:rsidRPr="00EC42C3">
        <w:rPr>
          <w:rFonts w:ascii="Times New Roman" w:hAnsi="Times New Roman" w:cs="Times New Roman"/>
          <w:sz w:val="28"/>
          <w:szCs w:val="28"/>
        </w:rPr>
        <w:t>resulta necesario, a la luz del principio de igualdad, e</w:t>
      </w:r>
      <w:r w:rsidRPr="00EC42C3">
        <w:rPr>
          <w:rFonts w:ascii="Times New Roman" w:hAnsi="Times New Roman" w:cs="Times New Roman"/>
          <w:sz w:val="28"/>
          <w:szCs w:val="28"/>
        </w:rPr>
        <w:t>xtender a los compañeros permanentes las reglas previstas en el Código Civil para el matrimonio, considerando que dicho código fue expedido antes de la Constitución de 1991. En este contexto, la</w:t>
      </w:r>
      <w:r w:rsidRPr="00EC42C3">
        <w:rPr>
          <w:rFonts w:ascii="Times New Roman" w:hAnsi="Times New Roman" w:cs="Times New Roman"/>
          <w:sz w:val="28"/>
          <w:szCs w:val="28"/>
        </w:rPr>
        <w:t xml:space="preserve"> Sala</w:t>
      </w:r>
      <w:r w:rsidRPr="00EC42C3">
        <w:rPr>
          <w:rFonts w:ascii="Times New Roman" w:hAnsi="Times New Roman" w:cs="Times New Roman"/>
          <w:sz w:val="28"/>
          <w:szCs w:val="28"/>
        </w:rPr>
        <w:t xml:space="preserve"> ha analizado temas como </w:t>
      </w:r>
      <w:r w:rsidRPr="00EC42C3">
        <w:rPr>
          <w:rFonts w:ascii="Times New Roman" w:hAnsi="Times New Roman" w:cs="Times New Roman"/>
          <w:sz w:val="28"/>
          <w:szCs w:val="28"/>
        </w:rPr>
        <w:t>las obligaciones alimentarias,</w:t>
      </w:r>
      <w:r w:rsidRPr="00EC42C3">
        <w:rPr>
          <w:rStyle w:val="Refdenotaalpie"/>
          <w:rFonts w:ascii="Times New Roman" w:hAnsi="Times New Roman" w:cs="Times New Roman"/>
          <w:sz w:val="28"/>
          <w:szCs w:val="28"/>
        </w:rPr>
        <w:footnoteReference w:id="20"/>
      </w:r>
      <w:r w:rsidRPr="00EC42C3">
        <w:rPr>
          <w:rFonts w:ascii="Times New Roman" w:hAnsi="Times New Roman" w:cs="Times New Roman"/>
          <w:sz w:val="28"/>
          <w:szCs w:val="28"/>
        </w:rPr>
        <w:t> </w:t>
      </w:r>
      <w:r w:rsidRPr="00EC42C3">
        <w:rPr>
          <w:rFonts w:ascii="Times New Roman" w:hAnsi="Times New Roman" w:cs="Times New Roman"/>
          <w:sz w:val="28"/>
          <w:szCs w:val="28"/>
        </w:rPr>
        <w:t>la porción conyugal,</w:t>
      </w:r>
      <w:r w:rsidRPr="00EC42C3">
        <w:rPr>
          <w:rStyle w:val="Refdenotaalpie"/>
          <w:rFonts w:ascii="Times New Roman" w:hAnsi="Times New Roman" w:cs="Times New Roman"/>
          <w:sz w:val="28"/>
          <w:szCs w:val="28"/>
        </w:rPr>
        <w:footnoteReference w:id="21"/>
      </w:r>
      <w:r w:rsidRPr="00EC42C3">
        <w:rPr>
          <w:rFonts w:ascii="Times New Roman" w:hAnsi="Times New Roman" w:cs="Times New Roman"/>
          <w:sz w:val="28"/>
          <w:szCs w:val="28"/>
        </w:rPr>
        <w:t xml:space="preserve"> la vocación </w:t>
      </w:r>
      <w:r w:rsidRPr="00EC42C3">
        <w:rPr>
          <w:rFonts w:ascii="Times New Roman" w:hAnsi="Times New Roman" w:cs="Times New Roman"/>
          <w:sz w:val="28"/>
          <w:szCs w:val="28"/>
        </w:rPr>
        <w:t>hereditaria</w:t>
      </w:r>
      <w:r w:rsidRPr="00EC42C3">
        <w:rPr>
          <w:rStyle w:val="Refdenotaalpie"/>
          <w:rFonts w:ascii="Times New Roman" w:hAnsi="Times New Roman" w:cs="Times New Roman"/>
          <w:sz w:val="28"/>
          <w:szCs w:val="28"/>
        </w:rPr>
        <w:footnoteReference w:id="22"/>
      </w:r>
      <w:r w:rsidRPr="00EC42C3">
        <w:rPr>
          <w:rFonts w:ascii="Times New Roman" w:hAnsi="Times New Roman" w:cs="Times New Roman"/>
          <w:sz w:val="28"/>
          <w:szCs w:val="28"/>
        </w:rPr>
        <w:t> </w:t>
      </w:r>
      <w:r w:rsidRPr="00EC42C3">
        <w:rPr>
          <w:rFonts w:ascii="Times New Roman" w:hAnsi="Times New Roman" w:cs="Times New Roman"/>
          <w:sz w:val="28"/>
          <w:szCs w:val="28"/>
        </w:rPr>
        <w:t>y</w:t>
      </w:r>
      <w:r w:rsidRPr="00EC42C3">
        <w:rPr>
          <w:rFonts w:ascii="Times New Roman" w:hAnsi="Times New Roman" w:cs="Times New Roman"/>
          <w:sz w:val="28"/>
          <w:szCs w:val="28"/>
        </w:rPr>
        <w:t xml:space="preserve"> las causales de disolución del</w:t>
      </w:r>
      <w:r w:rsidRPr="00EC42C3">
        <w:rPr>
          <w:rFonts w:ascii="Times New Roman" w:hAnsi="Times New Roman" w:cs="Times New Roman"/>
          <w:sz w:val="28"/>
          <w:szCs w:val="28"/>
        </w:rPr>
        <w:t xml:space="preserve"> vínculo</w:t>
      </w:r>
      <w:r w:rsidRPr="00EC42C3">
        <w:rPr>
          <w:rFonts w:ascii="Times New Roman" w:hAnsi="Times New Roman" w:cs="Times New Roman"/>
          <w:sz w:val="28"/>
          <w:szCs w:val="28"/>
        </w:rPr>
        <w:t xml:space="preserve"> matrimoni</w:t>
      </w:r>
      <w:r w:rsidRPr="00EC42C3">
        <w:rPr>
          <w:rFonts w:ascii="Times New Roman" w:hAnsi="Times New Roman" w:cs="Times New Roman"/>
          <w:sz w:val="28"/>
          <w:szCs w:val="28"/>
        </w:rPr>
        <w:t>al</w:t>
      </w:r>
      <w:r w:rsidRPr="00EC42C3">
        <w:rPr>
          <w:rFonts w:ascii="Times New Roman" w:hAnsi="Times New Roman" w:cs="Times New Roman"/>
          <w:sz w:val="28"/>
          <w:szCs w:val="28"/>
        </w:rPr>
        <w:t>,</w:t>
      </w:r>
      <w:r w:rsidRPr="00EC42C3">
        <w:rPr>
          <w:rStyle w:val="Refdenotaalpie"/>
          <w:rFonts w:ascii="Times New Roman" w:hAnsi="Times New Roman" w:cs="Times New Roman"/>
          <w:sz w:val="28"/>
          <w:szCs w:val="28"/>
        </w:rPr>
        <w:footnoteReference w:id="23"/>
      </w:r>
      <w:r w:rsidRPr="00EC42C3">
        <w:rPr>
          <w:rFonts w:ascii="Times New Roman" w:hAnsi="Times New Roman" w:cs="Times New Roman"/>
          <w:sz w:val="28"/>
          <w:szCs w:val="28"/>
        </w:rPr>
        <w:t xml:space="preserve"> para determinar si su aplicación debe comprender también a las uniones maritales de hecho.</w:t>
      </w:r>
    </w:p>
    <w:p w:rsidR="00365DAB" w:rsidRPr="00EC42C3" w:rsidRDefault="00EC42C3" w:rsidP="00365DAB">
      <w:pPr>
        <w:pStyle w:val="Prrafodelista"/>
        <w:tabs>
          <w:tab w:val="left" w:pos="426"/>
        </w:tabs>
        <w:ind w:left="0"/>
        <w:contextualSpacing w:val="0"/>
        <w:jc w:val="both"/>
        <w:rPr>
          <w:rFonts w:ascii="Times New Roman" w:hAnsi="Times New Roman" w:cs="Times New Roman"/>
          <w:b/>
          <w:bCs/>
          <w:i/>
          <w:iCs/>
          <w:sz w:val="28"/>
          <w:szCs w:val="28"/>
        </w:rPr>
      </w:pPr>
    </w:p>
    <w:p w:rsidR="005054E6" w:rsidRPr="00EC42C3" w:rsidRDefault="00EC42C3" w:rsidP="00365DAB">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shd w:val="clear" w:color="auto" w:fill="FFFFFF"/>
        </w:rPr>
        <w:t xml:space="preserve">El segundo debate </w:t>
      </w:r>
      <w:r w:rsidRPr="00EC42C3">
        <w:rPr>
          <w:rFonts w:ascii="Times New Roman" w:hAnsi="Times New Roman" w:cs="Times New Roman"/>
          <w:sz w:val="28"/>
          <w:szCs w:val="28"/>
          <w:shd w:val="clear" w:color="auto" w:fill="FFFFFF"/>
        </w:rPr>
        <w:t>gira en torno a si ciertas leyes que regulan específicamente la unión marital de hecho, estableciendo normas distintas a las aplicables al matrimonio, desconocen el derecho a la igualdad y la protección de la familia. Este cuestionamiento ha surgido, por e</w:t>
      </w:r>
      <w:r w:rsidRPr="00EC42C3">
        <w:rPr>
          <w:rFonts w:ascii="Times New Roman" w:hAnsi="Times New Roman" w:cs="Times New Roman"/>
          <w:sz w:val="28"/>
          <w:szCs w:val="28"/>
          <w:shd w:val="clear" w:color="auto" w:fill="FFFFFF"/>
        </w:rPr>
        <w:t>jemplo, en el marco de la aplicación de las Leyes 54 de 1990 y 979 de 2005, que definen la unión marital de hecho y regulan el régimen patrimonial de los compañeros permanentes, el cual difiere del previsto para los cónyuges. Una de las discusiones más rel</w:t>
      </w:r>
      <w:r w:rsidRPr="00EC42C3">
        <w:rPr>
          <w:rFonts w:ascii="Times New Roman" w:hAnsi="Times New Roman" w:cs="Times New Roman"/>
          <w:sz w:val="28"/>
          <w:szCs w:val="28"/>
          <w:shd w:val="clear" w:color="auto" w:fill="FFFFFF"/>
        </w:rPr>
        <w:t xml:space="preserve">evantes ha sido la </w:t>
      </w:r>
      <w:r w:rsidRPr="00EC42C3">
        <w:rPr>
          <w:rFonts w:ascii="Times New Roman" w:hAnsi="Times New Roman" w:cs="Times New Roman"/>
          <w:sz w:val="28"/>
          <w:szCs w:val="28"/>
          <w:shd w:val="clear" w:color="auto" w:fill="FFFFFF"/>
        </w:rPr>
        <w:t xml:space="preserve">relativa a la </w:t>
      </w:r>
      <w:r w:rsidRPr="00EC42C3">
        <w:rPr>
          <w:rFonts w:ascii="Times New Roman" w:hAnsi="Times New Roman" w:cs="Times New Roman"/>
          <w:sz w:val="28"/>
          <w:szCs w:val="28"/>
          <w:shd w:val="clear" w:color="auto" w:fill="FFFFFF"/>
        </w:rPr>
        <w:t>exigencia de un período mínimo de dos años de convivencia para que surja la sociedad patrimonial, requisito que no se contempla para la sociedad conyugal en el caso del matrimonio, de acuerdo con lo dispuesto en el Código C</w:t>
      </w:r>
      <w:r w:rsidRPr="00EC42C3">
        <w:rPr>
          <w:rFonts w:ascii="Times New Roman" w:hAnsi="Times New Roman" w:cs="Times New Roman"/>
          <w:sz w:val="28"/>
          <w:szCs w:val="28"/>
          <w:shd w:val="clear" w:color="auto" w:fill="FFFFFF"/>
        </w:rPr>
        <w:t>ivil</w:t>
      </w:r>
      <w:r w:rsidRPr="00EC42C3">
        <w:rPr>
          <w:rFonts w:ascii="Times New Roman" w:hAnsi="Times New Roman" w:cs="Times New Roman"/>
          <w:sz w:val="28"/>
          <w:szCs w:val="28"/>
          <w:shd w:val="clear" w:color="auto" w:fill="FFFFFF"/>
        </w:rPr>
        <w:t>.</w:t>
      </w:r>
      <w:r w:rsidRPr="00EC42C3">
        <w:rPr>
          <w:rStyle w:val="Refdenotaalpie"/>
          <w:rFonts w:ascii="Times New Roman" w:hAnsi="Times New Roman" w:cs="Times New Roman"/>
          <w:sz w:val="28"/>
          <w:szCs w:val="28"/>
          <w:shd w:val="clear" w:color="auto" w:fill="FFFFFF"/>
        </w:rPr>
        <w:footnoteReference w:id="24"/>
      </w:r>
    </w:p>
    <w:p w:rsidR="006C1553" w:rsidRPr="00EC42C3" w:rsidRDefault="00EC42C3" w:rsidP="006C1553">
      <w:pPr>
        <w:pStyle w:val="Prrafodelista"/>
        <w:rPr>
          <w:rFonts w:ascii="Times New Roman" w:hAnsi="Times New Roman" w:cs="Times New Roman"/>
          <w:b/>
          <w:bCs/>
          <w:i/>
          <w:iCs/>
          <w:sz w:val="28"/>
          <w:szCs w:val="28"/>
        </w:rPr>
      </w:pPr>
    </w:p>
    <w:p w:rsidR="006C1553" w:rsidRPr="00EC42C3" w:rsidRDefault="00EC42C3" w:rsidP="00365DAB">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Style w:val="apple-converted-space"/>
          <w:rFonts w:ascii="Times New Roman" w:eastAsiaTheme="majorEastAsia" w:hAnsi="Times New Roman" w:cs="Times New Roman"/>
          <w:sz w:val="28"/>
          <w:szCs w:val="28"/>
        </w:rPr>
        <w:t> </w:t>
      </w:r>
      <w:r w:rsidRPr="00EC42C3">
        <w:rPr>
          <w:rFonts w:ascii="Times New Roman" w:hAnsi="Times New Roman" w:cs="Times New Roman"/>
          <w:sz w:val="28"/>
          <w:szCs w:val="28"/>
        </w:rPr>
        <w:t xml:space="preserve">El tercer debate </w:t>
      </w:r>
      <w:r w:rsidRPr="00EC42C3">
        <w:rPr>
          <w:rFonts w:ascii="Times New Roman" w:hAnsi="Times New Roman" w:cs="Times New Roman"/>
          <w:sz w:val="28"/>
          <w:szCs w:val="28"/>
        </w:rPr>
        <w:t>se presenta en</w:t>
      </w:r>
      <w:r w:rsidRPr="00EC42C3">
        <w:rPr>
          <w:rFonts w:ascii="Times New Roman" w:hAnsi="Times New Roman" w:cs="Times New Roman"/>
          <w:sz w:val="28"/>
          <w:szCs w:val="28"/>
        </w:rPr>
        <w:t xml:space="preserve"> aquellos </w:t>
      </w:r>
      <w:r w:rsidRPr="00EC42C3">
        <w:rPr>
          <w:rFonts w:ascii="Times New Roman" w:hAnsi="Times New Roman" w:cs="Times New Roman"/>
          <w:sz w:val="28"/>
          <w:szCs w:val="28"/>
        </w:rPr>
        <w:t>escenario</w:t>
      </w:r>
      <w:r w:rsidRPr="00EC42C3">
        <w:rPr>
          <w:rFonts w:ascii="Times New Roman" w:hAnsi="Times New Roman" w:cs="Times New Roman"/>
          <w:sz w:val="28"/>
          <w:szCs w:val="28"/>
        </w:rPr>
        <w:t xml:space="preserve">s en los que el Legislador, </w:t>
      </w:r>
      <w:r w:rsidRPr="00EC42C3">
        <w:rPr>
          <w:rFonts w:ascii="Times New Roman" w:hAnsi="Times New Roman" w:cs="Times New Roman"/>
          <w:sz w:val="28"/>
          <w:szCs w:val="28"/>
        </w:rPr>
        <w:t>en normas distintas</w:t>
      </w:r>
      <w:r w:rsidRPr="00EC42C3">
        <w:rPr>
          <w:rFonts w:ascii="Times New Roman" w:hAnsi="Times New Roman" w:cs="Times New Roman"/>
          <w:sz w:val="28"/>
          <w:szCs w:val="28"/>
        </w:rPr>
        <w:t xml:space="preserve"> </w:t>
      </w:r>
      <w:r w:rsidRPr="00EC42C3">
        <w:rPr>
          <w:rFonts w:ascii="Times New Roman" w:hAnsi="Times New Roman" w:cs="Times New Roman"/>
          <w:sz w:val="28"/>
          <w:szCs w:val="28"/>
        </w:rPr>
        <w:t>a</w:t>
      </w:r>
      <w:r w:rsidRPr="00EC42C3">
        <w:rPr>
          <w:rFonts w:ascii="Times New Roman" w:hAnsi="Times New Roman" w:cs="Times New Roman"/>
          <w:sz w:val="28"/>
          <w:szCs w:val="28"/>
        </w:rPr>
        <w:t xml:space="preserve">l Código Civil, ha </w:t>
      </w:r>
      <w:r w:rsidRPr="00EC42C3">
        <w:rPr>
          <w:rFonts w:ascii="Times New Roman" w:hAnsi="Times New Roman" w:cs="Times New Roman"/>
          <w:sz w:val="28"/>
          <w:szCs w:val="28"/>
        </w:rPr>
        <w:t>previst</w:t>
      </w:r>
      <w:r w:rsidRPr="00EC42C3">
        <w:rPr>
          <w:rFonts w:ascii="Times New Roman" w:hAnsi="Times New Roman" w:cs="Times New Roman"/>
          <w:sz w:val="28"/>
          <w:szCs w:val="28"/>
        </w:rPr>
        <w:t xml:space="preserve">o </w:t>
      </w:r>
      <w:r w:rsidRPr="00EC42C3">
        <w:rPr>
          <w:rFonts w:ascii="Times New Roman" w:hAnsi="Times New Roman" w:cs="Times New Roman"/>
          <w:sz w:val="28"/>
          <w:szCs w:val="28"/>
        </w:rPr>
        <w:t>tratamientos diferenciados para el matrimonio y para la unión marital de hecho. Ejemplo de ello son las reglas relativas</w:t>
      </w:r>
      <w:r w:rsidRPr="00EC42C3">
        <w:rPr>
          <w:rFonts w:ascii="Times New Roman" w:hAnsi="Times New Roman" w:cs="Times New Roman"/>
          <w:sz w:val="28"/>
          <w:szCs w:val="28"/>
        </w:rPr>
        <w:t xml:space="preserve"> a </w:t>
      </w:r>
      <w:r w:rsidRPr="00EC42C3">
        <w:rPr>
          <w:rFonts w:ascii="Times New Roman" w:hAnsi="Times New Roman" w:cs="Times New Roman"/>
          <w:sz w:val="28"/>
          <w:szCs w:val="28"/>
        </w:rPr>
        <w:t xml:space="preserve">la adopción conjunta </w:t>
      </w:r>
      <w:r w:rsidRPr="00EC42C3">
        <w:rPr>
          <w:rFonts w:ascii="Times New Roman" w:hAnsi="Times New Roman" w:cs="Times New Roman"/>
          <w:sz w:val="28"/>
          <w:szCs w:val="28"/>
        </w:rPr>
        <w:t>y</w:t>
      </w:r>
      <w:r w:rsidRPr="00EC42C3">
        <w:rPr>
          <w:rFonts w:ascii="Times New Roman" w:hAnsi="Times New Roman" w:cs="Times New Roman"/>
          <w:sz w:val="28"/>
          <w:szCs w:val="28"/>
        </w:rPr>
        <w:t xml:space="preserve"> la afiliación al sistema de salud. </w:t>
      </w:r>
      <w:r w:rsidRPr="00EC42C3">
        <w:rPr>
          <w:rFonts w:ascii="Times New Roman" w:hAnsi="Times New Roman" w:cs="Times New Roman"/>
          <w:sz w:val="28"/>
          <w:szCs w:val="28"/>
        </w:rPr>
        <w:t>Si bien e</w:t>
      </w:r>
      <w:r w:rsidRPr="00EC42C3">
        <w:rPr>
          <w:rFonts w:ascii="Times New Roman" w:hAnsi="Times New Roman" w:cs="Times New Roman"/>
          <w:sz w:val="28"/>
          <w:szCs w:val="28"/>
        </w:rPr>
        <w:t>n ambos casos tanto cónyuges como compañeros permanentes pueden adoptar niños y niñas</w:t>
      </w:r>
      <w:r w:rsidRPr="00EC42C3">
        <w:rPr>
          <w:rFonts w:ascii="Times New Roman" w:hAnsi="Times New Roman" w:cs="Times New Roman"/>
          <w:sz w:val="28"/>
          <w:szCs w:val="28"/>
        </w:rPr>
        <w:t xml:space="preserve"> y ser </w:t>
      </w:r>
      <w:r w:rsidRPr="00EC42C3">
        <w:rPr>
          <w:rFonts w:ascii="Times New Roman" w:hAnsi="Times New Roman" w:cs="Times New Roman"/>
          <w:sz w:val="28"/>
          <w:szCs w:val="28"/>
        </w:rPr>
        <w:t>beneficiarios en salud</w:t>
      </w:r>
      <w:r w:rsidRPr="00EC42C3">
        <w:rPr>
          <w:rFonts w:ascii="Times New Roman" w:hAnsi="Times New Roman" w:cs="Times New Roman"/>
          <w:sz w:val="28"/>
          <w:szCs w:val="28"/>
        </w:rPr>
        <w:t xml:space="preserve">, </w:t>
      </w:r>
      <w:r w:rsidRPr="00EC42C3">
        <w:rPr>
          <w:rFonts w:ascii="Times New Roman" w:hAnsi="Times New Roman" w:cs="Times New Roman"/>
          <w:sz w:val="28"/>
          <w:szCs w:val="28"/>
        </w:rPr>
        <w:t xml:space="preserve">el Legislador </w:t>
      </w:r>
      <w:r w:rsidRPr="00EC42C3">
        <w:rPr>
          <w:rFonts w:ascii="Times New Roman" w:hAnsi="Times New Roman" w:cs="Times New Roman"/>
          <w:sz w:val="28"/>
          <w:szCs w:val="28"/>
        </w:rPr>
        <w:t xml:space="preserve">estableció condiciones y requisitos distintos para cada </w:t>
      </w:r>
      <w:r w:rsidRPr="00EC42C3">
        <w:rPr>
          <w:rFonts w:ascii="Times New Roman" w:hAnsi="Times New Roman" w:cs="Times New Roman"/>
          <w:sz w:val="28"/>
          <w:szCs w:val="28"/>
        </w:rPr>
        <w:t>situación, atendiendo al tipo de vínculo familiar existente</w:t>
      </w:r>
      <w:r w:rsidRPr="00EC42C3">
        <w:rPr>
          <w:rFonts w:ascii="Times New Roman" w:hAnsi="Times New Roman" w:cs="Times New Roman"/>
          <w:sz w:val="28"/>
          <w:szCs w:val="28"/>
        </w:rPr>
        <w:t>.</w:t>
      </w:r>
      <w:r w:rsidRPr="00EC42C3">
        <w:rPr>
          <w:rStyle w:val="Refdenotaalpie"/>
          <w:rFonts w:ascii="Times New Roman" w:hAnsi="Times New Roman" w:cs="Times New Roman"/>
          <w:sz w:val="28"/>
          <w:szCs w:val="28"/>
        </w:rPr>
        <w:footnoteReference w:id="25"/>
      </w:r>
    </w:p>
    <w:p w:rsidR="00851B43" w:rsidRPr="00EC42C3" w:rsidRDefault="00EC42C3" w:rsidP="00851B43">
      <w:pPr>
        <w:pStyle w:val="Prrafodelista"/>
        <w:rPr>
          <w:rFonts w:ascii="Times New Roman" w:hAnsi="Times New Roman" w:cs="Times New Roman"/>
          <w:b/>
          <w:bCs/>
          <w:i/>
          <w:iCs/>
          <w:sz w:val="28"/>
          <w:szCs w:val="28"/>
        </w:rPr>
      </w:pPr>
    </w:p>
    <w:p w:rsidR="00365DAB" w:rsidRPr="00EC42C3" w:rsidRDefault="00EC42C3" w:rsidP="00365DAB">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rPr>
        <w:t xml:space="preserve">A partir de los anteriores debates, la jurisprudencia constitucional ha </w:t>
      </w:r>
      <w:r w:rsidRPr="00EC42C3">
        <w:rPr>
          <w:rFonts w:ascii="Times New Roman" w:hAnsi="Times New Roman" w:cs="Times New Roman"/>
          <w:sz w:val="28"/>
          <w:szCs w:val="28"/>
        </w:rPr>
        <w:t>concluido que tanto</w:t>
      </w:r>
      <w:r w:rsidRPr="00EC42C3">
        <w:rPr>
          <w:rFonts w:ascii="Times New Roman" w:hAnsi="Times New Roman" w:cs="Times New Roman"/>
          <w:b/>
          <w:bCs/>
          <w:i/>
          <w:iCs/>
          <w:sz w:val="28"/>
          <w:szCs w:val="28"/>
        </w:rPr>
        <w:t xml:space="preserve"> </w:t>
      </w:r>
      <w:r w:rsidRPr="00EC42C3">
        <w:rPr>
          <w:rFonts w:ascii="Times New Roman" w:hAnsi="Times New Roman" w:cs="Times New Roman"/>
          <w:sz w:val="28"/>
          <w:szCs w:val="28"/>
        </w:rPr>
        <w:t>el matrimonio como la unión marital</w:t>
      </w:r>
      <w:r w:rsidRPr="00EC42C3">
        <w:rPr>
          <w:rFonts w:ascii="Times New Roman" w:hAnsi="Times New Roman" w:cs="Times New Roman"/>
          <w:sz w:val="28"/>
          <w:szCs w:val="28"/>
        </w:rPr>
        <w:t xml:space="preserve"> de hecho</w:t>
      </w:r>
      <w:r w:rsidRPr="00EC42C3">
        <w:rPr>
          <w:rFonts w:ascii="Times New Roman" w:hAnsi="Times New Roman" w:cs="Times New Roman"/>
          <w:b/>
          <w:bCs/>
          <w:i/>
          <w:iCs/>
          <w:sz w:val="28"/>
          <w:szCs w:val="28"/>
        </w:rPr>
        <w:t xml:space="preserve"> </w:t>
      </w:r>
      <w:r w:rsidRPr="00EC42C3">
        <w:rPr>
          <w:rFonts w:ascii="Times New Roman" w:hAnsi="Times New Roman" w:cs="Times New Roman"/>
          <w:sz w:val="28"/>
          <w:szCs w:val="28"/>
        </w:rPr>
        <w:t xml:space="preserve">son formas legítimas de constituir una familia y, por </w:t>
      </w:r>
      <w:r w:rsidRPr="00EC42C3">
        <w:rPr>
          <w:rFonts w:ascii="Times New Roman" w:hAnsi="Times New Roman" w:cs="Times New Roman"/>
          <w:sz w:val="28"/>
          <w:szCs w:val="28"/>
        </w:rPr>
        <w:t>ende, gozan de la misma protección constitucional</w:t>
      </w:r>
      <w:r w:rsidRPr="00EC42C3">
        <w:rPr>
          <w:rFonts w:ascii="Times New Roman" w:hAnsi="Times New Roman" w:cs="Times New Roman"/>
          <w:sz w:val="28"/>
          <w:szCs w:val="28"/>
        </w:rPr>
        <w:t>.</w:t>
      </w:r>
      <w:r w:rsidRPr="00EC42C3">
        <w:rPr>
          <w:rStyle w:val="Refdenotaalpie"/>
          <w:rFonts w:ascii="Times New Roman" w:hAnsi="Times New Roman" w:cs="Times New Roman"/>
          <w:sz w:val="28"/>
          <w:szCs w:val="28"/>
        </w:rPr>
        <w:footnoteReference w:id="26"/>
      </w:r>
      <w:r w:rsidRPr="00EC42C3">
        <w:rPr>
          <w:rFonts w:ascii="Times New Roman" w:hAnsi="Times New Roman" w:cs="Times New Roman"/>
          <w:sz w:val="28"/>
          <w:szCs w:val="28"/>
        </w:rPr>
        <w:t xml:space="preserve"> No obstante, esta protección en condiciones de igualdad no implica una asimilación o equiparación normativa absoluta entre ambas instituciones. El mandato de igualdad exige que la ley garantice derechos y</w:t>
      </w:r>
      <w:r w:rsidRPr="00EC42C3">
        <w:rPr>
          <w:rFonts w:ascii="Times New Roman" w:hAnsi="Times New Roman" w:cs="Times New Roman"/>
          <w:sz w:val="28"/>
          <w:szCs w:val="28"/>
        </w:rPr>
        <w:t xml:space="preserve"> beneficios equivalentes para ambas formas de familia, pero respetando las particularidades y especificidades propias de cada una.</w:t>
      </w:r>
    </w:p>
    <w:p w:rsidR="00851B43" w:rsidRPr="00EC42C3" w:rsidRDefault="00EC42C3" w:rsidP="00365DAB">
      <w:pPr>
        <w:rPr>
          <w:rFonts w:ascii="Times New Roman" w:hAnsi="Times New Roman" w:cs="Times New Roman"/>
          <w:b/>
          <w:bCs/>
          <w:i/>
          <w:iCs/>
          <w:sz w:val="28"/>
          <w:szCs w:val="28"/>
        </w:rPr>
      </w:pPr>
    </w:p>
    <w:p w:rsidR="000F287D" w:rsidRPr="00EC42C3" w:rsidRDefault="00EC42C3" w:rsidP="00365DAB">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lang w:val="es-ES"/>
        </w:rPr>
        <w:t xml:space="preserve">Con </w:t>
      </w:r>
      <w:r w:rsidRPr="00EC42C3">
        <w:rPr>
          <w:rFonts w:ascii="Times New Roman" w:hAnsi="Times New Roman" w:cs="Times New Roman"/>
          <w:sz w:val="28"/>
          <w:szCs w:val="28"/>
          <w:lang w:val="es-ES"/>
        </w:rPr>
        <w:t xml:space="preserve">fundamento en lo anterior, </w:t>
      </w:r>
      <w:r w:rsidRPr="00EC42C3">
        <w:rPr>
          <w:rFonts w:ascii="Times New Roman" w:hAnsi="Times New Roman" w:cs="Times New Roman"/>
          <w:sz w:val="28"/>
          <w:szCs w:val="28"/>
          <w:lang w:val="es-ES"/>
        </w:rPr>
        <w:t xml:space="preserve">esta Corporación ha </w:t>
      </w:r>
      <w:r w:rsidRPr="00EC42C3">
        <w:rPr>
          <w:rFonts w:ascii="Times New Roman" w:hAnsi="Times New Roman" w:cs="Times New Roman"/>
          <w:sz w:val="28"/>
          <w:szCs w:val="28"/>
          <w:lang w:val="es-ES"/>
        </w:rPr>
        <w:t xml:space="preserve">identificado dos </w:t>
      </w:r>
      <w:r w:rsidRPr="00EC42C3">
        <w:rPr>
          <w:rFonts w:ascii="Times New Roman" w:hAnsi="Times New Roman" w:cs="Times New Roman"/>
          <w:sz w:val="28"/>
          <w:szCs w:val="28"/>
          <w:lang w:val="es-ES"/>
        </w:rPr>
        <w:t>criterios para</w:t>
      </w:r>
      <w:r w:rsidRPr="00EC42C3">
        <w:rPr>
          <w:rFonts w:ascii="Times New Roman" w:hAnsi="Times New Roman" w:cs="Times New Roman"/>
          <w:sz w:val="28"/>
          <w:szCs w:val="28"/>
          <w:lang w:val="es-ES"/>
        </w:rPr>
        <w:t xml:space="preserve"> evaluar la validez constitucional de las </w:t>
      </w:r>
      <w:r w:rsidRPr="00EC42C3">
        <w:rPr>
          <w:rFonts w:ascii="Times New Roman" w:hAnsi="Times New Roman" w:cs="Times New Roman"/>
          <w:sz w:val="28"/>
          <w:szCs w:val="28"/>
          <w:lang w:val="es-ES"/>
        </w:rPr>
        <w:t xml:space="preserve">diferencias normativas entre el matrimonio y la unión marital de hecho. </w:t>
      </w:r>
    </w:p>
    <w:p w:rsidR="000F287D" w:rsidRPr="00EC42C3" w:rsidRDefault="00EC42C3" w:rsidP="000F287D">
      <w:pPr>
        <w:pStyle w:val="Prrafodelista"/>
        <w:rPr>
          <w:rFonts w:ascii="Times New Roman" w:hAnsi="Times New Roman" w:cs="Times New Roman"/>
          <w:sz w:val="28"/>
          <w:szCs w:val="28"/>
          <w:lang w:val="es-ES"/>
        </w:rPr>
      </w:pPr>
    </w:p>
    <w:p w:rsidR="000F287D" w:rsidRPr="00EC42C3" w:rsidRDefault="00EC42C3" w:rsidP="000F287D">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lang w:val="es-ES"/>
        </w:rPr>
        <w:t>El primer</w:t>
      </w:r>
      <w:r w:rsidRPr="00EC42C3">
        <w:rPr>
          <w:rFonts w:ascii="Times New Roman" w:hAnsi="Times New Roman" w:cs="Times New Roman"/>
          <w:sz w:val="28"/>
          <w:szCs w:val="28"/>
          <w:lang w:val="es-ES"/>
        </w:rPr>
        <w:t xml:space="preserve"> criterio</w:t>
      </w:r>
      <w:r w:rsidRPr="00EC42C3">
        <w:rPr>
          <w:rFonts w:ascii="Times New Roman" w:hAnsi="Times New Roman" w:cs="Times New Roman"/>
          <w:sz w:val="28"/>
          <w:szCs w:val="28"/>
          <w:lang w:val="es-ES"/>
        </w:rPr>
        <w:t xml:space="preserve"> se presenta en aquellos escenarios en los que, debido a la naturaleza propia de la unión marital, resulta necesario o justificado establecer parámetros distintos a</w:t>
      </w:r>
      <w:r w:rsidRPr="00EC42C3">
        <w:rPr>
          <w:rFonts w:ascii="Times New Roman" w:hAnsi="Times New Roman" w:cs="Times New Roman"/>
          <w:sz w:val="28"/>
          <w:szCs w:val="28"/>
          <w:lang w:val="es-ES"/>
        </w:rPr>
        <w:t xml:space="preserve"> los del matrimonio. Estas diferencias buscan preservar la informalidad, flexibilidad y libertad que caracterizan a este tipo de vínculo familiar, así como proteger derechos o bienes propios de la relación frente a uniones pasajeras o carentes de estabilid</w:t>
      </w:r>
      <w:r w:rsidRPr="00EC42C3">
        <w:rPr>
          <w:rFonts w:ascii="Times New Roman" w:hAnsi="Times New Roman" w:cs="Times New Roman"/>
          <w:sz w:val="28"/>
          <w:szCs w:val="28"/>
          <w:lang w:val="es-ES"/>
        </w:rPr>
        <w:t>ad y vocación de permanencia, las cuales no pueden ser consideradas uniones maritales de hecho en sentido estricto.</w:t>
      </w:r>
    </w:p>
    <w:p w:rsidR="000F287D" w:rsidRPr="00EC42C3" w:rsidRDefault="00EC42C3" w:rsidP="000F287D">
      <w:pPr>
        <w:pStyle w:val="Prrafodelista"/>
        <w:rPr>
          <w:rFonts w:ascii="Times New Roman" w:hAnsi="Times New Roman" w:cs="Times New Roman"/>
          <w:sz w:val="28"/>
          <w:szCs w:val="28"/>
          <w:lang w:val="es-ES"/>
        </w:rPr>
      </w:pPr>
    </w:p>
    <w:p w:rsidR="00365DAB" w:rsidRPr="00EC42C3" w:rsidRDefault="00EC42C3" w:rsidP="000F287D">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lang w:val="es-ES"/>
        </w:rPr>
        <w:t xml:space="preserve">El segundo criterio apunta a que </w:t>
      </w:r>
      <w:r w:rsidRPr="00EC42C3">
        <w:rPr>
          <w:rFonts w:ascii="Times New Roman" w:hAnsi="Times New Roman" w:cs="Times New Roman"/>
          <w:sz w:val="28"/>
          <w:szCs w:val="28"/>
          <w:lang w:val="es-ES"/>
        </w:rPr>
        <w:t xml:space="preserve">el ordenamiento jurídico </w:t>
      </w:r>
      <w:r w:rsidRPr="00EC42C3">
        <w:rPr>
          <w:rFonts w:ascii="Times New Roman" w:hAnsi="Times New Roman" w:cs="Times New Roman"/>
          <w:sz w:val="28"/>
          <w:szCs w:val="28"/>
          <w:lang w:val="es-ES"/>
        </w:rPr>
        <w:t xml:space="preserve">debe ofrecer un </w:t>
      </w:r>
      <w:r w:rsidRPr="00EC42C3">
        <w:rPr>
          <w:rFonts w:ascii="Times New Roman" w:hAnsi="Times New Roman" w:cs="Times New Roman"/>
          <w:sz w:val="28"/>
          <w:szCs w:val="28"/>
          <w:lang w:val="es-ES"/>
        </w:rPr>
        <w:t xml:space="preserve">esquema de protección integral para </w:t>
      </w:r>
      <w:r w:rsidRPr="00EC42C3">
        <w:rPr>
          <w:rFonts w:ascii="Times New Roman" w:hAnsi="Times New Roman" w:cs="Times New Roman"/>
          <w:sz w:val="28"/>
          <w:szCs w:val="28"/>
          <w:lang w:val="es-ES"/>
        </w:rPr>
        <w:t>l</w:t>
      </w:r>
      <w:r w:rsidRPr="00EC42C3">
        <w:rPr>
          <w:rFonts w:ascii="Times New Roman" w:hAnsi="Times New Roman" w:cs="Times New Roman"/>
          <w:sz w:val="28"/>
          <w:szCs w:val="28"/>
          <w:lang w:val="es-ES"/>
        </w:rPr>
        <w:t>as parejas que</w:t>
      </w:r>
      <w:r w:rsidRPr="00EC42C3">
        <w:rPr>
          <w:rFonts w:ascii="Times New Roman" w:hAnsi="Times New Roman" w:cs="Times New Roman"/>
          <w:sz w:val="28"/>
          <w:szCs w:val="28"/>
        </w:rPr>
        <w:t xml:space="preserve"> deciden construir una vida en común y conformar un hogar basado en la solidaridad, el cuidado y el apoyo mutuo, con vocación de permanencia. Dicho sistema debe asegurarles los mismos derechos y beneficios que corresponden a quienes eligen formalizar su ví</w:t>
      </w:r>
      <w:r w:rsidRPr="00EC42C3">
        <w:rPr>
          <w:rFonts w:ascii="Times New Roman" w:hAnsi="Times New Roman" w:cs="Times New Roman"/>
          <w:sz w:val="28"/>
          <w:szCs w:val="28"/>
        </w:rPr>
        <w:t>nculo mediante el matrimonio, garantizando así la igualdad material entre ambas formas de constituir una familia.</w:t>
      </w:r>
    </w:p>
    <w:p w:rsidR="00851B43" w:rsidRPr="00EC42C3" w:rsidRDefault="00EC42C3" w:rsidP="00851B43">
      <w:pPr>
        <w:pStyle w:val="Prrafodelista"/>
        <w:rPr>
          <w:rFonts w:ascii="Times New Roman" w:hAnsi="Times New Roman" w:cs="Times New Roman"/>
          <w:sz w:val="28"/>
          <w:szCs w:val="28"/>
          <w:lang w:val="es-ES"/>
        </w:rPr>
      </w:pPr>
    </w:p>
    <w:p w:rsidR="00365DAB" w:rsidRPr="00EC42C3" w:rsidRDefault="00EC42C3" w:rsidP="00365DAB">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lang w:val="es-ES"/>
        </w:rPr>
        <w:t xml:space="preserve">Los dos criterios anteriores han servido a esta Sala para evaluar </w:t>
      </w:r>
      <w:r w:rsidRPr="00EC42C3">
        <w:rPr>
          <w:rFonts w:ascii="Times New Roman" w:hAnsi="Times New Roman" w:cs="Times New Roman"/>
          <w:sz w:val="28"/>
          <w:szCs w:val="28"/>
          <w:lang w:val="es-ES"/>
        </w:rPr>
        <w:t xml:space="preserve">tanto </w:t>
      </w:r>
      <w:r w:rsidRPr="00EC42C3">
        <w:rPr>
          <w:rFonts w:ascii="Times New Roman" w:hAnsi="Times New Roman" w:cs="Times New Roman"/>
          <w:sz w:val="28"/>
          <w:szCs w:val="28"/>
          <w:lang w:val="es-ES"/>
        </w:rPr>
        <w:t>la constitucionalidad de normas del Código Civil</w:t>
      </w:r>
      <w:r w:rsidRPr="00EC42C3">
        <w:rPr>
          <w:rFonts w:ascii="Times New Roman" w:hAnsi="Times New Roman" w:cs="Times New Roman"/>
          <w:sz w:val="28"/>
          <w:szCs w:val="28"/>
          <w:lang w:val="es-ES"/>
        </w:rPr>
        <w:t xml:space="preserve"> </w:t>
      </w:r>
      <w:r w:rsidRPr="00EC42C3">
        <w:rPr>
          <w:rFonts w:ascii="Times New Roman" w:hAnsi="Times New Roman" w:cs="Times New Roman"/>
          <w:sz w:val="28"/>
          <w:szCs w:val="28"/>
          <w:lang w:val="es-ES"/>
        </w:rPr>
        <w:t>y otras que preceden</w:t>
      </w:r>
      <w:r w:rsidRPr="00EC42C3">
        <w:rPr>
          <w:rFonts w:ascii="Times New Roman" w:hAnsi="Times New Roman" w:cs="Times New Roman"/>
          <w:sz w:val="28"/>
          <w:szCs w:val="28"/>
          <w:lang w:val="es-ES"/>
        </w:rPr>
        <w:t xml:space="preserve"> a la Constitución de 1991 como de </w:t>
      </w:r>
      <w:r w:rsidRPr="00EC42C3">
        <w:rPr>
          <w:rFonts w:ascii="Times New Roman" w:hAnsi="Times New Roman" w:cs="Times New Roman"/>
          <w:sz w:val="28"/>
          <w:szCs w:val="28"/>
          <w:lang w:val="es-ES"/>
        </w:rPr>
        <w:t xml:space="preserve">la </w:t>
      </w:r>
      <w:r w:rsidRPr="00EC42C3">
        <w:rPr>
          <w:rFonts w:ascii="Times New Roman" w:hAnsi="Times New Roman" w:cs="Times New Roman"/>
          <w:sz w:val="28"/>
          <w:szCs w:val="28"/>
          <w:lang w:val="es-ES"/>
        </w:rPr>
        <w:t>legislación posterior</w:t>
      </w:r>
      <w:r w:rsidRPr="00EC42C3">
        <w:rPr>
          <w:rFonts w:ascii="Times New Roman" w:hAnsi="Times New Roman" w:cs="Times New Roman"/>
          <w:sz w:val="28"/>
          <w:szCs w:val="28"/>
          <w:lang w:val="es-ES"/>
        </w:rPr>
        <w:t xml:space="preserve">, en las que se </w:t>
      </w:r>
      <w:r w:rsidRPr="00EC42C3">
        <w:rPr>
          <w:rFonts w:ascii="Times New Roman" w:hAnsi="Times New Roman" w:cs="Times New Roman"/>
          <w:sz w:val="28"/>
          <w:szCs w:val="28"/>
          <w:lang w:val="es-ES"/>
        </w:rPr>
        <w:t xml:space="preserve">regula de manera distinta ciertos aspectos de las uniones maritales de hecho frente a los matrimonios. En términos generales, </w:t>
      </w:r>
      <w:r w:rsidRPr="00EC42C3">
        <w:rPr>
          <w:rFonts w:ascii="Times New Roman" w:hAnsi="Times New Roman" w:cs="Times New Roman"/>
          <w:sz w:val="28"/>
          <w:szCs w:val="28"/>
          <w:lang w:val="es-ES"/>
        </w:rPr>
        <w:t>esta</w:t>
      </w:r>
      <w:r w:rsidRPr="00EC42C3">
        <w:rPr>
          <w:rFonts w:ascii="Times New Roman" w:hAnsi="Times New Roman" w:cs="Times New Roman"/>
          <w:sz w:val="28"/>
          <w:szCs w:val="28"/>
          <w:lang w:val="es-ES"/>
        </w:rPr>
        <w:t xml:space="preserve"> Corte ha sostenido que, aunque el vínculo entre co</w:t>
      </w:r>
      <w:r w:rsidRPr="00EC42C3">
        <w:rPr>
          <w:rFonts w:ascii="Times New Roman" w:hAnsi="Times New Roman" w:cs="Times New Roman"/>
          <w:sz w:val="28"/>
          <w:szCs w:val="28"/>
          <w:lang w:val="es-ES"/>
        </w:rPr>
        <w:t>mpañeros permanentes está marcado por la libertad para su conformación, mantenimiento y terminación, el hecho de que las parejas decidan construir un proyecto de vida común basado en la solidaridad y el apoyo mutuo impone la necesidad de contar con un sist</w:t>
      </w:r>
      <w:r w:rsidRPr="00EC42C3">
        <w:rPr>
          <w:rFonts w:ascii="Times New Roman" w:hAnsi="Times New Roman" w:cs="Times New Roman"/>
          <w:sz w:val="28"/>
          <w:szCs w:val="28"/>
          <w:lang w:val="es-ES"/>
        </w:rPr>
        <w:t>ema integral que garantice un equilibrio justo de cargas y beneficios entre sus integrantes, reconociendo plenamente este núcleo como familia para todos los efectos legales.</w:t>
      </w:r>
    </w:p>
    <w:p w:rsidR="00851B43" w:rsidRPr="00EC42C3" w:rsidRDefault="00EC42C3" w:rsidP="00365DAB">
      <w:pPr>
        <w:rPr>
          <w:rFonts w:ascii="Times New Roman" w:hAnsi="Times New Roman" w:cs="Times New Roman"/>
          <w:b/>
          <w:bCs/>
          <w:i/>
          <w:iCs/>
          <w:sz w:val="28"/>
          <w:szCs w:val="28"/>
        </w:rPr>
      </w:pPr>
    </w:p>
    <w:p w:rsidR="00365DAB" w:rsidRPr="00EC42C3" w:rsidRDefault="00EC42C3" w:rsidP="00365DAB">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 xml:space="preserve">En cuanto a los reconocimientos que son exclusivos del contrato matrimonial y no </w:t>
      </w:r>
      <w:r w:rsidRPr="00EC42C3">
        <w:rPr>
          <w:rFonts w:ascii="Times New Roman" w:hAnsi="Times New Roman" w:cs="Times New Roman"/>
          <w:sz w:val="28"/>
          <w:szCs w:val="28"/>
        </w:rPr>
        <w:t xml:space="preserve">se extienden automáticamente a las uniones maritales de hecho, la </w:t>
      </w:r>
      <w:r w:rsidRPr="00EC42C3">
        <w:rPr>
          <w:rFonts w:ascii="Times New Roman" w:hAnsi="Times New Roman" w:cs="Times New Roman"/>
          <w:sz w:val="28"/>
          <w:szCs w:val="28"/>
        </w:rPr>
        <w:t xml:space="preserve">jurisprudencia constitucional </w:t>
      </w:r>
      <w:r w:rsidRPr="00EC42C3">
        <w:rPr>
          <w:rFonts w:ascii="Times New Roman" w:hAnsi="Times New Roman" w:cs="Times New Roman"/>
          <w:sz w:val="28"/>
          <w:szCs w:val="28"/>
        </w:rPr>
        <w:t xml:space="preserve">ha precisado que no todas las normas del matrimonio son aplicables por analogía a estas uniones. Así </w:t>
      </w:r>
      <w:r w:rsidRPr="00EC42C3">
        <w:rPr>
          <w:rFonts w:ascii="Times New Roman" w:hAnsi="Times New Roman" w:cs="Times New Roman"/>
          <w:sz w:val="28"/>
          <w:szCs w:val="28"/>
        </w:rPr>
        <w:t>se precisa, por ejemplo, e</w:t>
      </w:r>
      <w:r w:rsidRPr="00EC42C3">
        <w:rPr>
          <w:rFonts w:ascii="Times New Roman" w:hAnsi="Times New Roman" w:cs="Times New Roman"/>
          <w:sz w:val="28"/>
          <w:szCs w:val="28"/>
        </w:rPr>
        <w:t xml:space="preserve">n las Sentencias C-533 de 2000 y </w:t>
      </w:r>
      <w:r w:rsidRPr="00EC42C3">
        <w:rPr>
          <w:rFonts w:ascii="Times New Roman" w:hAnsi="Times New Roman" w:cs="Times New Roman"/>
          <w:sz w:val="28"/>
          <w:szCs w:val="28"/>
        </w:rPr>
        <w:t>C-821 de 2005</w:t>
      </w:r>
      <w:r w:rsidRPr="00EC42C3">
        <w:rPr>
          <w:rFonts w:ascii="Times New Roman" w:hAnsi="Times New Roman" w:cs="Times New Roman"/>
          <w:sz w:val="28"/>
          <w:szCs w:val="28"/>
        </w:rPr>
        <w:t>,</w:t>
      </w:r>
      <w:r w:rsidRPr="00EC42C3">
        <w:rPr>
          <w:rStyle w:val="Refdenotaalpie"/>
          <w:rFonts w:ascii="Times New Roman" w:hAnsi="Times New Roman" w:cs="Times New Roman"/>
          <w:sz w:val="28"/>
          <w:szCs w:val="28"/>
        </w:rPr>
        <w:footnoteReference w:id="27"/>
      </w:r>
      <w:r w:rsidRPr="00EC42C3">
        <w:rPr>
          <w:rFonts w:ascii="Times New Roman" w:hAnsi="Times New Roman" w:cs="Times New Roman"/>
          <w:sz w:val="28"/>
          <w:szCs w:val="28"/>
        </w:rPr>
        <w:t> </w:t>
      </w:r>
      <w:r w:rsidRPr="00EC42C3">
        <w:rPr>
          <w:rFonts w:ascii="Times New Roman" w:hAnsi="Times New Roman" w:cs="Times New Roman"/>
          <w:sz w:val="28"/>
          <w:szCs w:val="28"/>
        </w:rPr>
        <w:t xml:space="preserve">en las que se concluyó que la diferencia normativa puede ser válida. En particular, en la Sentencia C-821 de 2005, </w:t>
      </w:r>
      <w:r w:rsidRPr="00EC42C3">
        <w:rPr>
          <w:rFonts w:ascii="Times New Roman" w:hAnsi="Times New Roman" w:cs="Times New Roman"/>
          <w:sz w:val="28"/>
          <w:szCs w:val="28"/>
        </w:rPr>
        <w:t>se</w:t>
      </w:r>
      <w:r w:rsidRPr="00EC42C3">
        <w:rPr>
          <w:rFonts w:ascii="Times New Roman" w:hAnsi="Times New Roman" w:cs="Times New Roman"/>
          <w:sz w:val="28"/>
          <w:szCs w:val="28"/>
        </w:rPr>
        <w:t xml:space="preserve"> determinó que no resulta contrario a la Constitución </w:t>
      </w:r>
      <w:r w:rsidRPr="00EC42C3">
        <w:rPr>
          <w:rFonts w:ascii="Times New Roman" w:hAnsi="Times New Roman" w:cs="Times New Roman"/>
          <w:sz w:val="28"/>
          <w:szCs w:val="28"/>
        </w:rPr>
        <w:t xml:space="preserve">el </w:t>
      </w:r>
      <w:r w:rsidRPr="00EC42C3">
        <w:rPr>
          <w:rFonts w:ascii="Times New Roman" w:hAnsi="Times New Roman" w:cs="Times New Roman"/>
          <w:sz w:val="28"/>
          <w:szCs w:val="28"/>
        </w:rPr>
        <w:t>que la Ley 25 de 1992 prevea como causal de divorcio las relacione</w:t>
      </w:r>
      <w:r w:rsidRPr="00EC42C3">
        <w:rPr>
          <w:rFonts w:ascii="Times New Roman" w:hAnsi="Times New Roman" w:cs="Times New Roman"/>
          <w:sz w:val="28"/>
          <w:szCs w:val="28"/>
        </w:rPr>
        <w:t>s sexuales extramatrimoniales de uno de los cónyuges, sin que exista una regulación equivalente para las uniones maritales de hecho. Este tipo de pronunciamientos ha permitido afirmar que la unión permanente es una forma de familia protegida constitucional</w:t>
      </w:r>
      <w:r w:rsidRPr="00EC42C3">
        <w:rPr>
          <w:rFonts w:ascii="Times New Roman" w:hAnsi="Times New Roman" w:cs="Times New Roman"/>
          <w:sz w:val="28"/>
          <w:szCs w:val="28"/>
        </w:rPr>
        <w:t>mente, pero ello no implica que su regulación deba ser idéntica a la del matrimonio.</w:t>
      </w:r>
    </w:p>
    <w:p w:rsidR="005A6051" w:rsidRPr="00EC42C3" w:rsidRDefault="00EC42C3" w:rsidP="00365DAB">
      <w:pPr>
        <w:rPr>
          <w:rFonts w:ascii="Times New Roman" w:hAnsi="Times New Roman" w:cs="Times New Roman"/>
          <w:b/>
          <w:bCs/>
          <w:i/>
          <w:iCs/>
          <w:sz w:val="28"/>
          <w:szCs w:val="28"/>
        </w:rPr>
      </w:pPr>
    </w:p>
    <w:p w:rsidR="005A6051" w:rsidRPr="00EC42C3" w:rsidRDefault="00EC42C3" w:rsidP="005A6051">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rPr>
        <w:t xml:space="preserve">En lo que respecta a reconocimientos propios de la unión marital, esta Corporación ha determinado que es necesario proteger a los integrantes o parientes de esa unión, </w:t>
      </w:r>
      <w:r w:rsidRPr="00EC42C3">
        <w:rPr>
          <w:rFonts w:ascii="Times New Roman" w:hAnsi="Times New Roman" w:cs="Times New Roman"/>
          <w:sz w:val="28"/>
          <w:szCs w:val="28"/>
        </w:rPr>
        <w:t>cuando la informalidad propia de ese vínculo pone en peligro intereses legítimos o ciertos derechos. Por ejemplo, esta Corte declaró la constitucionalidad del artículo 2º de la Ley 54 de 1990 mediante Sentencia C-257 de 2015. En esa oportunidad, la Sala co</w:t>
      </w:r>
      <w:r w:rsidRPr="00EC42C3">
        <w:rPr>
          <w:rFonts w:ascii="Times New Roman" w:hAnsi="Times New Roman" w:cs="Times New Roman"/>
          <w:sz w:val="28"/>
          <w:szCs w:val="28"/>
        </w:rPr>
        <w:t>nsideró que era válido que el Legislador hubiese establecido un término mínimo de dos años para el surgimiento de la sociedad patrimonial, cosa que no ocurre con la sociedad conyugal</w:t>
      </w:r>
      <w:r w:rsidRPr="00EC42C3">
        <w:rPr>
          <w:rFonts w:ascii="Times New Roman" w:hAnsi="Times New Roman" w:cs="Times New Roman"/>
          <w:sz w:val="28"/>
          <w:szCs w:val="28"/>
        </w:rPr>
        <w:t>,</w:t>
      </w:r>
      <w:r w:rsidRPr="00EC42C3">
        <w:rPr>
          <w:rFonts w:ascii="Times New Roman" w:hAnsi="Times New Roman" w:cs="Times New Roman"/>
          <w:sz w:val="28"/>
          <w:szCs w:val="28"/>
        </w:rPr>
        <w:t xml:space="preserve"> la cual nace con el perfeccionamiento del matrimonio. Arribó a esta conc</w:t>
      </w:r>
      <w:r w:rsidRPr="00EC42C3">
        <w:rPr>
          <w:rFonts w:ascii="Times New Roman" w:hAnsi="Times New Roman" w:cs="Times New Roman"/>
          <w:sz w:val="28"/>
          <w:szCs w:val="28"/>
        </w:rPr>
        <w:t>lusión, pues la anotada exigencia busca evitar que vínculos sentimentales de poca duración tengan consecuencias económicas.</w:t>
      </w:r>
      <w:r w:rsidRPr="00EC42C3">
        <w:rPr>
          <w:rStyle w:val="apple-converted-space"/>
          <w:rFonts w:ascii="Times New Roman" w:eastAsiaTheme="majorEastAsia" w:hAnsi="Times New Roman" w:cs="Times New Roman"/>
          <w:sz w:val="28"/>
          <w:szCs w:val="28"/>
          <w:lang w:val="es-ES"/>
        </w:rPr>
        <w:t> </w:t>
      </w:r>
      <w:r w:rsidRPr="00EC42C3">
        <w:rPr>
          <w:rFonts w:ascii="Times New Roman" w:hAnsi="Times New Roman" w:cs="Times New Roman"/>
          <w:sz w:val="28"/>
          <w:szCs w:val="28"/>
        </w:rPr>
        <w:t>Por el contrario, en el matrimonio existe un contrato solemne en el que los cónyuges conscientes y deliberadamente acuerdan entregar</w:t>
      </w:r>
      <w:r w:rsidRPr="00EC42C3">
        <w:rPr>
          <w:rFonts w:ascii="Times New Roman" w:hAnsi="Times New Roman" w:cs="Times New Roman"/>
          <w:sz w:val="28"/>
          <w:szCs w:val="28"/>
        </w:rPr>
        <w:t xml:space="preserve"> su patrimonio al proyecto común, por lo que, en este contexto específico, carece de todo sentido supeditar la voluntad de las partes al transcurso del tiempo.</w:t>
      </w:r>
    </w:p>
    <w:p w:rsidR="00015293" w:rsidRPr="00EC42C3" w:rsidRDefault="00EC42C3" w:rsidP="00015293">
      <w:pPr>
        <w:pStyle w:val="Prrafodelista"/>
        <w:tabs>
          <w:tab w:val="left" w:pos="426"/>
        </w:tabs>
        <w:ind w:left="0"/>
        <w:contextualSpacing w:val="0"/>
        <w:jc w:val="both"/>
        <w:rPr>
          <w:rFonts w:ascii="Times New Roman" w:hAnsi="Times New Roman" w:cs="Times New Roman"/>
          <w:b/>
          <w:bCs/>
          <w:i/>
          <w:iCs/>
          <w:sz w:val="28"/>
          <w:szCs w:val="28"/>
        </w:rPr>
      </w:pPr>
    </w:p>
    <w:p w:rsidR="005A6051" w:rsidRPr="00EC42C3" w:rsidRDefault="00EC42C3" w:rsidP="005A6051">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lang w:val="es-ES"/>
        </w:rPr>
        <w:t xml:space="preserve">Sin perjuicio de lo anterior, esta Corte también ha determinado que algunas reglas que </w:t>
      </w:r>
      <w:r w:rsidRPr="00EC42C3">
        <w:rPr>
          <w:rFonts w:ascii="Times New Roman" w:hAnsi="Times New Roman" w:cs="Times New Roman"/>
          <w:sz w:val="28"/>
          <w:szCs w:val="28"/>
          <w:lang w:val="es-ES"/>
        </w:rPr>
        <w:t>establecen una diferencia normativa entre matrimonios y uniones maritales son inexequibles. En esos casos, la Sala ha indicado que la diferenciación entre ambas formas de integrar una familia desconoce el deber de protección igualitaria del que deben gozar</w:t>
      </w:r>
      <w:r w:rsidRPr="00EC42C3">
        <w:rPr>
          <w:rFonts w:ascii="Times New Roman" w:hAnsi="Times New Roman" w:cs="Times New Roman"/>
          <w:sz w:val="28"/>
          <w:szCs w:val="28"/>
          <w:lang w:val="es-ES"/>
        </w:rPr>
        <w:t xml:space="preserve"> ambas instituciones. Esto ha ocurrido, con ciertas disposiciones de derecho privado que preceden a la Constitución de 1991.</w:t>
      </w:r>
    </w:p>
    <w:p w:rsidR="005A6051" w:rsidRPr="00EC42C3" w:rsidRDefault="00EC42C3" w:rsidP="005A6051">
      <w:pPr>
        <w:pStyle w:val="Prrafodelista"/>
        <w:rPr>
          <w:rFonts w:ascii="Times New Roman" w:hAnsi="Times New Roman" w:cs="Times New Roman"/>
          <w:sz w:val="28"/>
          <w:szCs w:val="28"/>
        </w:rPr>
      </w:pPr>
    </w:p>
    <w:p w:rsidR="005A6051" w:rsidRPr="00EC42C3" w:rsidRDefault="00EC42C3" w:rsidP="005A6051">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rPr>
        <w:t>En función del aludido criterio, esta Corte ha evaluado múltiples normas que, en distintos contextos, han establecido una diferenc</w:t>
      </w:r>
      <w:r w:rsidRPr="00EC42C3">
        <w:rPr>
          <w:rFonts w:ascii="Times New Roman" w:hAnsi="Times New Roman" w:cs="Times New Roman"/>
          <w:sz w:val="28"/>
          <w:szCs w:val="28"/>
        </w:rPr>
        <w:t>iación normativa constitucionalmente inadmisible. En general, esta Corporación ha considerado que aunque el vínculo entre los compañeros permanentes se encuentra permeado por la libertad para decidir la conformación, mantenimiento y finalización de ese tip</w:t>
      </w:r>
      <w:r w:rsidRPr="00EC42C3">
        <w:rPr>
          <w:rFonts w:ascii="Times New Roman" w:hAnsi="Times New Roman" w:cs="Times New Roman"/>
          <w:sz w:val="28"/>
          <w:szCs w:val="28"/>
        </w:rPr>
        <w:t>o de familia, la circunstancia de que las parejas opten por hacer una vida en común y por conformar un nuevo hogar a partir de la solidaridad mutua y del cuidado y apoyo recíproco, obliga a establecer un sistema integral que garantice el equilibrio de carg</w:t>
      </w:r>
      <w:r w:rsidRPr="00EC42C3">
        <w:rPr>
          <w:rFonts w:ascii="Times New Roman" w:hAnsi="Times New Roman" w:cs="Times New Roman"/>
          <w:sz w:val="28"/>
          <w:szCs w:val="28"/>
        </w:rPr>
        <w:t>as y beneficios entre los miembros que integran la pareja, y a reconocer este núcleo como una familia para todos los efectos legales. </w:t>
      </w:r>
    </w:p>
    <w:p w:rsidR="005A6051" w:rsidRPr="00EC42C3" w:rsidRDefault="00EC42C3" w:rsidP="005A6051">
      <w:pPr>
        <w:pStyle w:val="Prrafodelista"/>
        <w:rPr>
          <w:rFonts w:ascii="Times New Roman" w:hAnsi="Times New Roman" w:cs="Times New Roman"/>
          <w:sz w:val="28"/>
          <w:szCs w:val="28"/>
          <w:shd w:val="clear" w:color="auto" w:fill="FFFFFF"/>
        </w:rPr>
      </w:pPr>
    </w:p>
    <w:p w:rsidR="005A6051" w:rsidRPr="00EC42C3" w:rsidRDefault="00EC42C3" w:rsidP="004D45B9">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shd w:val="clear" w:color="auto" w:fill="FFFFFF"/>
        </w:rPr>
        <w:t>En efecto</w:t>
      </w:r>
      <w:r w:rsidRPr="00EC42C3">
        <w:rPr>
          <w:rFonts w:ascii="Times New Roman" w:hAnsi="Times New Roman" w:cs="Times New Roman"/>
          <w:sz w:val="28"/>
          <w:szCs w:val="28"/>
          <w:shd w:val="clear" w:color="auto" w:fill="FFFFFF"/>
        </w:rPr>
        <w:t>, en múltiples pronunciamientos, esta Corte ha dispuesto la aplicación extensiva de normas originalmente diseña</w:t>
      </w:r>
      <w:r w:rsidRPr="00EC42C3">
        <w:rPr>
          <w:rFonts w:ascii="Times New Roman" w:hAnsi="Times New Roman" w:cs="Times New Roman"/>
          <w:sz w:val="28"/>
          <w:szCs w:val="28"/>
          <w:shd w:val="clear" w:color="auto" w:fill="FFFFFF"/>
        </w:rPr>
        <w:t>das para el matrimonio a las uniones maritales de hecho. Esta extensión busca garantizar un equilibrio justo de cargas, beneficios y derechos entre los compañeros permanentes, evitando que la ausencia de regulación específica genere desprotección o desigua</w:t>
      </w:r>
      <w:r w:rsidRPr="00EC42C3">
        <w:rPr>
          <w:rFonts w:ascii="Times New Roman" w:hAnsi="Times New Roman" w:cs="Times New Roman"/>
          <w:sz w:val="28"/>
          <w:szCs w:val="28"/>
          <w:shd w:val="clear" w:color="auto" w:fill="FFFFFF"/>
        </w:rPr>
        <w:t>ldad frente a los cónyuges.</w:t>
      </w:r>
    </w:p>
    <w:p w:rsidR="005C279C" w:rsidRPr="00EC42C3" w:rsidRDefault="00EC42C3" w:rsidP="005C279C">
      <w:pPr>
        <w:pStyle w:val="Prrafodelista"/>
        <w:tabs>
          <w:tab w:val="left" w:pos="426"/>
        </w:tabs>
        <w:ind w:left="0"/>
        <w:contextualSpacing w:val="0"/>
        <w:jc w:val="both"/>
        <w:rPr>
          <w:rFonts w:ascii="Times New Roman" w:hAnsi="Times New Roman" w:cs="Times New Roman"/>
          <w:b/>
          <w:bCs/>
          <w:i/>
          <w:iCs/>
          <w:sz w:val="28"/>
          <w:szCs w:val="28"/>
        </w:rPr>
      </w:pPr>
    </w:p>
    <w:p w:rsidR="004D45B9" w:rsidRPr="00EC42C3" w:rsidRDefault="00EC42C3" w:rsidP="004D45B9">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lang w:val="es-ES"/>
        </w:rPr>
        <w:t>En la Sentencia C-477 de 1999</w:t>
      </w:r>
      <w:r w:rsidRPr="00EC42C3">
        <w:rPr>
          <w:rFonts w:ascii="Times New Roman" w:hAnsi="Times New Roman" w:cs="Times New Roman"/>
          <w:sz w:val="28"/>
          <w:szCs w:val="28"/>
          <w:lang w:val="es-ES"/>
        </w:rPr>
        <w:t xml:space="preserve"> se</w:t>
      </w:r>
      <w:r w:rsidRPr="00EC42C3">
        <w:rPr>
          <w:rFonts w:ascii="Times New Roman" w:hAnsi="Times New Roman" w:cs="Times New Roman"/>
          <w:sz w:val="28"/>
          <w:szCs w:val="28"/>
          <w:lang w:val="es-ES"/>
        </w:rPr>
        <w:t xml:space="preserve"> analizó </w:t>
      </w:r>
      <w:r w:rsidRPr="00EC42C3">
        <w:rPr>
          <w:rFonts w:ascii="Times New Roman" w:hAnsi="Times New Roman" w:cs="Times New Roman"/>
          <w:sz w:val="28"/>
          <w:szCs w:val="28"/>
          <w:lang w:val="es-ES"/>
        </w:rPr>
        <w:t>l</w:t>
      </w:r>
      <w:r w:rsidRPr="00EC42C3">
        <w:rPr>
          <w:rFonts w:ascii="Times New Roman" w:hAnsi="Times New Roman" w:cs="Times New Roman"/>
          <w:sz w:val="28"/>
          <w:szCs w:val="28"/>
          <w:lang w:val="es-ES"/>
        </w:rPr>
        <w:t xml:space="preserve">a norma del Código del Menor que regulaba la adopción por consentimiento. </w:t>
      </w:r>
      <w:r w:rsidRPr="00EC42C3">
        <w:rPr>
          <w:rFonts w:ascii="Times New Roman" w:hAnsi="Times New Roman" w:cs="Times New Roman"/>
          <w:sz w:val="28"/>
          <w:szCs w:val="28"/>
          <w:lang w:val="es-ES"/>
        </w:rPr>
        <w:t>La Sala d</w:t>
      </w:r>
      <w:r w:rsidRPr="00EC42C3">
        <w:rPr>
          <w:rFonts w:ascii="Times New Roman" w:hAnsi="Times New Roman" w:cs="Times New Roman"/>
          <w:sz w:val="28"/>
          <w:szCs w:val="28"/>
          <w:lang w:val="es-ES"/>
        </w:rPr>
        <w:t xml:space="preserve">eterminó que limitar este mecanismo únicamente a parejas casadas resultaba inconstitucional, ya que discriminaba a las familias conformadas por compañeros permanentes y restringía injustificadamente el derecho de los niños y niñas a tener una familia. Por </w:t>
      </w:r>
      <w:r w:rsidRPr="00EC42C3">
        <w:rPr>
          <w:rFonts w:ascii="Times New Roman" w:hAnsi="Times New Roman" w:cs="Times New Roman"/>
          <w:sz w:val="28"/>
          <w:szCs w:val="28"/>
          <w:lang w:val="es-ES"/>
        </w:rPr>
        <w:t>ello, declaró la exequibilidad condicionada de la disposición, precisando que debía comprender también a los compañeros permanentes con voluntad conjunta de adoptar.</w:t>
      </w:r>
    </w:p>
    <w:p w:rsidR="005A6051" w:rsidRPr="00EC42C3" w:rsidRDefault="00EC42C3" w:rsidP="004D45B9">
      <w:pPr>
        <w:rPr>
          <w:rFonts w:ascii="Times New Roman" w:hAnsi="Times New Roman" w:cs="Times New Roman"/>
          <w:sz w:val="28"/>
          <w:szCs w:val="28"/>
          <w:lang w:val="es-ES"/>
        </w:rPr>
      </w:pPr>
    </w:p>
    <w:p w:rsidR="004D45B9" w:rsidRPr="00EC42C3" w:rsidRDefault="00EC42C3" w:rsidP="004D45B9">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lang w:val="es-ES"/>
        </w:rPr>
        <w:t xml:space="preserve">A su vez, </w:t>
      </w:r>
      <w:r w:rsidRPr="00EC42C3">
        <w:rPr>
          <w:rFonts w:ascii="Times New Roman" w:hAnsi="Times New Roman" w:cs="Times New Roman"/>
          <w:sz w:val="28"/>
          <w:szCs w:val="28"/>
          <w:lang w:val="es-ES"/>
        </w:rPr>
        <w:t xml:space="preserve">en </w:t>
      </w:r>
      <w:r w:rsidRPr="00EC42C3">
        <w:rPr>
          <w:rFonts w:ascii="Times New Roman" w:hAnsi="Times New Roman" w:cs="Times New Roman"/>
          <w:sz w:val="28"/>
          <w:szCs w:val="28"/>
          <w:lang w:val="es-ES"/>
        </w:rPr>
        <w:t>la Sentencia C-1033 de 2002</w:t>
      </w:r>
      <w:r w:rsidRPr="00EC42C3">
        <w:rPr>
          <w:rFonts w:ascii="Times New Roman" w:hAnsi="Times New Roman" w:cs="Times New Roman"/>
          <w:sz w:val="28"/>
          <w:szCs w:val="28"/>
          <w:lang w:val="es-ES"/>
        </w:rPr>
        <w:t xml:space="preserve"> se </w:t>
      </w:r>
      <w:r w:rsidRPr="00EC42C3">
        <w:rPr>
          <w:rFonts w:ascii="Times New Roman" w:hAnsi="Times New Roman" w:cs="Times New Roman"/>
          <w:sz w:val="28"/>
          <w:szCs w:val="28"/>
          <w:lang w:val="es-ES"/>
        </w:rPr>
        <w:t>extendió a los compañeros permanentes la apli</w:t>
      </w:r>
      <w:r w:rsidRPr="00EC42C3">
        <w:rPr>
          <w:rFonts w:ascii="Times New Roman" w:hAnsi="Times New Roman" w:cs="Times New Roman"/>
          <w:sz w:val="28"/>
          <w:szCs w:val="28"/>
          <w:lang w:val="es-ES"/>
        </w:rPr>
        <w:t xml:space="preserve">cación de las normas del Código Civil </w:t>
      </w:r>
      <w:r w:rsidRPr="00EC42C3">
        <w:rPr>
          <w:rFonts w:ascii="Times New Roman" w:hAnsi="Times New Roman" w:cs="Times New Roman"/>
          <w:sz w:val="28"/>
          <w:szCs w:val="28"/>
          <w:lang w:val="es-ES"/>
        </w:rPr>
        <w:t xml:space="preserve">sobre la obligación alimentaria entre cónyuges. La Sala concluyó </w:t>
      </w:r>
      <w:r w:rsidRPr="00EC42C3">
        <w:rPr>
          <w:rFonts w:ascii="Times New Roman" w:hAnsi="Times New Roman" w:cs="Times New Roman"/>
          <w:sz w:val="28"/>
          <w:szCs w:val="28"/>
        </w:rPr>
        <w:t>que el principio de solidaridad impone, tanto en el matrimonio como en la unión marital de hecho, el deber de proveer los medios de subsistencia a los mi</w:t>
      </w:r>
      <w:r w:rsidRPr="00EC42C3">
        <w:rPr>
          <w:rFonts w:ascii="Times New Roman" w:hAnsi="Times New Roman" w:cs="Times New Roman"/>
          <w:sz w:val="28"/>
          <w:szCs w:val="28"/>
        </w:rPr>
        <w:t>embros de la familia que carecen de capacidad para obtenerlos por sí mismos. En consecuencia, consideró desproporcionado establecer un trato desigual en materia de alimentos únicamente por la forma de conformación del vínculo familiar.</w:t>
      </w:r>
    </w:p>
    <w:p w:rsidR="005A6051" w:rsidRPr="00EC42C3" w:rsidRDefault="00EC42C3" w:rsidP="004D45B9">
      <w:pPr>
        <w:rPr>
          <w:rFonts w:ascii="Times New Roman" w:hAnsi="Times New Roman" w:cs="Times New Roman"/>
          <w:sz w:val="28"/>
          <w:szCs w:val="28"/>
          <w:lang w:val="es-ES"/>
        </w:rPr>
      </w:pPr>
    </w:p>
    <w:p w:rsidR="004D45B9" w:rsidRPr="00EC42C3" w:rsidRDefault="00EC42C3" w:rsidP="004D45B9">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lang w:val="es-ES"/>
        </w:rPr>
        <w:t xml:space="preserve">En </w:t>
      </w:r>
      <w:r w:rsidRPr="00EC42C3">
        <w:rPr>
          <w:rFonts w:ascii="Times New Roman" w:hAnsi="Times New Roman" w:cs="Times New Roman"/>
          <w:sz w:val="28"/>
          <w:szCs w:val="28"/>
        </w:rPr>
        <w:t>la Sentencia C-0</w:t>
      </w:r>
      <w:r w:rsidRPr="00EC42C3">
        <w:rPr>
          <w:rFonts w:ascii="Times New Roman" w:hAnsi="Times New Roman" w:cs="Times New Roman"/>
          <w:sz w:val="28"/>
          <w:szCs w:val="28"/>
        </w:rPr>
        <w:t>16 de 2004</w:t>
      </w:r>
      <w:r w:rsidRPr="00EC42C3">
        <w:rPr>
          <w:rFonts w:ascii="Times New Roman" w:hAnsi="Times New Roman" w:cs="Times New Roman"/>
          <w:sz w:val="28"/>
          <w:szCs w:val="28"/>
        </w:rPr>
        <w:t xml:space="preserve"> se </w:t>
      </w:r>
      <w:r w:rsidRPr="00EC42C3">
        <w:rPr>
          <w:rFonts w:ascii="Times New Roman" w:hAnsi="Times New Roman" w:cs="Times New Roman"/>
          <w:sz w:val="28"/>
          <w:szCs w:val="28"/>
        </w:rPr>
        <w:t xml:space="preserve">exhortó al Congreso a extender el delito de inasistencia alimentaria a los compañeros permanentes de una unión marital. La </w:t>
      </w:r>
      <w:r w:rsidRPr="00EC42C3">
        <w:rPr>
          <w:rFonts w:ascii="Times New Roman" w:hAnsi="Times New Roman" w:cs="Times New Roman"/>
          <w:sz w:val="28"/>
          <w:szCs w:val="28"/>
        </w:rPr>
        <w:t>Sala</w:t>
      </w:r>
      <w:r w:rsidRPr="00EC42C3">
        <w:rPr>
          <w:rFonts w:ascii="Times New Roman" w:hAnsi="Times New Roman" w:cs="Times New Roman"/>
          <w:sz w:val="28"/>
          <w:szCs w:val="28"/>
        </w:rPr>
        <w:t xml:space="preserve"> señaló que la obligación legal de proveer alimentos es idéntica tanto para los cónyuges como para los compañeros p</w:t>
      </w:r>
      <w:r w:rsidRPr="00EC42C3">
        <w:rPr>
          <w:rFonts w:ascii="Times New Roman" w:hAnsi="Times New Roman" w:cs="Times New Roman"/>
          <w:sz w:val="28"/>
          <w:szCs w:val="28"/>
        </w:rPr>
        <w:t>ermanentes, por lo que el instrumento punitivo previsto por el Legislador debía aplicarse por igual a ambas formas de constituir una familia.</w:t>
      </w:r>
    </w:p>
    <w:p w:rsidR="00474E2C" w:rsidRPr="00EC42C3" w:rsidRDefault="00EC42C3" w:rsidP="00474E2C">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rPr>
        <w:t xml:space="preserve">En materia tributaria, </w:t>
      </w:r>
      <w:r w:rsidRPr="00EC42C3">
        <w:rPr>
          <w:rFonts w:ascii="Times New Roman" w:hAnsi="Times New Roman" w:cs="Times New Roman"/>
          <w:sz w:val="28"/>
          <w:szCs w:val="28"/>
        </w:rPr>
        <w:t>l</w:t>
      </w:r>
      <w:r w:rsidRPr="00EC42C3">
        <w:rPr>
          <w:rFonts w:ascii="Times New Roman" w:hAnsi="Times New Roman" w:cs="Times New Roman"/>
          <w:sz w:val="28"/>
          <w:szCs w:val="28"/>
          <w:lang w:val="es-ES"/>
        </w:rPr>
        <w:t>a Sentencia C-875 de 2005 estudió la constitucionalidad de los artículos 8, 108-1, 238 y 3</w:t>
      </w:r>
      <w:r w:rsidRPr="00EC42C3">
        <w:rPr>
          <w:rFonts w:ascii="Times New Roman" w:hAnsi="Times New Roman" w:cs="Times New Roman"/>
          <w:sz w:val="28"/>
          <w:szCs w:val="28"/>
          <w:lang w:val="es-ES"/>
        </w:rPr>
        <w:t xml:space="preserve">87 del Decreto 624 de 1989 (Estatuto Tributario), que otorgaban beneficios fiscales únicamente a los cónyuges y no a los compañeros permanentes. La </w:t>
      </w:r>
      <w:r w:rsidRPr="00EC42C3">
        <w:rPr>
          <w:rFonts w:ascii="Times New Roman" w:hAnsi="Times New Roman" w:cs="Times New Roman"/>
          <w:sz w:val="28"/>
          <w:szCs w:val="28"/>
          <w:lang w:val="es-ES"/>
        </w:rPr>
        <w:t>Sala</w:t>
      </w:r>
      <w:r w:rsidRPr="00EC42C3">
        <w:rPr>
          <w:rFonts w:ascii="Times New Roman" w:hAnsi="Times New Roman" w:cs="Times New Roman"/>
          <w:sz w:val="28"/>
          <w:szCs w:val="28"/>
          <w:lang w:val="es-ES"/>
        </w:rPr>
        <w:t xml:space="preserve"> concluyó que esta omisión legislativa relativa vulneraba los artículos 13 y 42 de la Constitución, pues</w:t>
      </w:r>
      <w:r w:rsidRPr="00EC42C3">
        <w:rPr>
          <w:rFonts w:ascii="Times New Roman" w:hAnsi="Times New Roman" w:cs="Times New Roman"/>
          <w:sz w:val="28"/>
          <w:szCs w:val="28"/>
          <w:lang w:val="es-ES"/>
        </w:rPr>
        <w:t xml:space="preserve"> desconocía el principio de igualdad familiar al excluir a las familias conformadas por unión marital de hecho. En consecuencia, declaró exequibles las disposiciones demandadas bajo el entendido de que sus beneficios y efectos deben aplicarse también a los</w:t>
      </w:r>
      <w:r w:rsidRPr="00EC42C3">
        <w:rPr>
          <w:rFonts w:ascii="Times New Roman" w:hAnsi="Times New Roman" w:cs="Times New Roman"/>
          <w:sz w:val="28"/>
          <w:szCs w:val="28"/>
          <w:lang w:val="es-ES"/>
        </w:rPr>
        <w:t xml:space="preserve"> compañeros o compañeras permanentes que cumplan los requisitos legales.</w:t>
      </w:r>
    </w:p>
    <w:p w:rsidR="00474E2C" w:rsidRPr="00EC42C3" w:rsidRDefault="00EC42C3" w:rsidP="00474E2C">
      <w:pPr>
        <w:rPr>
          <w:rFonts w:ascii="Times New Roman" w:hAnsi="Times New Roman" w:cs="Times New Roman"/>
          <w:sz w:val="28"/>
          <w:szCs w:val="28"/>
          <w:lang w:val="es-ES"/>
        </w:rPr>
      </w:pPr>
    </w:p>
    <w:p w:rsidR="00FC2715" w:rsidRPr="00EC42C3" w:rsidRDefault="00EC42C3" w:rsidP="00FC2715">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lang w:val="es-ES"/>
        </w:rPr>
        <w:t>E</w:t>
      </w:r>
      <w:r w:rsidRPr="00EC42C3">
        <w:rPr>
          <w:rFonts w:ascii="Times New Roman" w:hAnsi="Times New Roman" w:cs="Times New Roman"/>
          <w:sz w:val="28"/>
          <w:szCs w:val="28"/>
          <w:lang w:val="es-ES"/>
        </w:rPr>
        <w:t>n materia de seguridad social,</w:t>
      </w:r>
      <w:r w:rsidRPr="00EC42C3">
        <w:rPr>
          <w:rFonts w:ascii="Times New Roman" w:hAnsi="Times New Roman" w:cs="Times New Roman"/>
          <w:sz w:val="28"/>
          <w:szCs w:val="28"/>
          <w:lang w:val="es-ES"/>
        </w:rPr>
        <w:t xml:space="preserve"> </w:t>
      </w:r>
      <w:r w:rsidRPr="00EC42C3">
        <w:rPr>
          <w:rFonts w:ascii="Times New Roman" w:hAnsi="Times New Roman" w:cs="Times New Roman"/>
          <w:sz w:val="28"/>
          <w:szCs w:val="28"/>
        </w:rPr>
        <w:t xml:space="preserve">la Sentencia C-521 de 2007 declaró inexequible el aparte del artículo 163 de la Ley 100 de 1993 que exigía dos años de convivencia efectiva para que el compañero o compañera permanente fuera beneficiario del sistema de salud. La </w:t>
      </w:r>
      <w:r w:rsidRPr="00EC42C3">
        <w:rPr>
          <w:rFonts w:ascii="Times New Roman" w:hAnsi="Times New Roman" w:cs="Times New Roman"/>
          <w:sz w:val="28"/>
          <w:szCs w:val="28"/>
        </w:rPr>
        <w:t>Sala</w:t>
      </w:r>
      <w:r w:rsidRPr="00EC42C3">
        <w:rPr>
          <w:rFonts w:ascii="Times New Roman" w:hAnsi="Times New Roman" w:cs="Times New Roman"/>
          <w:sz w:val="28"/>
          <w:szCs w:val="28"/>
        </w:rPr>
        <w:t xml:space="preserve"> consideró que dicho re</w:t>
      </w:r>
      <w:r w:rsidRPr="00EC42C3">
        <w:rPr>
          <w:rFonts w:ascii="Times New Roman" w:hAnsi="Times New Roman" w:cs="Times New Roman"/>
          <w:sz w:val="28"/>
          <w:szCs w:val="28"/>
        </w:rPr>
        <w:t>quisito trasladaba de forma inadecuada al ámbito del derecho a la salud las reglas patrimoniales sobre la sociedad patrimonial, constituyendo una discriminación contraria a la Constitución basada en la forma de conforma</w:t>
      </w:r>
      <w:r w:rsidRPr="00EC42C3">
        <w:rPr>
          <w:rFonts w:ascii="Times New Roman" w:hAnsi="Times New Roman" w:cs="Times New Roman"/>
          <w:sz w:val="28"/>
          <w:szCs w:val="28"/>
        </w:rPr>
        <w:t xml:space="preserve">r la </w:t>
      </w:r>
      <w:r w:rsidRPr="00EC42C3">
        <w:rPr>
          <w:rFonts w:ascii="Times New Roman" w:hAnsi="Times New Roman" w:cs="Times New Roman"/>
          <w:sz w:val="28"/>
          <w:szCs w:val="28"/>
        </w:rPr>
        <w:t>familia.</w:t>
      </w:r>
    </w:p>
    <w:p w:rsidR="00FC2715" w:rsidRPr="00EC42C3" w:rsidRDefault="00EC42C3" w:rsidP="00FC2715">
      <w:pPr>
        <w:pStyle w:val="Prrafodelista"/>
        <w:tabs>
          <w:tab w:val="left" w:pos="426"/>
        </w:tabs>
        <w:ind w:left="0"/>
        <w:contextualSpacing w:val="0"/>
        <w:jc w:val="both"/>
        <w:rPr>
          <w:rFonts w:ascii="Times New Roman" w:hAnsi="Times New Roman" w:cs="Times New Roman"/>
          <w:b/>
          <w:bCs/>
          <w:i/>
          <w:iCs/>
          <w:sz w:val="28"/>
          <w:szCs w:val="28"/>
        </w:rPr>
      </w:pPr>
    </w:p>
    <w:p w:rsidR="00531429" w:rsidRPr="00EC42C3" w:rsidRDefault="00EC42C3" w:rsidP="00531429">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rPr>
        <w:t xml:space="preserve">En asuntos de derecho </w:t>
      </w:r>
      <w:r w:rsidRPr="00EC42C3">
        <w:rPr>
          <w:rFonts w:ascii="Times New Roman" w:hAnsi="Times New Roman" w:cs="Times New Roman"/>
          <w:sz w:val="28"/>
          <w:szCs w:val="28"/>
        </w:rPr>
        <w:t>de seguros, en la Sentencia C-844 de 2010</w:t>
      </w:r>
      <w:r w:rsidRPr="00EC42C3">
        <w:rPr>
          <w:rFonts w:ascii="Times New Roman" w:hAnsi="Times New Roman" w:cs="Times New Roman"/>
          <w:sz w:val="28"/>
          <w:szCs w:val="28"/>
        </w:rPr>
        <w:t xml:space="preserve"> se</w:t>
      </w:r>
      <w:r w:rsidRPr="00EC42C3">
        <w:rPr>
          <w:rFonts w:ascii="Times New Roman" w:hAnsi="Times New Roman" w:cs="Times New Roman"/>
          <w:sz w:val="28"/>
          <w:szCs w:val="28"/>
        </w:rPr>
        <w:t xml:space="preserve"> </w:t>
      </w:r>
      <w:r w:rsidRPr="00EC42C3">
        <w:rPr>
          <w:rFonts w:ascii="Times New Roman" w:hAnsi="Times New Roman" w:cs="Times New Roman"/>
          <w:sz w:val="28"/>
          <w:szCs w:val="28"/>
          <w:lang w:val="es-ES"/>
        </w:rPr>
        <w:t xml:space="preserve">estudió la constitucionalidad del artículo 1142 del Código de Comercio, que solo reconocía al cónyuge del asegurado como beneficiario supletivo del seguro de vida cuando no se designaba expresamente a uno. La </w:t>
      </w:r>
      <w:r w:rsidRPr="00EC42C3">
        <w:rPr>
          <w:rFonts w:ascii="Times New Roman" w:hAnsi="Times New Roman" w:cs="Times New Roman"/>
          <w:sz w:val="28"/>
          <w:szCs w:val="28"/>
          <w:lang w:val="es-ES"/>
        </w:rPr>
        <w:t>Sa</w:t>
      </w:r>
      <w:r w:rsidRPr="00EC42C3">
        <w:rPr>
          <w:rFonts w:ascii="Times New Roman" w:hAnsi="Times New Roman" w:cs="Times New Roman"/>
          <w:sz w:val="28"/>
          <w:szCs w:val="28"/>
          <w:lang w:val="es-ES"/>
        </w:rPr>
        <w:t>la</w:t>
      </w:r>
      <w:r w:rsidRPr="00EC42C3">
        <w:rPr>
          <w:rFonts w:ascii="Times New Roman" w:hAnsi="Times New Roman" w:cs="Times New Roman"/>
          <w:sz w:val="28"/>
          <w:szCs w:val="28"/>
          <w:lang w:val="es-ES"/>
        </w:rPr>
        <w:t xml:space="preserve"> concluyó que esta disposición devino parcialmente inconstitucional tras la entrada en vigor de la Constitución de 1991, pues vulneraba el derecho a la igualdad y la protección de todas las formas de familia al excluir a los compañeros permanentes de est</w:t>
      </w:r>
      <w:r w:rsidRPr="00EC42C3">
        <w:rPr>
          <w:rFonts w:ascii="Times New Roman" w:hAnsi="Times New Roman" w:cs="Times New Roman"/>
          <w:sz w:val="28"/>
          <w:szCs w:val="28"/>
          <w:lang w:val="es-ES"/>
        </w:rPr>
        <w:t xml:space="preserve">e beneficio. En consecuencia, </w:t>
      </w:r>
      <w:r w:rsidRPr="00EC42C3">
        <w:rPr>
          <w:rFonts w:ascii="Times New Roman" w:hAnsi="Times New Roman" w:cs="Times New Roman"/>
          <w:sz w:val="28"/>
          <w:szCs w:val="28"/>
          <w:lang w:val="es-ES"/>
        </w:rPr>
        <w:t>se</w:t>
      </w:r>
      <w:r w:rsidRPr="00EC42C3">
        <w:rPr>
          <w:rFonts w:ascii="Times New Roman" w:hAnsi="Times New Roman" w:cs="Times New Roman"/>
          <w:sz w:val="28"/>
          <w:szCs w:val="28"/>
          <w:lang w:val="es-ES"/>
        </w:rPr>
        <w:t xml:space="preserve"> declaró exequible la expresión </w:t>
      </w:r>
      <w:r w:rsidRPr="00EC42C3">
        <w:rPr>
          <w:rFonts w:ascii="Times New Roman" w:hAnsi="Times New Roman" w:cs="Times New Roman"/>
          <w:i/>
          <w:iCs/>
          <w:sz w:val="28"/>
          <w:szCs w:val="28"/>
          <w:lang w:val="es-ES"/>
        </w:rPr>
        <w:t>“cónyuge”</w:t>
      </w:r>
      <w:r w:rsidRPr="00EC42C3">
        <w:rPr>
          <w:rFonts w:ascii="Times New Roman" w:hAnsi="Times New Roman" w:cs="Times New Roman"/>
          <w:sz w:val="28"/>
          <w:szCs w:val="28"/>
          <w:lang w:val="es-ES"/>
        </w:rPr>
        <w:t xml:space="preserve"> del artículo 1142, bajo el entendido de que también cobija, en igualdad de derechos, a los compañeros o compañeras permanentes del asegurado.</w:t>
      </w:r>
    </w:p>
    <w:p w:rsidR="00531429" w:rsidRPr="00EC42C3" w:rsidRDefault="00EC42C3" w:rsidP="00531429">
      <w:pPr>
        <w:rPr>
          <w:rFonts w:ascii="Times New Roman" w:hAnsi="Times New Roman" w:cs="Times New Roman"/>
          <w:sz w:val="28"/>
          <w:szCs w:val="28"/>
          <w:lang w:val="es-ES"/>
        </w:rPr>
      </w:pPr>
    </w:p>
    <w:p w:rsidR="00FC2715" w:rsidRPr="00EC42C3" w:rsidRDefault="00EC42C3" w:rsidP="00FC2715">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lang w:val="es-ES"/>
        </w:rPr>
        <w:t xml:space="preserve">En </w:t>
      </w:r>
      <w:r w:rsidRPr="00EC42C3">
        <w:rPr>
          <w:rFonts w:ascii="Times New Roman" w:hAnsi="Times New Roman" w:cs="Times New Roman"/>
          <w:sz w:val="28"/>
          <w:szCs w:val="28"/>
          <w:lang w:val="es-ES"/>
        </w:rPr>
        <w:t>el ámbito</w:t>
      </w:r>
      <w:r w:rsidRPr="00EC42C3">
        <w:rPr>
          <w:rFonts w:ascii="Times New Roman" w:hAnsi="Times New Roman" w:cs="Times New Roman"/>
          <w:sz w:val="28"/>
          <w:szCs w:val="28"/>
          <w:lang w:val="es-ES"/>
        </w:rPr>
        <w:t xml:space="preserve"> civil, las Sentencias C-28</w:t>
      </w:r>
      <w:r w:rsidRPr="00EC42C3">
        <w:rPr>
          <w:rFonts w:ascii="Times New Roman" w:hAnsi="Times New Roman" w:cs="Times New Roman"/>
          <w:sz w:val="28"/>
          <w:szCs w:val="28"/>
          <w:lang w:val="es-ES"/>
        </w:rPr>
        <w:t xml:space="preserve">3 de 2011 y C-238 de 2012 </w:t>
      </w:r>
      <w:r w:rsidRPr="00EC42C3">
        <w:rPr>
          <w:rFonts w:ascii="Times New Roman" w:hAnsi="Times New Roman" w:cs="Times New Roman"/>
          <w:sz w:val="28"/>
          <w:szCs w:val="28"/>
          <w:lang w:val="es-ES"/>
        </w:rPr>
        <w:t xml:space="preserve">extendieron a los compañeros permanentes las normas del Código Civil sobre porción conyugal y aptitud hereditaria de los cónyuges. La </w:t>
      </w:r>
      <w:r w:rsidRPr="00EC42C3">
        <w:rPr>
          <w:rFonts w:ascii="Times New Roman" w:hAnsi="Times New Roman" w:cs="Times New Roman"/>
          <w:sz w:val="28"/>
          <w:szCs w:val="28"/>
          <w:lang w:val="es-ES"/>
        </w:rPr>
        <w:t>Sala</w:t>
      </w:r>
      <w:r w:rsidRPr="00EC42C3">
        <w:rPr>
          <w:rFonts w:ascii="Times New Roman" w:hAnsi="Times New Roman" w:cs="Times New Roman"/>
          <w:sz w:val="28"/>
          <w:szCs w:val="28"/>
          <w:lang w:val="es-ES"/>
        </w:rPr>
        <w:t xml:space="preserve"> sostuvo que tanto el matrimonio como la unión marital de hecho comparten la vocación de un </w:t>
      </w:r>
      <w:r w:rsidRPr="00EC42C3">
        <w:rPr>
          <w:rFonts w:ascii="Times New Roman" w:hAnsi="Times New Roman" w:cs="Times New Roman"/>
          <w:sz w:val="28"/>
          <w:szCs w:val="28"/>
          <w:lang w:val="es-ES"/>
        </w:rPr>
        <w:t>proyecto de vida basado en apoyo y ayuda mutua. Por ello, ante la muerte de uno de los miembros de la pareja, debía mantenerse un sistema de protección patrimonial que asegurara el sostenimiento del cónyuge o compañero supérstite, evitando que la informali</w:t>
      </w:r>
      <w:r w:rsidRPr="00EC42C3">
        <w:rPr>
          <w:rFonts w:ascii="Times New Roman" w:hAnsi="Times New Roman" w:cs="Times New Roman"/>
          <w:sz w:val="28"/>
          <w:szCs w:val="28"/>
          <w:lang w:val="es-ES"/>
        </w:rPr>
        <w:t>dad de la unión marital implicara desamparo o la inaplicación de dichas garantías patrimoniales.</w:t>
      </w:r>
    </w:p>
    <w:p w:rsidR="00047118" w:rsidRPr="00EC42C3" w:rsidRDefault="00EC42C3" w:rsidP="00FC2715">
      <w:pPr>
        <w:rPr>
          <w:rFonts w:ascii="Times New Roman" w:hAnsi="Times New Roman" w:cs="Times New Roman"/>
          <w:b/>
          <w:bCs/>
          <w:i/>
          <w:iCs/>
          <w:sz w:val="28"/>
          <w:szCs w:val="28"/>
        </w:rPr>
      </w:pPr>
    </w:p>
    <w:p w:rsidR="00047118" w:rsidRPr="00EC42C3" w:rsidRDefault="00EC42C3" w:rsidP="00047118">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rPr>
        <w:t xml:space="preserve">En materia pensional, en </w:t>
      </w:r>
      <w:r w:rsidRPr="00EC42C3">
        <w:rPr>
          <w:rFonts w:ascii="Times New Roman" w:hAnsi="Times New Roman" w:cs="Times New Roman"/>
          <w:sz w:val="28"/>
          <w:szCs w:val="28"/>
          <w:lang w:val="es-ES"/>
        </w:rPr>
        <w:t>la Sentencia C-456 de 2015</w:t>
      </w:r>
      <w:r w:rsidRPr="00EC42C3">
        <w:rPr>
          <w:rFonts w:ascii="Times New Roman" w:hAnsi="Times New Roman" w:cs="Times New Roman"/>
          <w:sz w:val="28"/>
          <w:szCs w:val="28"/>
          <w:lang w:val="es-ES"/>
        </w:rPr>
        <w:t xml:space="preserve"> se </w:t>
      </w:r>
      <w:r w:rsidRPr="00EC42C3">
        <w:rPr>
          <w:rFonts w:ascii="Times New Roman" w:hAnsi="Times New Roman" w:cs="Times New Roman"/>
          <w:sz w:val="28"/>
          <w:szCs w:val="28"/>
          <w:lang w:val="es-ES"/>
        </w:rPr>
        <w:t xml:space="preserve">analizó la constitucionalidad de la expresión </w:t>
      </w:r>
      <w:r w:rsidRPr="00EC42C3">
        <w:rPr>
          <w:rFonts w:ascii="Times New Roman" w:hAnsi="Times New Roman" w:cs="Times New Roman"/>
          <w:i/>
          <w:iCs/>
          <w:sz w:val="28"/>
          <w:szCs w:val="28"/>
          <w:lang w:val="es-ES"/>
        </w:rPr>
        <w:t>“esposa o esposo”</w:t>
      </w:r>
      <w:r w:rsidRPr="00EC42C3">
        <w:rPr>
          <w:rFonts w:ascii="Times New Roman" w:hAnsi="Times New Roman" w:cs="Times New Roman"/>
          <w:i/>
          <w:iCs/>
          <w:sz w:val="28"/>
          <w:szCs w:val="28"/>
          <w:lang w:val="es-ES"/>
        </w:rPr>
        <w:t>,</w:t>
      </w:r>
      <w:r w:rsidRPr="00EC42C3">
        <w:rPr>
          <w:rFonts w:ascii="Times New Roman" w:hAnsi="Times New Roman" w:cs="Times New Roman"/>
          <w:sz w:val="28"/>
          <w:szCs w:val="28"/>
          <w:lang w:val="es-ES"/>
        </w:rPr>
        <w:t xml:space="preserve"> contenida en el numeral 3.7.2 del artículo 3 de la Ley 923 de 2004, referente al régimen prestacional especial de los miembros de la Fuerza Pública. La </w:t>
      </w:r>
      <w:r w:rsidRPr="00EC42C3">
        <w:rPr>
          <w:rFonts w:ascii="Times New Roman" w:hAnsi="Times New Roman" w:cs="Times New Roman"/>
          <w:sz w:val="28"/>
          <w:szCs w:val="28"/>
          <w:lang w:val="es-ES"/>
        </w:rPr>
        <w:t>Sala</w:t>
      </w:r>
      <w:r w:rsidRPr="00EC42C3">
        <w:rPr>
          <w:rFonts w:ascii="Times New Roman" w:hAnsi="Times New Roman" w:cs="Times New Roman"/>
          <w:sz w:val="28"/>
          <w:szCs w:val="28"/>
          <w:lang w:val="es-ES"/>
        </w:rPr>
        <w:t xml:space="preserve"> determinó que establecer como beneficiario único de la sustitución de la asignación de retiro o pe</w:t>
      </w:r>
      <w:r w:rsidRPr="00EC42C3">
        <w:rPr>
          <w:rFonts w:ascii="Times New Roman" w:hAnsi="Times New Roman" w:cs="Times New Roman"/>
          <w:sz w:val="28"/>
          <w:szCs w:val="28"/>
          <w:lang w:val="es-ES"/>
        </w:rPr>
        <w:t>nsión de invalidez o sobreviviente al cónyuge y no al compañero permanente, cuando hubo convivencia simultánea durante los cinco años previos al fallecimiento del causante, resultaba discriminatorio. En consecuencia, declaró la exequibilidad condicionada d</w:t>
      </w:r>
      <w:r w:rsidRPr="00EC42C3">
        <w:rPr>
          <w:rFonts w:ascii="Times New Roman" w:hAnsi="Times New Roman" w:cs="Times New Roman"/>
          <w:sz w:val="28"/>
          <w:szCs w:val="28"/>
          <w:lang w:val="es-ES"/>
        </w:rPr>
        <w:t>e la norma, en el entendido de que, además del esposo o esposa, también serán beneficiarios los compañeros permanentes, dividiendo la prestación proporcionalmente al tiempo de convivencia con el fallecido.</w:t>
      </w:r>
    </w:p>
    <w:p w:rsidR="00047118" w:rsidRPr="00EC42C3" w:rsidRDefault="00EC42C3" w:rsidP="00047118">
      <w:pPr>
        <w:rPr>
          <w:rFonts w:ascii="Times New Roman" w:hAnsi="Times New Roman" w:cs="Times New Roman"/>
          <w:sz w:val="28"/>
          <w:szCs w:val="28"/>
          <w:lang w:val="es-ES"/>
        </w:rPr>
      </w:pPr>
    </w:p>
    <w:p w:rsidR="00236A72" w:rsidRPr="00EC42C3" w:rsidRDefault="00EC42C3" w:rsidP="005A6051">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lang w:val="es-ES"/>
        </w:rPr>
        <w:t xml:space="preserve">A su turno, la Sentencia C-117 de 2021 declaró </w:t>
      </w:r>
      <w:r w:rsidRPr="00EC42C3">
        <w:rPr>
          <w:rFonts w:ascii="Times New Roman" w:hAnsi="Times New Roman" w:cs="Times New Roman"/>
          <w:sz w:val="28"/>
          <w:szCs w:val="28"/>
          <w:lang w:val="es-ES"/>
        </w:rPr>
        <w:t>co</w:t>
      </w:r>
      <w:r w:rsidRPr="00EC42C3">
        <w:rPr>
          <w:rFonts w:ascii="Times New Roman" w:hAnsi="Times New Roman" w:cs="Times New Roman"/>
          <w:sz w:val="28"/>
          <w:szCs w:val="28"/>
          <w:lang w:val="es-ES"/>
        </w:rPr>
        <w:t xml:space="preserve">ndicionadamente </w:t>
      </w:r>
      <w:r w:rsidRPr="00EC42C3">
        <w:rPr>
          <w:rFonts w:ascii="Times New Roman" w:hAnsi="Times New Roman" w:cs="Times New Roman"/>
          <w:sz w:val="28"/>
          <w:szCs w:val="28"/>
          <w:lang w:val="es-ES"/>
        </w:rPr>
        <w:t xml:space="preserve">exequible el numeral 4º del artículo 411 del Código Civil, bajo el entendido </w:t>
      </w:r>
      <w:r w:rsidRPr="00EC42C3">
        <w:rPr>
          <w:rFonts w:ascii="Times New Roman" w:hAnsi="Times New Roman" w:cs="Times New Roman"/>
          <w:sz w:val="28"/>
          <w:szCs w:val="28"/>
          <w:lang w:val="es-ES"/>
        </w:rPr>
        <w:t xml:space="preserve">de </w:t>
      </w:r>
      <w:r w:rsidRPr="00EC42C3">
        <w:rPr>
          <w:rFonts w:ascii="Times New Roman" w:hAnsi="Times New Roman" w:cs="Times New Roman"/>
          <w:sz w:val="28"/>
          <w:szCs w:val="28"/>
          <w:lang w:val="es-ES"/>
        </w:rPr>
        <w:t>que esa disposición es aplicable a los compañeros permanentes que, al término de una unión marital de hecho, les sea imputable una situación de violencia intraf</w:t>
      </w:r>
      <w:r w:rsidRPr="00EC42C3">
        <w:rPr>
          <w:rFonts w:ascii="Times New Roman" w:hAnsi="Times New Roman" w:cs="Times New Roman"/>
          <w:sz w:val="28"/>
          <w:szCs w:val="28"/>
          <w:lang w:val="es-ES"/>
        </w:rPr>
        <w:t xml:space="preserve">amiliar o conductas a las que se refiere el numeral 3º del artículo 154 de ese mismo código. En esa ocasión, la </w:t>
      </w:r>
      <w:r w:rsidRPr="00EC42C3">
        <w:rPr>
          <w:rFonts w:ascii="Times New Roman" w:hAnsi="Times New Roman" w:cs="Times New Roman"/>
          <w:sz w:val="28"/>
          <w:szCs w:val="28"/>
          <w:lang w:val="es-ES"/>
        </w:rPr>
        <w:t>Sala</w:t>
      </w:r>
      <w:r w:rsidRPr="00EC42C3">
        <w:rPr>
          <w:rFonts w:ascii="Times New Roman" w:hAnsi="Times New Roman" w:cs="Times New Roman"/>
          <w:sz w:val="28"/>
          <w:szCs w:val="28"/>
          <w:lang w:val="es-ES"/>
        </w:rPr>
        <w:t xml:space="preserve"> determinó que las mujeres compañeras permanentes de una unión marital de hecho tienen derecho a alimentos ante hechos de violencia intrafam</w:t>
      </w:r>
      <w:r w:rsidRPr="00EC42C3">
        <w:rPr>
          <w:rFonts w:ascii="Times New Roman" w:hAnsi="Times New Roman" w:cs="Times New Roman"/>
          <w:sz w:val="28"/>
          <w:szCs w:val="28"/>
          <w:lang w:val="es-ES"/>
        </w:rPr>
        <w:t>iliar</w:t>
      </w:r>
      <w:r w:rsidRPr="00EC42C3">
        <w:rPr>
          <w:rFonts w:ascii="Times New Roman" w:hAnsi="Times New Roman" w:cs="Times New Roman"/>
          <w:sz w:val="28"/>
          <w:szCs w:val="28"/>
          <w:lang w:val="es-ES"/>
        </w:rPr>
        <w:t>,</w:t>
      </w:r>
      <w:r w:rsidRPr="00EC42C3">
        <w:rPr>
          <w:rFonts w:ascii="Times New Roman" w:hAnsi="Times New Roman" w:cs="Times New Roman"/>
          <w:sz w:val="28"/>
          <w:szCs w:val="28"/>
          <w:lang w:val="es-ES"/>
        </w:rPr>
        <w:t xml:space="preserve"> en igualdad de condiciones</w:t>
      </w:r>
      <w:r w:rsidRPr="00EC42C3">
        <w:rPr>
          <w:rFonts w:ascii="Times New Roman" w:hAnsi="Times New Roman" w:cs="Times New Roman"/>
          <w:sz w:val="28"/>
          <w:szCs w:val="28"/>
          <w:lang w:val="es-ES"/>
        </w:rPr>
        <w:t>,</w:t>
      </w:r>
      <w:r w:rsidRPr="00EC42C3">
        <w:rPr>
          <w:rFonts w:ascii="Times New Roman" w:hAnsi="Times New Roman" w:cs="Times New Roman"/>
          <w:sz w:val="28"/>
          <w:szCs w:val="28"/>
          <w:lang w:val="es-ES"/>
        </w:rPr>
        <w:t xml:space="preserve"> como ocurre con las mujeres casadas bajo un matrimonio solemne.</w:t>
      </w:r>
    </w:p>
    <w:p w:rsidR="005A6051" w:rsidRPr="00EC42C3" w:rsidRDefault="00EC42C3" w:rsidP="00236A72">
      <w:pPr>
        <w:pStyle w:val="Prrafodelista"/>
        <w:tabs>
          <w:tab w:val="left" w:pos="426"/>
        </w:tabs>
        <w:ind w:left="0"/>
        <w:contextualSpacing w:val="0"/>
        <w:jc w:val="both"/>
        <w:rPr>
          <w:rFonts w:ascii="Times New Roman" w:hAnsi="Times New Roman" w:cs="Times New Roman"/>
          <w:b/>
          <w:bCs/>
          <w:i/>
          <w:iCs/>
          <w:sz w:val="28"/>
          <w:szCs w:val="28"/>
        </w:rPr>
      </w:pPr>
    </w:p>
    <w:p w:rsidR="00236A72" w:rsidRPr="00EC42C3" w:rsidRDefault="00EC42C3" w:rsidP="005A6051">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lang w:val="es-ES"/>
        </w:rPr>
        <w:t>Más adelante</w:t>
      </w:r>
      <w:r w:rsidRPr="00EC42C3">
        <w:rPr>
          <w:rFonts w:ascii="Times New Roman" w:hAnsi="Times New Roman" w:cs="Times New Roman"/>
          <w:sz w:val="28"/>
          <w:szCs w:val="28"/>
          <w:lang w:val="es-ES"/>
        </w:rPr>
        <w:t xml:space="preserve">, la Sentencia C-315 de 2023 declaró </w:t>
      </w:r>
      <w:r w:rsidRPr="00EC42C3">
        <w:rPr>
          <w:rFonts w:ascii="Times New Roman" w:hAnsi="Times New Roman" w:cs="Times New Roman"/>
          <w:sz w:val="28"/>
          <w:szCs w:val="28"/>
          <w:lang w:val="es-ES"/>
        </w:rPr>
        <w:t xml:space="preserve">condicionadamente </w:t>
      </w:r>
      <w:r w:rsidRPr="00EC42C3">
        <w:rPr>
          <w:rFonts w:ascii="Times New Roman" w:hAnsi="Times New Roman" w:cs="Times New Roman"/>
          <w:sz w:val="28"/>
          <w:szCs w:val="28"/>
          <w:lang w:val="es-ES"/>
        </w:rPr>
        <w:t xml:space="preserve">exequible el vocablo </w:t>
      </w:r>
      <w:r w:rsidRPr="00EC42C3">
        <w:rPr>
          <w:rFonts w:ascii="Times New Roman" w:hAnsi="Times New Roman" w:cs="Times New Roman"/>
          <w:i/>
          <w:iCs/>
          <w:sz w:val="28"/>
          <w:szCs w:val="28"/>
          <w:lang w:val="es-ES"/>
        </w:rPr>
        <w:t>“cónyuges”</w:t>
      </w:r>
      <w:r w:rsidRPr="00EC42C3">
        <w:rPr>
          <w:rFonts w:ascii="Times New Roman" w:hAnsi="Times New Roman" w:cs="Times New Roman"/>
          <w:i/>
          <w:iCs/>
          <w:sz w:val="28"/>
          <w:szCs w:val="28"/>
          <w:lang w:val="es-ES"/>
        </w:rPr>
        <w:t>,</w:t>
      </w:r>
      <w:r w:rsidRPr="00EC42C3">
        <w:rPr>
          <w:rFonts w:ascii="Times New Roman" w:hAnsi="Times New Roman" w:cs="Times New Roman"/>
          <w:sz w:val="28"/>
          <w:szCs w:val="28"/>
          <w:lang w:val="es-ES"/>
        </w:rPr>
        <w:t xml:space="preserve"> contenido en el artículo 102 del Código de Comercio, baj</w:t>
      </w:r>
      <w:r w:rsidRPr="00EC42C3">
        <w:rPr>
          <w:rFonts w:ascii="Times New Roman" w:hAnsi="Times New Roman" w:cs="Times New Roman"/>
          <w:sz w:val="28"/>
          <w:szCs w:val="28"/>
          <w:lang w:val="es-ES"/>
        </w:rPr>
        <w:t xml:space="preserve">o el entendido de que ese término se refiere, en igualdad de derechos y deberes, a los cónyuges y compañeros permanentes de una unión marital de hecho, tanto de parejas de distinto sexo como de parejas del mismo sexo. En esa oportunidad, la </w:t>
      </w:r>
      <w:r w:rsidRPr="00EC42C3">
        <w:rPr>
          <w:rFonts w:ascii="Times New Roman" w:hAnsi="Times New Roman" w:cs="Times New Roman"/>
          <w:sz w:val="28"/>
          <w:szCs w:val="28"/>
          <w:lang w:val="es-ES"/>
        </w:rPr>
        <w:t>Sala</w:t>
      </w:r>
      <w:r w:rsidRPr="00EC42C3">
        <w:rPr>
          <w:rFonts w:ascii="Times New Roman" w:hAnsi="Times New Roman" w:cs="Times New Roman"/>
          <w:sz w:val="28"/>
          <w:szCs w:val="28"/>
          <w:lang w:val="es-ES"/>
        </w:rPr>
        <w:t xml:space="preserve"> concluyó q</w:t>
      </w:r>
      <w:r w:rsidRPr="00EC42C3">
        <w:rPr>
          <w:rFonts w:ascii="Times New Roman" w:hAnsi="Times New Roman" w:cs="Times New Roman"/>
          <w:sz w:val="28"/>
          <w:szCs w:val="28"/>
          <w:lang w:val="es-ES"/>
        </w:rPr>
        <w:t xml:space="preserve">ue una interpretación literal del término </w:t>
      </w:r>
      <w:r w:rsidRPr="00EC42C3">
        <w:rPr>
          <w:rFonts w:ascii="Times New Roman" w:hAnsi="Times New Roman" w:cs="Times New Roman"/>
          <w:i/>
          <w:iCs/>
          <w:sz w:val="28"/>
          <w:szCs w:val="28"/>
          <w:lang w:val="es-ES"/>
        </w:rPr>
        <w:t>“cónyuges”,</w:t>
      </w:r>
      <w:r w:rsidRPr="00EC42C3">
        <w:rPr>
          <w:rFonts w:ascii="Times New Roman" w:hAnsi="Times New Roman" w:cs="Times New Roman"/>
          <w:sz w:val="28"/>
          <w:szCs w:val="28"/>
          <w:lang w:val="es-ES"/>
        </w:rPr>
        <w:t xml:space="preserve"> que lo limitara únicamente a parejas heterosexuales unidas mediante contrato de matrimonio, resultaba discriminatoria y contraria al concepto vigente de familia protegido constitucionalmente. La Sala pr</w:t>
      </w:r>
      <w:r w:rsidRPr="00EC42C3">
        <w:rPr>
          <w:rFonts w:ascii="Times New Roman" w:hAnsi="Times New Roman" w:cs="Times New Roman"/>
          <w:sz w:val="28"/>
          <w:szCs w:val="28"/>
          <w:lang w:val="es-ES"/>
        </w:rPr>
        <w:t>ecisó que esta decisión armoniza el derecho comercial con los mandatos de igualdad y no discriminación establecidos en la Constitución y en los tratados internacionales de derechos humanos.</w:t>
      </w:r>
    </w:p>
    <w:p w:rsidR="00236A72" w:rsidRPr="00EC42C3" w:rsidRDefault="00EC42C3" w:rsidP="00236A72">
      <w:pPr>
        <w:pStyle w:val="Prrafodelista"/>
        <w:rPr>
          <w:rFonts w:ascii="Times New Roman" w:hAnsi="Times New Roman" w:cs="Times New Roman"/>
          <w:sz w:val="28"/>
          <w:szCs w:val="28"/>
          <w:lang w:val="es-ES"/>
        </w:rPr>
      </w:pPr>
    </w:p>
    <w:p w:rsidR="00FC2715" w:rsidRPr="00EC42C3" w:rsidRDefault="00EC42C3" w:rsidP="00467A03">
      <w:pPr>
        <w:pStyle w:val="Prrafodelista"/>
        <w:numPr>
          <w:ilvl w:val="0"/>
          <w:numId w:val="1"/>
        </w:numPr>
        <w:tabs>
          <w:tab w:val="left" w:pos="426"/>
        </w:tabs>
        <w:ind w:left="0" w:firstLine="0"/>
        <w:contextualSpacing w:val="0"/>
        <w:jc w:val="both"/>
        <w:rPr>
          <w:rFonts w:ascii="Times New Roman" w:hAnsi="Times New Roman" w:cs="Times New Roman"/>
          <w:sz w:val="28"/>
          <w:szCs w:val="28"/>
          <w:lang w:val="es-ES"/>
        </w:rPr>
      </w:pPr>
      <w:r w:rsidRPr="00EC42C3">
        <w:rPr>
          <w:rFonts w:ascii="Times New Roman" w:hAnsi="Times New Roman" w:cs="Times New Roman"/>
          <w:sz w:val="28"/>
          <w:szCs w:val="28"/>
          <w:lang w:val="es-ES"/>
        </w:rPr>
        <w:t xml:space="preserve">En síntesis, esta Corporación ha sostenido, con fundamento en el </w:t>
      </w:r>
      <w:r w:rsidRPr="00EC42C3">
        <w:rPr>
          <w:rFonts w:ascii="Times New Roman" w:hAnsi="Times New Roman" w:cs="Times New Roman"/>
          <w:sz w:val="28"/>
          <w:szCs w:val="28"/>
          <w:lang w:val="es-ES"/>
        </w:rPr>
        <w:t>artículo 42 de la Constitución, que las parejas conformadas por compañeros permanentes en unión marital de hecho reciben la misma protección que aquellas unidas mediante matrimonio. Sin embargo, esto no implica que la regulación deba ser idéntica para amba</w:t>
      </w:r>
      <w:r w:rsidRPr="00EC42C3">
        <w:rPr>
          <w:rFonts w:ascii="Times New Roman" w:hAnsi="Times New Roman" w:cs="Times New Roman"/>
          <w:sz w:val="28"/>
          <w:szCs w:val="28"/>
          <w:lang w:val="es-ES"/>
        </w:rPr>
        <w:t xml:space="preserve">s instituciones. En aplicación del principio de igualdad, no deberían existir normas que otorguen privilegios o mayores derechos a las personas casadas frente a quienes conforman una unión marital. No obstante, el Legislador puede, de manera excepcional y </w:t>
      </w:r>
      <w:r w:rsidRPr="00EC42C3">
        <w:rPr>
          <w:rFonts w:ascii="Times New Roman" w:hAnsi="Times New Roman" w:cs="Times New Roman"/>
          <w:sz w:val="28"/>
          <w:szCs w:val="28"/>
          <w:lang w:val="es-ES"/>
        </w:rPr>
        <w:t>con fundamento constitucional, establecer diferencias en su regulación, siempre que estas tengan como finalidad preservar características propias de la unión marital, como su informalidad o flexibilidad.</w:t>
      </w:r>
    </w:p>
    <w:p w:rsidR="00A52EE5" w:rsidRPr="00EC42C3" w:rsidRDefault="00EC42C3" w:rsidP="00A52EE5">
      <w:pPr>
        <w:rPr>
          <w:rFonts w:ascii="Times New Roman" w:hAnsi="Times New Roman" w:cs="Times New Roman"/>
          <w:sz w:val="28"/>
          <w:szCs w:val="28"/>
          <w:lang w:val="es-ES"/>
        </w:rPr>
      </w:pPr>
    </w:p>
    <w:p w:rsidR="003F06E6" w:rsidRPr="00EC42C3" w:rsidRDefault="00EC42C3" w:rsidP="00A52EE5">
      <w:pPr>
        <w:jc w:val="both"/>
        <w:rPr>
          <w:rFonts w:ascii="Times New Roman" w:hAnsi="Times New Roman" w:cs="Times New Roman"/>
          <w:b/>
          <w:bCs/>
          <w:sz w:val="28"/>
          <w:szCs w:val="28"/>
          <w:lang w:val="es-ES"/>
        </w:rPr>
      </w:pPr>
    </w:p>
    <w:p w:rsidR="00A52EE5" w:rsidRPr="00EC42C3" w:rsidRDefault="00EC42C3" w:rsidP="00A52EE5">
      <w:pPr>
        <w:jc w:val="both"/>
        <w:rPr>
          <w:rFonts w:ascii="Times New Roman" w:hAnsi="Times New Roman" w:cs="Times New Roman"/>
          <w:b/>
          <w:bCs/>
          <w:sz w:val="28"/>
          <w:szCs w:val="28"/>
          <w:lang w:val="es-ES"/>
        </w:rPr>
      </w:pPr>
      <w:r w:rsidRPr="00EC42C3">
        <w:rPr>
          <w:rFonts w:ascii="Times New Roman" w:hAnsi="Times New Roman" w:cs="Times New Roman"/>
          <w:b/>
          <w:bCs/>
          <w:sz w:val="28"/>
          <w:szCs w:val="28"/>
          <w:lang w:val="es-ES"/>
        </w:rPr>
        <w:t>La protección constitucional de las familias confo</w:t>
      </w:r>
      <w:r w:rsidRPr="00EC42C3">
        <w:rPr>
          <w:rFonts w:ascii="Times New Roman" w:hAnsi="Times New Roman" w:cs="Times New Roman"/>
          <w:b/>
          <w:bCs/>
          <w:sz w:val="28"/>
          <w:szCs w:val="28"/>
          <w:lang w:val="es-ES"/>
        </w:rPr>
        <w:t>rmadas por parejas del mismo sexo. Reiteración de jurisprudencia</w:t>
      </w:r>
    </w:p>
    <w:p w:rsidR="00A52EE5" w:rsidRPr="00EC42C3" w:rsidRDefault="00EC42C3" w:rsidP="00A52EE5">
      <w:pPr>
        <w:rPr>
          <w:rFonts w:ascii="Times New Roman" w:hAnsi="Times New Roman" w:cs="Times New Roman"/>
          <w:sz w:val="28"/>
          <w:szCs w:val="28"/>
          <w:lang w:val="es-ES"/>
        </w:rPr>
      </w:pPr>
    </w:p>
    <w:p w:rsidR="00444892" w:rsidRPr="00EC42C3" w:rsidRDefault="00EC42C3" w:rsidP="00837BE4">
      <w:pPr>
        <w:pStyle w:val="Prrafodelista"/>
        <w:numPr>
          <w:ilvl w:val="0"/>
          <w:numId w:val="1"/>
        </w:numPr>
        <w:tabs>
          <w:tab w:val="left" w:pos="426"/>
        </w:tabs>
        <w:ind w:left="0" w:firstLine="0"/>
        <w:contextualSpacing w:val="0"/>
        <w:jc w:val="both"/>
        <w:rPr>
          <w:rFonts w:ascii="Times New Roman" w:hAnsi="Times New Roman" w:cs="Times New Roman"/>
          <w:sz w:val="28"/>
          <w:szCs w:val="28"/>
          <w:lang w:val="es-ES"/>
        </w:rPr>
      </w:pPr>
      <w:r w:rsidRPr="00EC42C3">
        <w:rPr>
          <w:rFonts w:ascii="Times New Roman" w:hAnsi="Times New Roman" w:cs="Times New Roman"/>
          <w:color w:val="000000"/>
          <w:sz w:val="28"/>
          <w:szCs w:val="28"/>
          <w:shd w:val="clear" w:color="auto" w:fill="FFFFFF"/>
        </w:rPr>
        <w:t>La Corte Constitucional ha extendido la protección de la que están investidas las familias heterosexuales, a aquellas parejas unidas por un vínculo solemne o natural, integradas por personas</w:t>
      </w:r>
      <w:r w:rsidRPr="00EC42C3">
        <w:rPr>
          <w:rFonts w:ascii="Times New Roman" w:hAnsi="Times New Roman" w:cs="Times New Roman"/>
          <w:color w:val="000000"/>
          <w:sz w:val="28"/>
          <w:szCs w:val="28"/>
          <w:shd w:val="clear" w:color="auto" w:fill="FFFFFF"/>
        </w:rPr>
        <w:t xml:space="preserve"> del mismo sexo. Esta Corporación, a partir del mandato de igualdad, ha considerado que el Texto Superior cobija y provee derechos para las parejas homosexuales. Lo anterior supone una protección en doble vía, pues proscribe la discriminación de esas famil</w:t>
      </w:r>
      <w:r w:rsidRPr="00EC42C3">
        <w:rPr>
          <w:rFonts w:ascii="Times New Roman" w:hAnsi="Times New Roman" w:cs="Times New Roman"/>
          <w:color w:val="000000"/>
          <w:sz w:val="28"/>
          <w:szCs w:val="28"/>
          <w:shd w:val="clear" w:color="auto" w:fill="FFFFFF"/>
        </w:rPr>
        <w:t>ias, a partir de su orientación sexual.</w:t>
      </w:r>
    </w:p>
    <w:p w:rsidR="00A52EE5" w:rsidRPr="00EC42C3" w:rsidRDefault="00EC42C3" w:rsidP="00A52EE5">
      <w:pPr>
        <w:pStyle w:val="Prrafodelista"/>
        <w:tabs>
          <w:tab w:val="left" w:pos="426"/>
        </w:tabs>
        <w:ind w:left="0"/>
        <w:contextualSpacing w:val="0"/>
        <w:jc w:val="both"/>
        <w:rPr>
          <w:rFonts w:ascii="Times New Roman" w:hAnsi="Times New Roman" w:cs="Times New Roman"/>
          <w:sz w:val="28"/>
          <w:szCs w:val="28"/>
          <w:lang w:val="es-ES"/>
        </w:rPr>
      </w:pPr>
    </w:p>
    <w:p w:rsidR="00A52EE5" w:rsidRPr="00EC42C3" w:rsidRDefault="00EC42C3" w:rsidP="00A52EE5">
      <w:pPr>
        <w:pStyle w:val="Prrafodelista"/>
        <w:numPr>
          <w:ilvl w:val="0"/>
          <w:numId w:val="1"/>
        </w:numPr>
        <w:tabs>
          <w:tab w:val="left" w:pos="426"/>
        </w:tabs>
        <w:ind w:left="0" w:firstLine="0"/>
        <w:contextualSpacing w:val="0"/>
        <w:jc w:val="both"/>
        <w:rPr>
          <w:rFonts w:ascii="Times New Roman" w:hAnsi="Times New Roman" w:cs="Times New Roman"/>
          <w:sz w:val="28"/>
          <w:szCs w:val="28"/>
          <w:lang w:val="es-ES"/>
        </w:rPr>
      </w:pPr>
      <w:r w:rsidRPr="00EC42C3">
        <w:rPr>
          <w:rFonts w:ascii="Times New Roman" w:hAnsi="Times New Roman" w:cs="Times New Roman"/>
          <w:color w:val="000000"/>
          <w:sz w:val="28"/>
          <w:szCs w:val="28"/>
          <w:lang w:val="es-ES"/>
        </w:rPr>
        <w:t>En tal sentido, la Sentencia C-075 de 2007 declaró la exequibilidad de la Ley 54 de 1990 (modificada por la Ley 979 de 2005), en el entendido que el régimen de protección contenido en ella también se aplica a las pa</w:t>
      </w:r>
      <w:r w:rsidRPr="00EC42C3">
        <w:rPr>
          <w:rFonts w:ascii="Times New Roman" w:hAnsi="Times New Roman" w:cs="Times New Roman"/>
          <w:color w:val="000000"/>
          <w:sz w:val="28"/>
          <w:szCs w:val="28"/>
          <w:lang w:val="es-ES"/>
        </w:rPr>
        <w:t>rejas homosexuales. Así, la Sala Plena estableció que las parejas del mismo sexo también pueden constituir una unión marital de hecho, en los mismos términos previstos para las parejas de compañeros permanentes heterosexuales.</w:t>
      </w:r>
    </w:p>
    <w:p w:rsidR="0065089C" w:rsidRPr="00EC42C3" w:rsidRDefault="00EC42C3" w:rsidP="0065089C">
      <w:pPr>
        <w:pStyle w:val="Prrafodelista"/>
        <w:tabs>
          <w:tab w:val="left" w:pos="426"/>
        </w:tabs>
        <w:ind w:left="0"/>
        <w:contextualSpacing w:val="0"/>
        <w:jc w:val="both"/>
        <w:rPr>
          <w:rFonts w:ascii="Times New Roman" w:hAnsi="Times New Roman" w:cs="Times New Roman"/>
          <w:sz w:val="28"/>
          <w:szCs w:val="28"/>
          <w:lang w:val="es-ES"/>
        </w:rPr>
      </w:pPr>
    </w:p>
    <w:p w:rsidR="00A52EE5" w:rsidRPr="00EC42C3" w:rsidRDefault="00EC42C3" w:rsidP="00A52EE5">
      <w:pPr>
        <w:pStyle w:val="Prrafodelista"/>
        <w:numPr>
          <w:ilvl w:val="0"/>
          <w:numId w:val="1"/>
        </w:numPr>
        <w:tabs>
          <w:tab w:val="left" w:pos="426"/>
        </w:tabs>
        <w:ind w:left="0" w:firstLine="0"/>
        <w:contextualSpacing w:val="0"/>
        <w:jc w:val="both"/>
        <w:rPr>
          <w:rFonts w:ascii="Times New Roman" w:hAnsi="Times New Roman" w:cs="Times New Roman"/>
          <w:sz w:val="28"/>
          <w:szCs w:val="28"/>
          <w:lang w:val="es-ES"/>
        </w:rPr>
      </w:pPr>
      <w:r w:rsidRPr="00EC42C3">
        <w:rPr>
          <w:rFonts w:ascii="Times New Roman" w:hAnsi="Times New Roman" w:cs="Times New Roman"/>
          <w:color w:val="000000"/>
          <w:sz w:val="28"/>
          <w:szCs w:val="28"/>
          <w:shd w:val="clear" w:color="auto" w:fill="FFFFFF"/>
        </w:rPr>
        <w:t>De manera progresiva, esta C</w:t>
      </w:r>
      <w:r w:rsidRPr="00EC42C3">
        <w:rPr>
          <w:rFonts w:ascii="Times New Roman" w:hAnsi="Times New Roman" w:cs="Times New Roman"/>
          <w:color w:val="000000"/>
          <w:sz w:val="28"/>
          <w:szCs w:val="28"/>
          <w:shd w:val="clear" w:color="auto" w:fill="FFFFFF"/>
        </w:rPr>
        <w:t>orporación ha ampliado los derechos de las parejas del mismo sexo mediante Sentencias como la C-811 de 2007, C-029 de 2009, C-283 de 2011, C-238 de 2012, C-336 y C-798 de 2008, C-577 de 2011, C-071 y C-683 de 2015, C-456 de 2020, C-415 de 2022 y C-151 de 2</w:t>
      </w:r>
      <w:r w:rsidRPr="00EC42C3">
        <w:rPr>
          <w:rFonts w:ascii="Times New Roman" w:hAnsi="Times New Roman" w:cs="Times New Roman"/>
          <w:color w:val="000000"/>
          <w:sz w:val="28"/>
          <w:szCs w:val="28"/>
          <w:shd w:val="clear" w:color="auto" w:fill="FFFFFF"/>
        </w:rPr>
        <w:t>023, en las cuales se ha protegido a esas uniones familiares en los siguientes aspectos:</w:t>
      </w:r>
    </w:p>
    <w:p w:rsidR="00AD0F83" w:rsidRPr="00EC42C3" w:rsidRDefault="00EC42C3" w:rsidP="00AD0F83">
      <w:pPr>
        <w:pStyle w:val="Prrafodelista"/>
        <w:tabs>
          <w:tab w:val="left" w:pos="426"/>
        </w:tabs>
        <w:ind w:left="0"/>
        <w:contextualSpacing w:val="0"/>
        <w:jc w:val="both"/>
        <w:rPr>
          <w:rFonts w:ascii="Times New Roman" w:hAnsi="Times New Roman" w:cs="Times New Roman"/>
          <w:color w:val="000000"/>
          <w:sz w:val="28"/>
          <w:szCs w:val="28"/>
          <w:shd w:val="clear" w:color="auto" w:fill="FFFFFF"/>
        </w:rPr>
      </w:pPr>
    </w:p>
    <w:p w:rsidR="00AD0F83" w:rsidRPr="00EC42C3" w:rsidRDefault="00EC42C3" w:rsidP="00AD0F83">
      <w:pPr>
        <w:spacing w:line="289" w:lineRule="atLeast"/>
        <w:jc w:val="both"/>
        <w:textAlignment w:val="baseline"/>
        <w:rPr>
          <w:rFonts w:ascii="Times New Roman" w:hAnsi="Times New Roman" w:cs="Times New Roman"/>
          <w:color w:val="2D2D2D"/>
          <w:sz w:val="28"/>
          <w:szCs w:val="28"/>
        </w:rPr>
      </w:pPr>
      <w:r w:rsidRPr="00EC42C3">
        <w:rPr>
          <w:rFonts w:ascii="Times New Roman" w:hAnsi="Times New Roman" w:cs="Times New Roman"/>
          <w:b/>
          <w:bCs/>
          <w:color w:val="000000"/>
          <w:sz w:val="28"/>
          <w:szCs w:val="28"/>
          <w:lang w:val="es-ES"/>
        </w:rPr>
        <w:t>a.</w:t>
      </w:r>
      <w:r w:rsidRPr="00EC42C3">
        <w:rPr>
          <w:rFonts w:ascii="Times New Roman" w:hAnsi="Times New Roman" w:cs="Times New Roman"/>
          <w:color w:val="000000"/>
          <w:sz w:val="28"/>
          <w:szCs w:val="28"/>
          <w:lang w:val="es-ES"/>
        </w:rPr>
        <w:t xml:space="preserve"> En materia de </w:t>
      </w:r>
      <w:r w:rsidRPr="00EC42C3">
        <w:rPr>
          <w:rFonts w:ascii="Times New Roman" w:hAnsi="Times New Roman" w:cs="Times New Roman"/>
          <w:i/>
          <w:iCs/>
          <w:color w:val="2D2D2D"/>
          <w:sz w:val="28"/>
          <w:szCs w:val="28"/>
          <w:lang w:val="es-ES"/>
        </w:rPr>
        <w:t>salud</w:t>
      </w:r>
      <w:r w:rsidRPr="00EC42C3">
        <w:rPr>
          <w:rFonts w:ascii="Times New Roman" w:hAnsi="Times New Roman" w:cs="Times New Roman"/>
          <w:color w:val="000000"/>
          <w:sz w:val="28"/>
          <w:szCs w:val="28"/>
          <w:lang w:val="es-ES"/>
        </w:rPr>
        <w:t xml:space="preserve">, se ha establecido que los compañeros permanentes del mismo sexo pueden ser beneficiarios de los afiliados al sistema, en los mismos términos </w:t>
      </w:r>
      <w:r w:rsidRPr="00EC42C3">
        <w:rPr>
          <w:rFonts w:ascii="Times New Roman" w:hAnsi="Times New Roman" w:cs="Times New Roman"/>
          <w:color w:val="000000"/>
          <w:sz w:val="28"/>
          <w:szCs w:val="28"/>
          <w:lang w:val="es-ES"/>
        </w:rPr>
        <w:t>de las parejas heterosexuales (C-811 de 2007). </w:t>
      </w:r>
    </w:p>
    <w:p w:rsidR="00AD0F83" w:rsidRPr="00EC42C3" w:rsidRDefault="00EC42C3" w:rsidP="00AD0F83">
      <w:pPr>
        <w:spacing w:line="289" w:lineRule="atLeast"/>
        <w:jc w:val="both"/>
        <w:textAlignment w:val="baseline"/>
        <w:rPr>
          <w:rFonts w:ascii="Times New Roman" w:hAnsi="Times New Roman" w:cs="Times New Roman"/>
          <w:color w:val="000000"/>
          <w:sz w:val="28"/>
          <w:szCs w:val="28"/>
        </w:rPr>
      </w:pPr>
    </w:p>
    <w:p w:rsidR="00AD0F83" w:rsidRPr="00EC42C3" w:rsidRDefault="00EC42C3" w:rsidP="00AD0F83">
      <w:pPr>
        <w:spacing w:line="289" w:lineRule="atLeast"/>
        <w:jc w:val="both"/>
        <w:textAlignment w:val="baseline"/>
        <w:rPr>
          <w:rFonts w:ascii="Times New Roman" w:hAnsi="Times New Roman" w:cs="Times New Roman"/>
          <w:color w:val="000000"/>
          <w:sz w:val="28"/>
          <w:szCs w:val="28"/>
          <w:lang w:val="es-ES"/>
        </w:rPr>
      </w:pPr>
      <w:r w:rsidRPr="00EC42C3">
        <w:rPr>
          <w:rFonts w:ascii="Times New Roman" w:hAnsi="Times New Roman" w:cs="Times New Roman"/>
          <w:b/>
          <w:bCs/>
          <w:color w:val="000000"/>
          <w:sz w:val="28"/>
          <w:szCs w:val="28"/>
        </w:rPr>
        <w:t>b.</w:t>
      </w:r>
      <w:r w:rsidRPr="00EC42C3">
        <w:rPr>
          <w:rFonts w:ascii="Times New Roman" w:hAnsi="Times New Roman" w:cs="Times New Roman"/>
          <w:color w:val="000000"/>
          <w:sz w:val="28"/>
          <w:szCs w:val="28"/>
        </w:rPr>
        <w:t xml:space="preserve"> </w:t>
      </w:r>
      <w:r w:rsidRPr="00EC42C3">
        <w:rPr>
          <w:rFonts w:ascii="Times New Roman" w:hAnsi="Times New Roman" w:cs="Times New Roman"/>
          <w:color w:val="000000"/>
          <w:sz w:val="28"/>
          <w:szCs w:val="28"/>
          <w:lang w:val="es-ES"/>
        </w:rPr>
        <w:t>Respecto del régimen </w:t>
      </w:r>
      <w:r w:rsidRPr="00EC42C3">
        <w:rPr>
          <w:rFonts w:ascii="Times New Roman" w:hAnsi="Times New Roman" w:cs="Times New Roman"/>
          <w:i/>
          <w:iCs/>
          <w:color w:val="2D2D2D"/>
          <w:sz w:val="28"/>
          <w:szCs w:val="28"/>
          <w:lang w:val="es-ES"/>
        </w:rPr>
        <w:t>pensional</w:t>
      </w:r>
      <w:r w:rsidRPr="00EC42C3">
        <w:rPr>
          <w:rFonts w:ascii="Times New Roman" w:hAnsi="Times New Roman" w:cs="Times New Roman"/>
          <w:color w:val="000000"/>
          <w:sz w:val="28"/>
          <w:szCs w:val="28"/>
          <w:lang w:val="es-ES"/>
        </w:rPr>
        <w:t>, se ha indicado que la pareja supérstite en una unión integrada por personas del mismo sexo tiene derecho a la pensión de sobrevivientes (C-336 de 2008).</w:t>
      </w:r>
    </w:p>
    <w:p w:rsidR="00AD0F83" w:rsidRPr="00EC42C3" w:rsidRDefault="00EC42C3" w:rsidP="00AD0F83">
      <w:pPr>
        <w:spacing w:line="289" w:lineRule="atLeast"/>
        <w:jc w:val="both"/>
        <w:textAlignment w:val="baseline"/>
        <w:rPr>
          <w:rFonts w:ascii="Times New Roman" w:hAnsi="Times New Roman" w:cs="Times New Roman"/>
          <w:color w:val="000000"/>
          <w:sz w:val="28"/>
          <w:szCs w:val="28"/>
          <w:lang w:val="es-ES"/>
        </w:rPr>
      </w:pPr>
    </w:p>
    <w:p w:rsidR="00AD0F83" w:rsidRPr="00EC42C3" w:rsidRDefault="00EC42C3" w:rsidP="00AD0F83">
      <w:pPr>
        <w:spacing w:line="289" w:lineRule="atLeast"/>
        <w:jc w:val="both"/>
        <w:textAlignment w:val="baseline"/>
        <w:rPr>
          <w:rFonts w:ascii="Times New Roman" w:hAnsi="Times New Roman" w:cs="Times New Roman"/>
          <w:color w:val="000000"/>
          <w:sz w:val="28"/>
          <w:szCs w:val="28"/>
          <w:lang w:val="es-ES"/>
        </w:rPr>
      </w:pPr>
      <w:r w:rsidRPr="00EC42C3">
        <w:rPr>
          <w:rFonts w:ascii="Times New Roman" w:hAnsi="Times New Roman" w:cs="Times New Roman"/>
          <w:b/>
          <w:bCs/>
          <w:color w:val="000000"/>
          <w:sz w:val="28"/>
          <w:szCs w:val="28"/>
          <w:lang w:val="es-ES"/>
        </w:rPr>
        <w:t>c.</w:t>
      </w:r>
      <w:r w:rsidRPr="00EC42C3">
        <w:rPr>
          <w:rFonts w:ascii="Times New Roman" w:hAnsi="Times New Roman" w:cs="Times New Roman"/>
          <w:color w:val="000000"/>
          <w:sz w:val="28"/>
          <w:szCs w:val="28"/>
          <w:lang w:val="es-ES"/>
        </w:rPr>
        <w:t xml:space="preserve"> En cuanto a la </w:t>
      </w:r>
      <w:r w:rsidRPr="00EC42C3">
        <w:rPr>
          <w:rFonts w:ascii="Times New Roman" w:hAnsi="Times New Roman" w:cs="Times New Roman"/>
          <w:color w:val="000000"/>
          <w:sz w:val="28"/>
          <w:szCs w:val="28"/>
          <w:lang w:val="es-ES"/>
        </w:rPr>
        <w:t>regulación </w:t>
      </w:r>
      <w:r w:rsidRPr="00EC42C3">
        <w:rPr>
          <w:rFonts w:ascii="Times New Roman" w:hAnsi="Times New Roman" w:cs="Times New Roman"/>
          <w:i/>
          <w:iCs/>
          <w:color w:val="2D2D2D"/>
          <w:sz w:val="28"/>
          <w:szCs w:val="28"/>
          <w:lang w:val="es-ES"/>
        </w:rPr>
        <w:t>penal</w:t>
      </w:r>
      <w:r w:rsidRPr="00EC42C3">
        <w:rPr>
          <w:rFonts w:ascii="Times New Roman" w:hAnsi="Times New Roman" w:cs="Times New Roman"/>
          <w:color w:val="000000"/>
          <w:sz w:val="28"/>
          <w:szCs w:val="28"/>
          <w:lang w:val="es-ES"/>
        </w:rPr>
        <w:t xml:space="preserve">, se ha determinado que las causales de agravación y de atenuación punitiva, respecto de los tipos penales estructurados en razón del vínculo conyugal o marital, aplican a las uniones de parejas del mismo sexo. Específicamente, respecto de </w:t>
      </w:r>
      <w:r w:rsidRPr="00EC42C3">
        <w:rPr>
          <w:rFonts w:ascii="Times New Roman" w:hAnsi="Times New Roman" w:cs="Times New Roman"/>
          <w:color w:val="000000"/>
          <w:sz w:val="28"/>
          <w:szCs w:val="28"/>
          <w:lang w:val="es-ES"/>
        </w:rPr>
        <w:t>los derechos y facultades que ostentan parientes, cónyuges y compañeros permanentes de personas imputadas, acusadas, condenadas o víctimas en asuntos punitivos (C-029 de 2009). También se ha establecido que existe la acción penal por inasistencia alimentar</w:t>
      </w:r>
      <w:r w:rsidRPr="00EC42C3">
        <w:rPr>
          <w:rFonts w:ascii="Times New Roman" w:hAnsi="Times New Roman" w:cs="Times New Roman"/>
          <w:color w:val="000000"/>
          <w:sz w:val="28"/>
          <w:szCs w:val="28"/>
          <w:lang w:val="es-ES"/>
        </w:rPr>
        <w:t>ia entre miembros de una pareja homosexual (C-798 de 2008).</w:t>
      </w:r>
    </w:p>
    <w:p w:rsidR="00AD0F83" w:rsidRPr="00EC42C3" w:rsidRDefault="00EC42C3" w:rsidP="00AD0F83">
      <w:pPr>
        <w:spacing w:line="289" w:lineRule="atLeast"/>
        <w:jc w:val="both"/>
        <w:textAlignment w:val="baseline"/>
        <w:rPr>
          <w:rFonts w:ascii="Times New Roman" w:hAnsi="Times New Roman" w:cs="Times New Roman"/>
          <w:color w:val="000000"/>
          <w:sz w:val="28"/>
          <w:szCs w:val="28"/>
          <w:lang w:val="es-ES"/>
        </w:rPr>
      </w:pPr>
    </w:p>
    <w:p w:rsidR="00AD0F83" w:rsidRPr="00EC42C3" w:rsidRDefault="00EC42C3" w:rsidP="00AD0F83">
      <w:pPr>
        <w:spacing w:line="289" w:lineRule="atLeast"/>
        <w:jc w:val="both"/>
        <w:textAlignment w:val="baseline"/>
        <w:rPr>
          <w:rFonts w:ascii="Times New Roman" w:hAnsi="Times New Roman" w:cs="Times New Roman"/>
          <w:color w:val="2D2D2D"/>
          <w:sz w:val="28"/>
          <w:szCs w:val="28"/>
        </w:rPr>
      </w:pPr>
      <w:r w:rsidRPr="00EC42C3">
        <w:rPr>
          <w:rFonts w:ascii="Times New Roman" w:hAnsi="Times New Roman" w:cs="Times New Roman"/>
          <w:b/>
          <w:bCs/>
          <w:color w:val="000000"/>
          <w:sz w:val="28"/>
          <w:szCs w:val="28"/>
          <w:lang w:val="es-ES"/>
        </w:rPr>
        <w:t>e.</w:t>
      </w:r>
      <w:r w:rsidRPr="00EC42C3">
        <w:rPr>
          <w:rFonts w:ascii="Times New Roman" w:hAnsi="Times New Roman" w:cs="Times New Roman"/>
          <w:color w:val="000000"/>
          <w:sz w:val="28"/>
          <w:szCs w:val="28"/>
          <w:lang w:val="es-ES"/>
        </w:rPr>
        <w:t xml:space="preserve"> En asuntos relativos a la </w:t>
      </w:r>
      <w:r w:rsidRPr="00EC42C3">
        <w:rPr>
          <w:rFonts w:ascii="Times New Roman" w:hAnsi="Times New Roman" w:cs="Times New Roman"/>
          <w:i/>
          <w:iCs/>
          <w:color w:val="2D2D2D"/>
          <w:sz w:val="28"/>
          <w:szCs w:val="28"/>
          <w:lang w:val="es-ES"/>
        </w:rPr>
        <w:t>adopción</w:t>
      </w:r>
      <w:r w:rsidRPr="00EC42C3">
        <w:rPr>
          <w:rFonts w:ascii="Times New Roman" w:hAnsi="Times New Roman" w:cs="Times New Roman"/>
          <w:color w:val="000000"/>
          <w:sz w:val="28"/>
          <w:szCs w:val="28"/>
          <w:lang w:val="es-ES"/>
        </w:rPr>
        <w:t>, se ha concluido que las parejas del mismo sexo, de manera conjunta y por consentimiento, pueden adoptar niños y niñas en Colombia (C-071 y C-683 de 2015 y S</w:t>
      </w:r>
      <w:r w:rsidRPr="00EC42C3">
        <w:rPr>
          <w:rFonts w:ascii="Times New Roman" w:hAnsi="Times New Roman" w:cs="Times New Roman"/>
          <w:color w:val="000000"/>
          <w:sz w:val="28"/>
          <w:szCs w:val="28"/>
          <w:lang w:val="es-ES"/>
        </w:rPr>
        <w:t>U-617 de 2014).  </w:t>
      </w:r>
    </w:p>
    <w:p w:rsidR="00AD0F83" w:rsidRPr="00EC42C3" w:rsidRDefault="00EC42C3" w:rsidP="00AD0F83">
      <w:pPr>
        <w:spacing w:line="289" w:lineRule="atLeast"/>
        <w:ind w:left="720"/>
        <w:textAlignment w:val="baseline"/>
        <w:rPr>
          <w:rFonts w:ascii="Times New Roman" w:hAnsi="Times New Roman" w:cs="Times New Roman"/>
          <w:color w:val="2D2D2D"/>
          <w:sz w:val="28"/>
          <w:szCs w:val="28"/>
        </w:rPr>
      </w:pPr>
      <w:r w:rsidRPr="00EC42C3">
        <w:rPr>
          <w:rFonts w:ascii="Times New Roman" w:hAnsi="Times New Roman" w:cs="Times New Roman"/>
          <w:color w:val="000000"/>
          <w:sz w:val="28"/>
          <w:szCs w:val="28"/>
          <w:lang w:val="es-ES"/>
        </w:rPr>
        <w:t> </w:t>
      </w:r>
    </w:p>
    <w:p w:rsidR="00AD0F83" w:rsidRPr="00EC42C3" w:rsidRDefault="00EC42C3" w:rsidP="00AD0F83">
      <w:pPr>
        <w:spacing w:line="289" w:lineRule="atLeast"/>
        <w:jc w:val="both"/>
        <w:textAlignment w:val="baseline"/>
        <w:rPr>
          <w:rFonts w:ascii="Times New Roman" w:hAnsi="Times New Roman" w:cs="Times New Roman"/>
          <w:color w:val="000000"/>
          <w:sz w:val="28"/>
          <w:szCs w:val="28"/>
          <w:lang w:val="es-ES"/>
        </w:rPr>
      </w:pPr>
      <w:r w:rsidRPr="00EC42C3">
        <w:rPr>
          <w:rFonts w:ascii="Times New Roman" w:hAnsi="Times New Roman" w:cs="Times New Roman"/>
          <w:b/>
          <w:bCs/>
          <w:color w:val="000000"/>
          <w:sz w:val="28"/>
          <w:szCs w:val="28"/>
          <w:lang w:val="es-ES"/>
        </w:rPr>
        <w:t xml:space="preserve">f. </w:t>
      </w:r>
      <w:r w:rsidRPr="00EC42C3">
        <w:rPr>
          <w:rFonts w:ascii="Times New Roman" w:hAnsi="Times New Roman" w:cs="Times New Roman"/>
          <w:color w:val="000000"/>
          <w:sz w:val="28"/>
          <w:szCs w:val="28"/>
          <w:lang w:val="es-ES"/>
        </w:rPr>
        <w:t>En asuntos </w:t>
      </w:r>
      <w:r w:rsidRPr="00EC42C3">
        <w:rPr>
          <w:rFonts w:ascii="Times New Roman" w:hAnsi="Times New Roman" w:cs="Times New Roman"/>
          <w:i/>
          <w:iCs/>
          <w:color w:val="2D2D2D"/>
          <w:sz w:val="28"/>
          <w:szCs w:val="28"/>
          <w:lang w:val="es-ES"/>
        </w:rPr>
        <w:t>civiles</w:t>
      </w:r>
      <w:r w:rsidRPr="00EC42C3">
        <w:rPr>
          <w:rFonts w:ascii="Times New Roman" w:hAnsi="Times New Roman" w:cs="Times New Roman"/>
          <w:color w:val="000000"/>
          <w:sz w:val="28"/>
          <w:szCs w:val="28"/>
          <w:lang w:val="es-ES"/>
        </w:rPr>
        <w:t>: </w:t>
      </w:r>
      <w:r w:rsidRPr="00EC42C3">
        <w:rPr>
          <w:rFonts w:ascii="Times New Roman" w:hAnsi="Times New Roman" w:cs="Times New Roman"/>
          <w:i/>
          <w:iCs/>
          <w:color w:val="2D2D2D"/>
          <w:sz w:val="28"/>
          <w:szCs w:val="28"/>
          <w:lang w:val="es-ES"/>
        </w:rPr>
        <w:t>(i) </w:t>
      </w:r>
      <w:r w:rsidRPr="00EC42C3">
        <w:rPr>
          <w:rFonts w:ascii="Times New Roman" w:hAnsi="Times New Roman" w:cs="Times New Roman"/>
          <w:color w:val="000000"/>
          <w:sz w:val="28"/>
          <w:szCs w:val="28"/>
          <w:lang w:val="es-ES"/>
        </w:rPr>
        <w:t>respecto de la posibilidad para las parejas del mismo sexo de acceder a la celebración de un contrato que les permita formalizar y solemnizar jurídicamente una familia, de manera distinta a la unión de hecho (</w:t>
      </w:r>
      <w:r w:rsidRPr="00EC42C3">
        <w:rPr>
          <w:rFonts w:ascii="Times New Roman" w:hAnsi="Times New Roman" w:cs="Times New Roman"/>
          <w:color w:val="000000"/>
          <w:sz w:val="28"/>
          <w:szCs w:val="28"/>
          <w:lang w:val="es-ES"/>
        </w:rPr>
        <w:t>C-577 de 2011); </w:t>
      </w:r>
      <w:r w:rsidRPr="00EC42C3">
        <w:rPr>
          <w:rFonts w:ascii="Times New Roman" w:hAnsi="Times New Roman" w:cs="Times New Roman"/>
          <w:i/>
          <w:iCs/>
          <w:color w:val="2D2D2D"/>
          <w:sz w:val="28"/>
          <w:szCs w:val="28"/>
          <w:lang w:val="es-ES"/>
        </w:rPr>
        <w:t>(ii)</w:t>
      </w:r>
      <w:r w:rsidRPr="00EC42C3">
        <w:rPr>
          <w:rFonts w:ascii="Times New Roman" w:hAnsi="Times New Roman" w:cs="Times New Roman"/>
          <w:color w:val="000000"/>
          <w:sz w:val="28"/>
          <w:szCs w:val="28"/>
          <w:lang w:val="es-ES"/>
        </w:rPr>
        <w:t> en cuanto a la vocación sucesoral de las parejas homosexuales de heredar, en los mismos términos que las parejas heterosexuales (C-283 de 2011 y C-238 de 2012); (</w:t>
      </w:r>
      <w:r w:rsidRPr="00EC42C3">
        <w:rPr>
          <w:rFonts w:ascii="Times New Roman" w:hAnsi="Times New Roman" w:cs="Times New Roman"/>
          <w:i/>
          <w:iCs/>
          <w:color w:val="2D2D2D"/>
          <w:sz w:val="28"/>
          <w:szCs w:val="28"/>
          <w:lang w:val="es-ES"/>
        </w:rPr>
        <w:t>iii</w:t>
      </w:r>
      <w:r w:rsidRPr="00EC42C3">
        <w:rPr>
          <w:rFonts w:ascii="Times New Roman" w:hAnsi="Times New Roman" w:cs="Times New Roman"/>
          <w:color w:val="000000"/>
          <w:sz w:val="28"/>
          <w:szCs w:val="28"/>
          <w:lang w:val="es-ES"/>
        </w:rPr>
        <w:t xml:space="preserve">) en relación con el alcance de múltiples normas del Código Civil que </w:t>
      </w:r>
      <w:r w:rsidRPr="00EC42C3">
        <w:rPr>
          <w:rFonts w:ascii="Times New Roman" w:hAnsi="Times New Roman" w:cs="Times New Roman"/>
          <w:color w:val="000000"/>
          <w:sz w:val="28"/>
          <w:szCs w:val="28"/>
          <w:lang w:val="es-ES"/>
        </w:rPr>
        <w:t>incluyen vocablos como ‘cónyuge’ o ‘casada’,</w:t>
      </w:r>
      <w:r w:rsidRPr="00EC42C3">
        <w:rPr>
          <w:rFonts w:ascii="Times New Roman" w:hAnsi="Times New Roman" w:cs="Times New Roman"/>
          <w:color w:val="000000"/>
          <w:sz w:val="28"/>
          <w:szCs w:val="28"/>
          <w:lang w:val="es-ES"/>
        </w:rPr>
        <w:t xml:space="preserve"> los cuales deben entenderse en el sentido de que comprenden también a los compañeros y compañeras permanentes  en unión marital de hecho, incluidas las parejas del mismo sexo (C-456 de 2020); </w:t>
      </w:r>
      <w:r w:rsidRPr="00EC42C3">
        <w:rPr>
          <w:rFonts w:ascii="Times New Roman" w:hAnsi="Times New Roman" w:cs="Times New Roman"/>
          <w:color w:val="000000"/>
          <w:sz w:val="28"/>
          <w:szCs w:val="28"/>
          <w:lang w:val="es-ES"/>
        </w:rPr>
        <w:t>y </w:t>
      </w:r>
      <w:r w:rsidRPr="00EC42C3">
        <w:rPr>
          <w:rFonts w:ascii="Times New Roman" w:hAnsi="Times New Roman" w:cs="Times New Roman"/>
          <w:i/>
          <w:iCs/>
          <w:color w:val="2D2D2D"/>
          <w:sz w:val="28"/>
          <w:szCs w:val="28"/>
          <w:lang w:val="es-ES"/>
        </w:rPr>
        <w:t>(iv)</w:t>
      </w:r>
      <w:r w:rsidRPr="00EC42C3">
        <w:rPr>
          <w:rFonts w:ascii="Times New Roman" w:hAnsi="Times New Roman" w:cs="Times New Roman"/>
          <w:color w:val="000000"/>
          <w:sz w:val="28"/>
          <w:szCs w:val="28"/>
          <w:lang w:val="es-ES"/>
        </w:rPr>
        <w:t xml:space="preserve"> en un mismo </w:t>
      </w:r>
      <w:r w:rsidRPr="00EC42C3">
        <w:rPr>
          <w:rFonts w:ascii="Times New Roman" w:hAnsi="Times New Roman" w:cs="Times New Roman"/>
          <w:color w:val="000000"/>
          <w:sz w:val="28"/>
          <w:szCs w:val="28"/>
          <w:lang w:val="es-ES"/>
        </w:rPr>
        <w:t>sentido, esta Corte ha establecido que las parejas del mismo sexo tienen derecho a las mismas licencias (maternidad, paternidad –compartida y flexible–) de las parejas heterosexuales (C-415 de 2022).</w:t>
      </w:r>
    </w:p>
    <w:p w:rsidR="00AD0F83" w:rsidRPr="00EC42C3" w:rsidRDefault="00EC42C3" w:rsidP="00AD0F83">
      <w:pPr>
        <w:spacing w:line="289" w:lineRule="atLeast"/>
        <w:jc w:val="both"/>
        <w:textAlignment w:val="baseline"/>
        <w:rPr>
          <w:rFonts w:ascii="Times New Roman" w:hAnsi="Times New Roman" w:cs="Times New Roman"/>
          <w:color w:val="2D2D2D"/>
          <w:sz w:val="28"/>
          <w:szCs w:val="28"/>
        </w:rPr>
      </w:pPr>
    </w:p>
    <w:p w:rsidR="00AD0F83" w:rsidRPr="00EC42C3" w:rsidRDefault="00EC42C3" w:rsidP="00AD0F83">
      <w:pPr>
        <w:spacing w:line="289" w:lineRule="atLeast"/>
        <w:jc w:val="both"/>
        <w:textAlignment w:val="baseline"/>
        <w:rPr>
          <w:rFonts w:ascii="Times New Roman" w:hAnsi="Times New Roman" w:cs="Times New Roman"/>
          <w:color w:val="2D2D2D"/>
          <w:sz w:val="28"/>
          <w:szCs w:val="28"/>
        </w:rPr>
      </w:pPr>
      <w:r w:rsidRPr="00EC42C3">
        <w:rPr>
          <w:rFonts w:ascii="Times New Roman" w:hAnsi="Times New Roman" w:cs="Times New Roman"/>
          <w:b/>
          <w:bCs/>
          <w:color w:val="2D2D2D"/>
          <w:sz w:val="28"/>
          <w:szCs w:val="28"/>
        </w:rPr>
        <w:t>g.</w:t>
      </w:r>
      <w:r w:rsidRPr="00EC42C3">
        <w:rPr>
          <w:rFonts w:ascii="Times New Roman" w:hAnsi="Times New Roman" w:cs="Times New Roman"/>
          <w:color w:val="2D2D2D"/>
          <w:sz w:val="28"/>
          <w:szCs w:val="28"/>
        </w:rPr>
        <w:t xml:space="preserve"> </w:t>
      </w:r>
      <w:r w:rsidRPr="00EC42C3">
        <w:rPr>
          <w:rFonts w:ascii="Times New Roman" w:hAnsi="Times New Roman" w:cs="Times New Roman"/>
          <w:color w:val="000000"/>
          <w:sz w:val="28"/>
          <w:szCs w:val="28"/>
          <w:lang w:val="es-ES"/>
        </w:rPr>
        <w:t>En materia de carrera </w:t>
      </w:r>
      <w:r w:rsidRPr="00EC42C3">
        <w:rPr>
          <w:rFonts w:ascii="Times New Roman" w:hAnsi="Times New Roman" w:cs="Times New Roman"/>
          <w:i/>
          <w:iCs/>
          <w:color w:val="2D2D2D"/>
          <w:sz w:val="28"/>
          <w:szCs w:val="28"/>
          <w:lang w:val="es-ES"/>
        </w:rPr>
        <w:t>diplomática</w:t>
      </w:r>
      <w:r w:rsidRPr="00EC42C3">
        <w:rPr>
          <w:rFonts w:ascii="Times New Roman" w:hAnsi="Times New Roman" w:cs="Times New Roman"/>
          <w:color w:val="000000"/>
          <w:sz w:val="28"/>
          <w:szCs w:val="28"/>
          <w:lang w:val="es-ES"/>
        </w:rPr>
        <w:t> o </w:t>
      </w:r>
      <w:r w:rsidRPr="00EC42C3">
        <w:rPr>
          <w:rFonts w:ascii="Times New Roman" w:hAnsi="Times New Roman" w:cs="Times New Roman"/>
          <w:i/>
          <w:iCs/>
          <w:color w:val="2D2D2D"/>
          <w:sz w:val="28"/>
          <w:szCs w:val="28"/>
          <w:lang w:val="es-ES"/>
        </w:rPr>
        <w:t>consular</w:t>
      </w:r>
      <w:r w:rsidRPr="00EC42C3">
        <w:rPr>
          <w:rFonts w:ascii="Times New Roman" w:hAnsi="Times New Roman" w:cs="Times New Roman"/>
          <w:color w:val="000000"/>
          <w:sz w:val="28"/>
          <w:szCs w:val="28"/>
          <w:lang w:val="es-ES"/>
        </w:rPr>
        <w:t xml:space="preserve">, esta </w:t>
      </w:r>
      <w:r w:rsidRPr="00EC42C3">
        <w:rPr>
          <w:rFonts w:ascii="Times New Roman" w:hAnsi="Times New Roman" w:cs="Times New Roman"/>
          <w:color w:val="000000"/>
          <w:sz w:val="28"/>
          <w:szCs w:val="28"/>
          <w:lang w:val="es-ES"/>
        </w:rPr>
        <w:t>Corporación declaró inexequible la expresión </w:t>
      </w:r>
      <w:r w:rsidRPr="00EC42C3">
        <w:rPr>
          <w:rFonts w:ascii="Times New Roman" w:hAnsi="Times New Roman" w:cs="Times New Roman"/>
          <w:i/>
          <w:iCs/>
          <w:color w:val="2D2D2D"/>
          <w:sz w:val="28"/>
          <w:szCs w:val="28"/>
          <w:lang w:val="es-ES"/>
        </w:rPr>
        <w:t>“de sexo diferente”</w:t>
      </w:r>
      <w:r w:rsidRPr="00EC42C3">
        <w:rPr>
          <w:rFonts w:ascii="Times New Roman" w:hAnsi="Times New Roman" w:cs="Times New Roman"/>
          <w:color w:val="000000"/>
          <w:sz w:val="28"/>
          <w:szCs w:val="28"/>
          <w:lang w:val="es-ES"/>
        </w:rPr>
        <w:t> contenida en el artículo 62 del Decreto Ley 274 de 2000 referente al servicio exterior de la República y a la carrera diplomática y consular, pues tales términos excluían a las parejas del mi</w:t>
      </w:r>
      <w:r w:rsidRPr="00EC42C3">
        <w:rPr>
          <w:rFonts w:ascii="Times New Roman" w:hAnsi="Times New Roman" w:cs="Times New Roman"/>
          <w:color w:val="000000"/>
          <w:sz w:val="28"/>
          <w:szCs w:val="28"/>
          <w:lang w:val="es-ES"/>
        </w:rPr>
        <w:t>smo sexo, aun cuando la norma demandada perseguía un fin imperioso, cual es garantizar la unidad familiar de los funcionarios que pertenecen a ella y que son trasladados.</w:t>
      </w:r>
    </w:p>
    <w:p w:rsidR="00AD0F83" w:rsidRPr="00EC42C3" w:rsidRDefault="00EC42C3" w:rsidP="00AD0F83">
      <w:pPr>
        <w:spacing w:line="289" w:lineRule="atLeast"/>
        <w:jc w:val="both"/>
        <w:textAlignment w:val="baseline"/>
        <w:rPr>
          <w:rFonts w:ascii="Times New Roman" w:hAnsi="Times New Roman" w:cs="Times New Roman"/>
          <w:color w:val="2D2D2D"/>
          <w:sz w:val="28"/>
          <w:szCs w:val="28"/>
        </w:rPr>
      </w:pPr>
    </w:p>
    <w:p w:rsidR="00A52EE5" w:rsidRPr="00EC42C3" w:rsidRDefault="00EC42C3" w:rsidP="00837BE4">
      <w:pPr>
        <w:pStyle w:val="Prrafodelista"/>
        <w:numPr>
          <w:ilvl w:val="0"/>
          <w:numId w:val="1"/>
        </w:numPr>
        <w:tabs>
          <w:tab w:val="left" w:pos="426"/>
        </w:tabs>
        <w:ind w:left="0" w:firstLine="0"/>
        <w:contextualSpacing w:val="0"/>
        <w:jc w:val="both"/>
        <w:rPr>
          <w:rFonts w:ascii="Times New Roman" w:hAnsi="Times New Roman" w:cs="Times New Roman"/>
          <w:sz w:val="28"/>
          <w:szCs w:val="28"/>
          <w:lang w:val="es-ES"/>
        </w:rPr>
      </w:pPr>
      <w:r w:rsidRPr="00EC42C3">
        <w:rPr>
          <w:rFonts w:ascii="Times New Roman" w:hAnsi="Times New Roman" w:cs="Times New Roman"/>
          <w:color w:val="000000"/>
          <w:sz w:val="28"/>
          <w:szCs w:val="28"/>
          <w:lang w:val="es-ES"/>
        </w:rPr>
        <w:t>En línea con lo dispuesto en la Sentencia C-577 de 2011, la Corte Constitucional, me</w:t>
      </w:r>
      <w:r w:rsidRPr="00EC42C3">
        <w:rPr>
          <w:rFonts w:ascii="Times New Roman" w:hAnsi="Times New Roman" w:cs="Times New Roman"/>
          <w:color w:val="000000"/>
          <w:sz w:val="28"/>
          <w:szCs w:val="28"/>
          <w:lang w:val="es-ES"/>
        </w:rPr>
        <w:t xml:space="preserve">diante Sentencia SU-214 de 2016 determinó que, en efecto, las parejas del mismo sexo pueden contraer un matrimonio, de la misma manera en la que lo realizan parejas homosexuales. Esto, en consideración a que la Constitución no prohíbe ese tipo de uniones, </w:t>
      </w:r>
      <w:r w:rsidRPr="00EC42C3">
        <w:rPr>
          <w:rFonts w:ascii="Times New Roman" w:hAnsi="Times New Roman" w:cs="Times New Roman"/>
          <w:color w:val="000000"/>
          <w:sz w:val="28"/>
          <w:szCs w:val="28"/>
          <w:lang w:val="es-ES"/>
        </w:rPr>
        <w:t>al tiempo que supone una vulneración de los derechos a la libertad, dignidad humana e igualdad, considerar que existen dos clases de matrimonio, uno para parejas homosexuales y otro para parejas heterosexuales. En esa medida, esta Corporación reafirmó la p</w:t>
      </w:r>
      <w:r w:rsidRPr="00EC42C3">
        <w:rPr>
          <w:rFonts w:ascii="Times New Roman" w:hAnsi="Times New Roman" w:cs="Times New Roman"/>
          <w:color w:val="000000"/>
          <w:sz w:val="28"/>
          <w:szCs w:val="28"/>
          <w:lang w:val="es-ES"/>
        </w:rPr>
        <w:t>rotección que la Constitución le brinda a las familias integradas por parejas del mismo sexo.</w:t>
      </w:r>
    </w:p>
    <w:p w:rsidR="00A3363A" w:rsidRPr="00EC42C3" w:rsidRDefault="00EC42C3" w:rsidP="00A3363A">
      <w:pPr>
        <w:pStyle w:val="Prrafodelista"/>
        <w:tabs>
          <w:tab w:val="left" w:pos="426"/>
        </w:tabs>
        <w:ind w:left="0"/>
        <w:contextualSpacing w:val="0"/>
        <w:jc w:val="both"/>
        <w:rPr>
          <w:rFonts w:ascii="Times New Roman" w:hAnsi="Times New Roman" w:cs="Times New Roman"/>
          <w:sz w:val="28"/>
          <w:szCs w:val="28"/>
          <w:lang w:val="es-ES"/>
        </w:rPr>
      </w:pPr>
    </w:p>
    <w:p w:rsidR="00091735" w:rsidRPr="00EC42C3" w:rsidRDefault="00EC42C3" w:rsidP="00091735">
      <w:pPr>
        <w:pStyle w:val="Prrafodelista"/>
        <w:numPr>
          <w:ilvl w:val="0"/>
          <w:numId w:val="1"/>
        </w:numPr>
        <w:tabs>
          <w:tab w:val="left" w:pos="426"/>
        </w:tabs>
        <w:ind w:left="0" w:firstLine="0"/>
        <w:contextualSpacing w:val="0"/>
        <w:jc w:val="both"/>
        <w:rPr>
          <w:rFonts w:ascii="Times New Roman" w:hAnsi="Times New Roman" w:cs="Times New Roman"/>
          <w:sz w:val="28"/>
          <w:szCs w:val="28"/>
          <w:lang w:val="es-ES"/>
        </w:rPr>
      </w:pPr>
      <w:r w:rsidRPr="00EC42C3">
        <w:rPr>
          <w:rFonts w:ascii="Times New Roman" w:hAnsi="Times New Roman" w:cs="Times New Roman"/>
          <w:color w:val="000000"/>
          <w:sz w:val="28"/>
          <w:szCs w:val="28"/>
          <w:shd w:val="clear" w:color="auto" w:fill="FFFFFF"/>
        </w:rPr>
        <w:t>Cabe referir también la Sentencia C-415 de 2022, la cual declaró exequible el artículo 2º de la Ley 2114 de 2021</w:t>
      </w:r>
      <w:r w:rsidRPr="00EC42C3">
        <w:rPr>
          <w:rStyle w:val="apple-converted-space"/>
          <w:rFonts w:ascii="Times New Roman" w:eastAsiaTheme="majorEastAsia" w:hAnsi="Times New Roman" w:cs="Times New Roman"/>
          <w:color w:val="000000"/>
          <w:sz w:val="28"/>
          <w:szCs w:val="28"/>
          <w:shd w:val="clear" w:color="auto" w:fill="FFFFFF"/>
        </w:rPr>
        <w:t> </w:t>
      </w:r>
      <w:r w:rsidRPr="00EC42C3">
        <w:rPr>
          <w:rFonts w:ascii="Times New Roman" w:hAnsi="Times New Roman" w:cs="Times New Roman"/>
          <w:i/>
          <w:iCs/>
          <w:color w:val="2D2D2D"/>
          <w:sz w:val="28"/>
          <w:szCs w:val="28"/>
        </w:rPr>
        <w:t>“</w:t>
      </w:r>
      <w:r w:rsidRPr="00EC42C3">
        <w:rPr>
          <w:rFonts w:ascii="Times New Roman" w:hAnsi="Times New Roman" w:cs="Times New Roman"/>
          <w:color w:val="000000"/>
          <w:sz w:val="28"/>
          <w:szCs w:val="28"/>
          <w:shd w:val="clear" w:color="auto" w:fill="FFFFFF"/>
        </w:rPr>
        <w:t>[p]</w:t>
      </w:r>
      <w:r w:rsidRPr="00EC42C3">
        <w:rPr>
          <w:rFonts w:ascii="Times New Roman" w:hAnsi="Times New Roman" w:cs="Times New Roman"/>
          <w:i/>
          <w:iCs/>
          <w:color w:val="2D2D2D"/>
          <w:sz w:val="28"/>
          <w:szCs w:val="28"/>
        </w:rPr>
        <w:t>or medio de la cual se amplía la licencia de</w:t>
      </w:r>
      <w:r w:rsidRPr="00EC42C3">
        <w:rPr>
          <w:rFonts w:ascii="Times New Roman" w:hAnsi="Times New Roman" w:cs="Times New Roman"/>
          <w:i/>
          <w:iCs/>
          <w:color w:val="2D2D2D"/>
          <w:sz w:val="28"/>
          <w:szCs w:val="28"/>
        </w:rPr>
        <w:t xml:space="preserve"> paternidad, se crea la licencia parental compartida, la licencia parental flexible de tiempo parcial…”</w:t>
      </w:r>
      <w:r w:rsidRPr="00EC42C3">
        <w:rPr>
          <w:rFonts w:ascii="Times New Roman" w:hAnsi="Times New Roman" w:cs="Times New Roman"/>
          <w:color w:val="000000"/>
          <w:sz w:val="28"/>
          <w:szCs w:val="28"/>
          <w:shd w:val="clear" w:color="auto" w:fill="FFFFFF"/>
        </w:rPr>
        <w:t>, bajo el entendido de que la pareja adoptante del mismo sexo definirá, por una sola vez, quien de ellos gozará de cada prestación en las mismas condicio</w:t>
      </w:r>
      <w:r w:rsidRPr="00EC42C3">
        <w:rPr>
          <w:rFonts w:ascii="Times New Roman" w:hAnsi="Times New Roman" w:cs="Times New Roman"/>
          <w:color w:val="000000"/>
          <w:sz w:val="28"/>
          <w:szCs w:val="28"/>
          <w:shd w:val="clear" w:color="auto" w:fill="FFFFFF"/>
        </w:rPr>
        <w:t>nes previstas para las familias heteroparentales adoptantes. En esa oportunidad, esta Corporación estudió si se configuró una omisión legislativa relativa, al no incorporar a las parejas adoptantes del mismo sexo como beneficiarios expresos de las licencia</w:t>
      </w:r>
      <w:r w:rsidRPr="00EC42C3">
        <w:rPr>
          <w:rFonts w:ascii="Times New Roman" w:hAnsi="Times New Roman" w:cs="Times New Roman"/>
          <w:color w:val="000000"/>
          <w:sz w:val="28"/>
          <w:szCs w:val="28"/>
          <w:shd w:val="clear" w:color="auto" w:fill="FFFFFF"/>
        </w:rPr>
        <w:t>s de maternidad, paternidad, parental compartida y parental flexible. Concluyó que, en efecto, sí se había configurado una omisión legislativa relativa, pues la norma acusada excluía a las parejas del mismo sexo sin que hubiera una justificación constituci</w:t>
      </w:r>
      <w:r w:rsidRPr="00EC42C3">
        <w:rPr>
          <w:rFonts w:ascii="Times New Roman" w:hAnsi="Times New Roman" w:cs="Times New Roman"/>
          <w:color w:val="000000"/>
          <w:sz w:val="28"/>
          <w:szCs w:val="28"/>
          <w:shd w:val="clear" w:color="auto" w:fill="FFFFFF"/>
        </w:rPr>
        <w:t>onalmente válida para ese trato desigual. Además, existe un mandato constitucional específico relacionado con el interés superior de los niños y niñas (conforme a los artículos 42 a 45 de la Constitución) que desconoció el Legislador. Esto pues las licenci</w:t>
      </w:r>
      <w:r w:rsidRPr="00EC42C3">
        <w:rPr>
          <w:rFonts w:ascii="Times New Roman" w:hAnsi="Times New Roman" w:cs="Times New Roman"/>
          <w:color w:val="000000"/>
          <w:sz w:val="28"/>
          <w:szCs w:val="28"/>
          <w:shd w:val="clear" w:color="auto" w:fill="FFFFFF"/>
        </w:rPr>
        <w:t>as de maternidad y paternidad y, por extensión, las parentales flexibles y compartidas, son un mecanismo de protección integral de la niñez. En esa medida, los padres del mismo sexo deben poder contar con los aludidos beneficios, para la satisfacción de lo</w:t>
      </w:r>
      <w:r w:rsidRPr="00EC42C3">
        <w:rPr>
          <w:rFonts w:ascii="Times New Roman" w:hAnsi="Times New Roman" w:cs="Times New Roman"/>
          <w:color w:val="000000"/>
          <w:sz w:val="28"/>
          <w:szCs w:val="28"/>
          <w:shd w:val="clear" w:color="auto" w:fill="FFFFFF"/>
        </w:rPr>
        <w:t>s derechos de los niños y niñas al cuidado y a la conformación de lazos familiares.</w:t>
      </w:r>
    </w:p>
    <w:p w:rsidR="00091735" w:rsidRPr="00EC42C3" w:rsidRDefault="00EC42C3" w:rsidP="00091735">
      <w:pPr>
        <w:pStyle w:val="Prrafodelista"/>
        <w:tabs>
          <w:tab w:val="left" w:pos="426"/>
        </w:tabs>
        <w:ind w:left="0"/>
        <w:contextualSpacing w:val="0"/>
        <w:jc w:val="both"/>
        <w:rPr>
          <w:rFonts w:ascii="Times New Roman" w:hAnsi="Times New Roman" w:cs="Times New Roman"/>
          <w:sz w:val="28"/>
          <w:szCs w:val="28"/>
          <w:lang w:val="es-ES"/>
        </w:rPr>
      </w:pPr>
    </w:p>
    <w:p w:rsidR="00091735" w:rsidRPr="00EC42C3" w:rsidRDefault="00EC42C3" w:rsidP="00091735">
      <w:pPr>
        <w:pStyle w:val="Prrafodelista"/>
        <w:numPr>
          <w:ilvl w:val="0"/>
          <w:numId w:val="1"/>
        </w:numPr>
        <w:tabs>
          <w:tab w:val="left" w:pos="426"/>
        </w:tabs>
        <w:ind w:left="0" w:firstLine="0"/>
        <w:contextualSpacing w:val="0"/>
        <w:jc w:val="both"/>
        <w:rPr>
          <w:rFonts w:ascii="Times New Roman" w:hAnsi="Times New Roman" w:cs="Times New Roman"/>
          <w:sz w:val="28"/>
          <w:szCs w:val="28"/>
          <w:lang w:val="es-ES"/>
        </w:rPr>
      </w:pPr>
      <w:r w:rsidRPr="00EC42C3">
        <w:rPr>
          <w:rFonts w:ascii="Times New Roman" w:hAnsi="Times New Roman" w:cs="Times New Roman"/>
          <w:color w:val="000000"/>
          <w:sz w:val="28"/>
          <w:szCs w:val="28"/>
          <w:lang w:val="es-ES"/>
        </w:rPr>
        <w:t>A su turno, la Sentencia C-151 de 2023 declaró inexequible la expresión </w:t>
      </w:r>
      <w:r w:rsidRPr="00EC42C3">
        <w:rPr>
          <w:rFonts w:ascii="Times New Roman" w:hAnsi="Times New Roman" w:cs="Times New Roman"/>
          <w:i/>
          <w:iCs/>
          <w:color w:val="2D2D2D"/>
          <w:sz w:val="28"/>
          <w:szCs w:val="28"/>
          <w:lang w:val="es-ES"/>
        </w:rPr>
        <w:t xml:space="preserve">“de </w:t>
      </w:r>
      <w:r w:rsidRPr="00EC42C3">
        <w:rPr>
          <w:rFonts w:ascii="Times New Roman" w:hAnsi="Times New Roman" w:cs="Times New Roman"/>
          <w:i/>
          <w:iCs/>
          <w:color w:val="2D2D2D"/>
          <w:sz w:val="28"/>
          <w:szCs w:val="28"/>
          <w:lang w:val="es-ES"/>
        </w:rPr>
        <w:t>sexo</w:t>
      </w:r>
      <w:r w:rsidRPr="00EC42C3">
        <w:rPr>
          <w:rFonts w:ascii="Times New Roman" w:hAnsi="Times New Roman" w:cs="Times New Roman"/>
          <w:i/>
          <w:iCs/>
          <w:color w:val="2D2D2D"/>
          <w:sz w:val="28"/>
          <w:szCs w:val="28"/>
          <w:lang w:val="es-ES"/>
        </w:rPr>
        <w:t xml:space="preserve"> diferente”</w:t>
      </w:r>
      <w:r w:rsidRPr="00EC42C3">
        <w:rPr>
          <w:rFonts w:ascii="Times New Roman" w:hAnsi="Times New Roman" w:cs="Times New Roman"/>
          <w:color w:val="000000"/>
          <w:sz w:val="28"/>
          <w:szCs w:val="28"/>
          <w:lang w:val="es-ES"/>
        </w:rPr>
        <w:t> contenida en el artículo 62 del Decreto Ley 274 de 2000 </w:t>
      </w:r>
      <w:r w:rsidRPr="00EC42C3">
        <w:rPr>
          <w:rFonts w:ascii="Times New Roman" w:hAnsi="Times New Roman" w:cs="Times New Roman"/>
          <w:i/>
          <w:iCs/>
          <w:color w:val="2D2D2D"/>
          <w:sz w:val="28"/>
          <w:szCs w:val="28"/>
          <w:lang w:val="es-ES"/>
        </w:rPr>
        <w:t xml:space="preserve">“por el cual se regula </w:t>
      </w:r>
      <w:r w:rsidRPr="00EC42C3">
        <w:rPr>
          <w:rFonts w:ascii="Times New Roman" w:hAnsi="Times New Roman" w:cs="Times New Roman"/>
          <w:i/>
          <w:iCs/>
          <w:color w:val="2D2D2D"/>
          <w:sz w:val="28"/>
          <w:szCs w:val="28"/>
          <w:lang w:val="es-ES"/>
        </w:rPr>
        <w:t>el Servicio Exterior de la República y la Carrera Diplomática y Consular”</w:t>
      </w:r>
      <w:r w:rsidRPr="00EC42C3">
        <w:rPr>
          <w:rFonts w:ascii="Times New Roman" w:hAnsi="Times New Roman" w:cs="Times New Roman"/>
          <w:color w:val="000000"/>
          <w:sz w:val="28"/>
          <w:szCs w:val="28"/>
          <w:lang w:val="es-ES"/>
        </w:rPr>
        <w:t>. La disposición acusada dice lo siguiente </w:t>
      </w:r>
      <w:r w:rsidRPr="00EC42C3">
        <w:rPr>
          <w:rFonts w:ascii="Times New Roman" w:hAnsi="Times New Roman" w:cs="Times New Roman"/>
          <w:i/>
          <w:iCs/>
          <w:color w:val="2D2D2D"/>
          <w:sz w:val="28"/>
          <w:szCs w:val="28"/>
          <w:lang w:val="es-ES"/>
        </w:rPr>
        <w:t>“</w:t>
      </w:r>
      <w:r w:rsidRPr="00EC42C3">
        <w:rPr>
          <w:rFonts w:ascii="Times New Roman" w:hAnsi="Times New Roman" w:cs="Times New Roman"/>
          <w:color w:val="000000"/>
          <w:sz w:val="28"/>
          <w:szCs w:val="28"/>
          <w:lang w:val="es-ES"/>
        </w:rPr>
        <w:t>[p]</w:t>
      </w:r>
      <w:r w:rsidRPr="00EC42C3">
        <w:rPr>
          <w:rFonts w:ascii="Times New Roman" w:hAnsi="Times New Roman" w:cs="Times New Roman"/>
          <w:i/>
          <w:iCs/>
          <w:color w:val="2D2D2D"/>
          <w:sz w:val="28"/>
          <w:szCs w:val="28"/>
          <w:lang w:val="es-ES"/>
        </w:rPr>
        <w:t>ara los efectos antes mencionados, se entiende por compañero o compañera permanente la persona de sexo diferente que haya hecho vida mar</w:t>
      </w:r>
      <w:r w:rsidRPr="00EC42C3">
        <w:rPr>
          <w:rFonts w:ascii="Times New Roman" w:hAnsi="Times New Roman" w:cs="Times New Roman"/>
          <w:i/>
          <w:iCs/>
          <w:color w:val="2D2D2D"/>
          <w:sz w:val="28"/>
          <w:szCs w:val="28"/>
          <w:lang w:val="es-ES"/>
        </w:rPr>
        <w:t>ital con el funcionario durante un lapso no inferior a dos años”.</w:t>
      </w:r>
    </w:p>
    <w:p w:rsidR="00091735" w:rsidRPr="00EC42C3" w:rsidRDefault="00EC42C3" w:rsidP="00091735">
      <w:pPr>
        <w:pStyle w:val="Prrafodelista"/>
        <w:rPr>
          <w:rFonts w:ascii="Times New Roman" w:hAnsi="Times New Roman" w:cs="Times New Roman"/>
          <w:color w:val="000000"/>
          <w:sz w:val="28"/>
          <w:szCs w:val="28"/>
          <w:lang w:val="es-ES"/>
        </w:rPr>
      </w:pPr>
    </w:p>
    <w:p w:rsidR="00091735" w:rsidRPr="00EC42C3" w:rsidRDefault="00EC42C3" w:rsidP="00091735">
      <w:pPr>
        <w:pStyle w:val="Prrafodelista"/>
        <w:numPr>
          <w:ilvl w:val="0"/>
          <w:numId w:val="1"/>
        </w:numPr>
        <w:tabs>
          <w:tab w:val="left" w:pos="426"/>
        </w:tabs>
        <w:ind w:left="0" w:firstLine="0"/>
        <w:contextualSpacing w:val="0"/>
        <w:jc w:val="both"/>
        <w:rPr>
          <w:rFonts w:ascii="Times New Roman" w:hAnsi="Times New Roman" w:cs="Times New Roman"/>
          <w:sz w:val="28"/>
          <w:szCs w:val="28"/>
          <w:lang w:val="es-ES"/>
        </w:rPr>
      </w:pPr>
      <w:r w:rsidRPr="00EC42C3">
        <w:rPr>
          <w:rFonts w:ascii="Times New Roman" w:hAnsi="Times New Roman" w:cs="Times New Roman"/>
          <w:color w:val="000000"/>
          <w:sz w:val="28"/>
          <w:szCs w:val="28"/>
          <w:lang w:val="es-ES"/>
        </w:rPr>
        <w:t>En esa ocasión, esta Corte empleó un juicio integrado de igualdad estricto para evaluar la constitucionalidad del vocablo aludido. Encontró que la norma a la cual pertenece la expresión acu</w:t>
      </w:r>
      <w:r w:rsidRPr="00EC42C3">
        <w:rPr>
          <w:rFonts w:ascii="Times New Roman" w:hAnsi="Times New Roman" w:cs="Times New Roman"/>
          <w:color w:val="000000"/>
          <w:sz w:val="28"/>
          <w:szCs w:val="28"/>
          <w:lang w:val="es-ES"/>
        </w:rPr>
        <w:t xml:space="preserve">sada persigue un fin imperioso, cual es garantizar la unidad familiar de los funcionarios de carrera diplomática y consular que son trasladados. Sin embargo, el trato diferenciado no tiene justificación constitucional y no es efectivamente conducente para </w:t>
      </w:r>
      <w:r w:rsidRPr="00EC42C3">
        <w:rPr>
          <w:rFonts w:ascii="Times New Roman" w:hAnsi="Times New Roman" w:cs="Times New Roman"/>
          <w:color w:val="000000"/>
          <w:sz w:val="28"/>
          <w:szCs w:val="28"/>
          <w:lang w:val="es-ES"/>
        </w:rPr>
        <w:t>lograr ese fin, pues no protege la unidad de familias conformadas por parejas del mismo sexo, cuyas uniones han sido protegidas por la jurisprudencia de esta Corporación frente a tratos desiguales o discriminatorios. </w:t>
      </w:r>
    </w:p>
    <w:p w:rsidR="00091735" w:rsidRPr="00EC42C3" w:rsidRDefault="00EC42C3" w:rsidP="00091735">
      <w:pPr>
        <w:pStyle w:val="Prrafodelista"/>
        <w:rPr>
          <w:rFonts w:ascii="Times New Roman" w:hAnsi="Times New Roman" w:cs="Times New Roman"/>
          <w:color w:val="000000"/>
          <w:sz w:val="28"/>
          <w:szCs w:val="28"/>
          <w:shd w:val="clear" w:color="auto" w:fill="FFFFFF"/>
        </w:rPr>
      </w:pPr>
    </w:p>
    <w:p w:rsidR="00091735" w:rsidRPr="00EC42C3" w:rsidRDefault="00EC42C3" w:rsidP="00091735">
      <w:pPr>
        <w:pStyle w:val="Prrafodelista"/>
        <w:numPr>
          <w:ilvl w:val="0"/>
          <w:numId w:val="1"/>
        </w:numPr>
        <w:tabs>
          <w:tab w:val="left" w:pos="426"/>
        </w:tabs>
        <w:ind w:left="0" w:firstLine="0"/>
        <w:contextualSpacing w:val="0"/>
        <w:jc w:val="both"/>
        <w:rPr>
          <w:rFonts w:ascii="Times New Roman" w:hAnsi="Times New Roman" w:cs="Times New Roman"/>
          <w:sz w:val="28"/>
          <w:szCs w:val="28"/>
          <w:lang w:val="es-ES"/>
        </w:rPr>
      </w:pPr>
      <w:r w:rsidRPr="00EC42C3">
        <w:rPr>
          <w:rFonts w:ascii="Times New Roman" w:hAnsi="Times New Roman" w:cs="Times New Roman"/>
          <w:color w:val="000000"/>
          <w:sz w:val="28"/>
          <w:szCs w:val="28"/>
          <w:shd w:val="clear" w:color="auto" w:fill="FFFFFF"/>
        </w:rPr>
        <w:t>En suma, la jurisprudencia vigente es</w:t>
      </w:r>
      <w:r w:rsidRPr="00EC42C3">
        <w:rPr>
          <w:rFonts w:ascii="Times New Roman" w:hAnsi="Times New Roman" w:cs="Times New Roman"/>
          <w:color w:val="000000"/>
          <w:sz w:val="28"/>
          <w:szCs w:val="28"/>
          <w:shd w:val="clear" w:color="auto" w:fill="FFFFFF"/>
        </w:rPr>
        <w:t>tablece que el concepto de familia es dinámico y variado. Por ende, incluye familias originadas en un matrimonio y en uniones maritales de hecho, sin que haga una diferencia el sexo de quienes las conforman. En esa medida, la Constitución consagra un manda</w:t>
      </w:r>
      <w:r w:rsidRPr="00EC42C3">
        <w:rPr>
          <w:rFonts w:ascii="Times New Roman" w:hAnsi="Times New Roman" w:cs="Times New Roman"/>
          <w:color w:val="000000"/>
          <w:sz w:val="28"/>
          <w:szCs w:val="28"/>
          <w:shd w:val="clear" w:color="auto" w:fill="FFFFFF"/>
        </w:rPr>
        <w:t>to de protección integral respecto de cualquier tipo de familia, sin importar la manera en la que surge o su carácter heterosexual u homosexual. Esto pues el mandato de prohibición de discriminación sexual implica el goce y ejercicio de derechos, los cuale</w:t>
      </w:r>
      <w:r w:rsidRPr="00EC42C3">
        <w:rPr>
          <w:rFonts w:ascii="Times New Roman" w:hAnsi="Times New Roman" w:cs="Times New Roman"/>
          <w:color w:val="000000"/>
          <w:sz w:val="28"/>
          <w:szCs w:val="28"/>
          <w:shd w:val="clear" w:color="auto" w:fill="FFFFFF"/>
        </w:rPr>
        <w:t>s no pueden restringirse por la decisión de una persona de definir su orientación sexual. En consecuencia, al Legislador, de manera general, le está vedado establecer tratos diferenciados o discriminatorios, a partir de la manera en la que se originó la fa</w:t>
      </w:r>
      <w:r w:rsidRPr="00EC42C3">
        <w:rPr>
          <w:rFonts w:ascii="Times New Roman" w:hAnsi="Times New Roman" w:cs="Times New Roman"/>
          <w:color w:val="000000"/>
          <w:sz w:val="28"/>
          <w:szCs w:val="28"/>
          <w:shd w:val="clear" w:color="auto" w:fill="FFFFFF"/>
        </w:rPr>
        <w:t>milia o del sexo de sus integrantes.</w:t>
      </w:r>
    </w:p>
    <w:p w:rsidR="003F06E6" w:rsidRPr="00EC42C3" w:rsidRDefault="00EC42C3" w:rsidP="00837BE4">
      <w:pPr>
        <w:pStyle w:val="Prrafodelista"/>
        <w:tabs>
          <w:tab w:val="left" w:pos="426"/>
        </w:tabs>
        <w:ind w:left="0"/>
        <w:contextualSpacing w:val="0"/>
        <w:jc w:val="both"/>
        <w:rPr>
          <w:rFonts w:ascii="Times New Roman" w:hAnsi="Times New Roman" w:cs="Times New Roman"/>
          <w:b/>
          <w:bCs/>
          <w:sz w:val="28"/>
          <w:szCs w:val="28"/>
          <w:lang w:val="es-ES"/>
        </w:rPr>
      </w:pPr>
    </w:p>
    <w:p w:rsidR="00837BE4" w:rsidRPr="00EC42C3" w:rsidRDefault="00EC42C3" w:rsidP="00930952">
      <w:pPr>
        <w:pStyle w:val="Prrafodelista"/>
        <w:tabs>
          <w:tab w:val="left" w:pos="426"/>
        </w:tabs>
        <w:ind w:left="0"/>
        <w:contextualSpacing w:val="0"/>
        <w:jc w:val="both"/>
        <w:rPr>
          <w:rFonts w:ascii="Times New Roman" w:hAnsi="Times New Roman" w:cs="Times New Roman"/>
          <w:b/>
          <w:bCs/>
          <w:i/>
          <w:iCs/>
          <w:sz w:val="28"/>
          <w:szCs w:val="28"/>
        </w:rPr>
      </w:pPr>
      <w:r w:rsidRPr="00EC42C3">
        <w:rPr>
          <w:rFonts w:ascii="Times New Roman" w:hAnsi="Times New Roman" w:cs="Times New Roman"/>
          <w:b/>
          <w:bCs/>
          <w:sz w:val="28"/>
          <w:szCs w:val="28"/>
          <w:lang w:val="es-ES"/>
        </w:rPr>
        <w:t>Disposiciones del bloque de constitucionalidad referentes a la igualdad y la n</w:t>
      </w:r>
      <w:r w:rsidRPr="00EC42C3">
        <w:rPr>
          <w:rFonts w:ascii="Times New Roman" w:hAnsi="Times New Roman" w:cs="Times New Roman"/>
          <w:b/>
          <w:bCs/>
          <w:sz w:val="28"/>
          <w:szCs w:val="28"/>
          <w:lang w:val="es-ES"/>
        </w:rPr>
        <w:t>o</w:t>
      </w:r>
      <w:r w:rsidRPr="00EC42C3">
        <w:rPr>
          <w:rFonts w:ascii="Times New Roman" w:hAnsi="Times New Roman" w:cs="Times New Roman"/>
          <w:b/>
          <w:bCs/>
          <w:sz w:val="28"/>
          <w:szCs w:val="28"/>
          <w:lang w:val="es-ES"/>
        </w:rPr>
        <w:t xml:space="preserve"> discriminación: el Pacto Internacional de Derechos Civiles y Políticos y la Convención Americana de Derechos Humanos.</w:t>
      </w:r>
      <w:r w:rsidRPr="00EC42C3">
        <w:rPr>
          <w:rFonts w:ascii="Times New Roman" w:hAnsi="Times New Roman" w:cs="Times New Roman"/>
          <w:b/>
          <w:bCs/>
          <w:sz w:val="28"/>
          <w:szCs w:val="28"/>
          <w:lang w:val="es-ES"/>
        </w:rPr>
        <w:t xml:space="preserve"> Reiteración de jurisprudencia</w:t>
      </w:r>
    </w:p>
    <w:p w:rsidR="00837BE4" w:rsidRPr="00EC42C3" w:rsidRDefault="00EC42C3" w:rsidP="00837BE4">
      <w:pPr>
        <w:rPr>
          <w:rFonts w:ascii="Times New Roman" w:hAnsi="Times New Roman" w:cs="Times New Roman"/>
          <w:b/>
          <w:bCs/>
          <w:i/>
          <w:iCs/>
          <w:sz w:val="28"/>
          <w:szCs w:val="28"/>
        </w:rPr>
      </w:pPr>
    </w:p>
    <w:p w:rsidR="00837BE4" w:rsidRPr="00EC42C3" w:rsidRDefault="00EC42C3" w:rsidP="00930952">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shd w:val="clear" w:color="auto" w:fill="FFFFFF"/>
        </w:rPr>
        <w:t>La Constitución</w:t>
      </w:r>
      <w:r w:rsidRPr="00EC42C3">
        <w:rPr>
          <w:rFonts w:ascii="Times New Roman" w:hAnsi="Times New Roman" w:cs="Times New Roman"/>
          <w:sz w:val="28"/>
          <w:szCs w:val="28"/>
          <w:shd w:val="clear" w:color="auto" w:fill="FFFFFF"/>
        </w:rPr>
        <w:t xml:space="preserve">, </w:t>
      </w:r>
      <w:r w:rsidRPr="00EC42C3">
        <w:rPr>
          <w:rFonts w:ascii="Times New Roman" w:hAnsi="Times New Roman" w:cs="Times New Roman"/>
          <w:sz w:val="28"/>
          <w:szCs w:val="28"/>
          <w:shd w:val="clear" w:color="auto" w:fill="FFFFFF"/>
        </w:rPr>
        <w:t>en su artículo 93</w:t>
      </w:r>
      <w:r w:rsidRPr="00EC42C3">
        <w:rPr>
          <w:rFonts w:ascii="Times New Roman" w:hAnsi="Times New Roman" w:cs="Times New Roman"/>
          <w:sz w:val="28"/>
          <w:szCs w:val="28"/>
          <w:shd w:val="clear" w:color="auto" w:fill="FFFFFF"/>
        </w:rPr>
        <w:t>,</w:t>
      </w:r>
      <w:r w:rsidRPr="00EC42C3">
        <w:rPr>
          <w:rFonts w:ascii="Times New Roman" w:hAnsi="Times New Roman" w:cs="Times New Roman"/>
          <w:sz w:val="28"/>
          <w:szCs w:val="28"/>
          <w:shd w:val="clear" w:color="auto" w:fill="FFFFFF"/>
        </w:rPr>
        <w:t xml:space="preserve"> de una parte,</w:t>
      </w:r>
      <w:r w:rsidRPr="00EC42C3">
        <w:rPr>
          <w:rFonts w:ascii="Times New Roman" w:hAnsi="Times New Roman" w:cs="Times New Roman"/>
          <w:sz w:val="28"/>
          <w:szCs w:val="28"/>
          <w:shd w:val="clear" w:color="auto" w:fill="FFFFFF"/>
        </w:rPr>
        <w:t xml:space="preserve"> establece que los tratados y convenios internacionales debidamente ratificados, que reconocen derechos humanos y prohíben su limitación </w:t>
      </w:r>
      <w:r w:rsidRPr="00EC42C3">
        <w:rPr>
          <w:rFonts w:ascii="Times New Roman" w:hAnsi="Times New Roman" w:cs="Times New Roman"/>
          <w:sz w:val="28"/>
          <w:szCs w:val="28"/>
          <w:shd w:val="clear" w:color="auto" w:fill="FFFFFF"/>
        </w:rPr>
        <w:t>durante</w:t>
      </w:r>
      <w:r w:rsidRPr="00EC42C3">
        <w:rPr>
          <w:rFonts w:ascii="Times New Roman" w:hAnsi="Times New Roman" w:cs="Times New Roman"/>
          <w:sz w:val="28"/>
          <w:szCs w:val="28"/>
          <w:shd w:val="clear" w:color="auto" w:fill="FFFFFF"/>
        </w:rPr>
        <w:t xml:space="preserve"> los estados de excepción, prev</w:t>
      </w:r>
      <w:r w:rsidRPr="00EC42C3">
        <w:rPr>
          <w:rFonts w:ascii="Times New Roman" w:hAnsi="Times New Roman" w:cs="Times New Roman"/>
          <w:sz w:val="28"/>
          <w:szCs w:val="28"/>
          <w:shd w:val="clear" w:color="auto" w:fill="FFFFFF"/>
        </w:rPr>
        <w:t xml:space="preserve">alecen en el orden interno. </w:t>
      </w:r>
      <w:r w:rsidRPr="00EC42C3">
        <w:rPr>
          <w:rFonts w:ascii="Times New Roman" w:hAnsi="Times New Roman" w:cs="Times New Roman"/>
          <w:sz w:val="28"/>
          <w:szCs w:val="28"/>
          <w:shd w:val="clear" w:color="auto" w:fill="FFFFFF"/>
        </w:rPr>
        <w:t xml:space="preserve">Y de otra, prevé que </w:t>
      </w:r>
      <w:r w:rsidRPr="00EC42C3">
        <w:rPr>
          <w:rFonts w:ascii="Times New Roman" w:hAnsi="Times New Roman" w:cs="Times New Roman"/>
          <w:sz w:val="28"/>
          <w:szCs w:val="28"/>
          <w:shd w:val="clear" w:color="auto" w:fill="FFFFFF"/>
        </w:rPr>
        <w:t xml:space="preserve">los derechos y </w:t>
      </w:r>
      <w:r w:rsidRPr="00EC42C3">
        <w:rPr>
          <w:rFonts w:ascii="Times New Roman" w:hAnsi="Times New Roman" w:cs="Times New Roman"/>
          <w:sz w:val="28"/>
          <w:szCs w:val="28"/>
          <w:shd w:val="clear" w:color="auto" w:fill="FFFFFF"/>
        </w:rPr>
        <w:t xml:space="preserve">los </w:t>
      </w:r>
      <w:r w:rsidRPr="00EC42C3">
        <w:rPr>
          <w:rFonts w:ascii="Times New Roman" w:hAnsi="Times New Roman" w:cs="Times New Roman"/>
          <w:sz w:val="28"/>
          <w:szCs w:val="28"/>
          <w:shd w:val="clear" w:color="auto" w:fill="FFFFFF"/>
        </w:rPr>
        <w:t xml:space="preserve">deberes </w:t>
      </w:r>
      <w:r w:rsidRPr="00EC42C3">
        <w:rPr>
          <w:rFonts w:ascii="Times New Roman" w:hAnsi="Times New Roman" w:cs="Times New Roman"/>
          <w:sz w:val="28"/>
          <w:szCs w:val="28"/>
          <w:shd w:val="clear" w:color="auto" w:fill="FFFFFF"/>
        </w:rPr>
        <w:t>consagrados</w:t>
      </w:r>
      <w:r w:rsidRPr="00EC42C3">
        <w:rPr>
          <w:rFonts w:ascii="Times New Roman" w:hAnsi="Times New Roman" w:cs="Times New Roman"/>
          <w:sz w:val="28"/>
          <w:szCs w:val="28"/>
          <w:shd w:val="clear" w:color="auto" w:fill="FFFFFF"/>
        </w:rPr>
        <w:t xml:space="preserve"> en </w:t>
      </w:r>
      <w:r w:rsidRPr="00EC42C3">
        <w:rPr>
          <w:rFonts w:ascii="Times New Roman" w:hAnsi="Times New Roman" w:cs="Times New Roman"/>
          <w:sz w:val="28"/>
          <w:szCs w:val="28"/>
          <w:shd w:val="clear" w:color="auto" w:fill="FFFFFF"/>
        </w:rPr>
        <w:t>la norma fundamental</w:t>
      </w:r>
      <w:r w:rsidRPr="00EC42C3">
        <w:rPr>
          <w:rFonts w:ascii="Times New Roman" w:hAnsi="Times New Roman" w:cs="Times New Roman"/>
          <w:sz w:val="28"/>
          <w:szCs w:val="28"/>
          <w:shd w:val="clear" w:color="auto" w:fill="FFFFFF"/>
        </w:rPr>
        <w:t xml:space="preserve"> deben interpretarse</w:t>
      </w:r>
      <w:r w:rsidRPr="00EC42C3">
        <w:rPr>
          <w:rFonts w:ascii="Times New Roman" w:hAnsi="Times New Roman" w:cs="Times New Roman"/>
          <w:sz w:val="28"/>
          <w:szCs w:val="28"/>
          <w:shd w:val="clear" w:color="auto" w:fill="FFFFFF"/>
        </w:rPr>
        <w:t xml:space="preserve"> y conforme</w:t>
      </w:r>
      <w:r w:rsidRPr="00EC42C3">
        <w:rPr>
          <w:rFonts w:ascii="Times New Roman" w:hAnsi="Times New Roman" w:cs="Times New Roman"/>
          <w:sz w:val="28"/>
          <w:szCs w:val="28"/>
          <w:shd w:val="clear" w:color="auto" w:fill="FFFFFF"/>
        </w:rPr>
        <w:t xml:space="preserve"> </w:t>
      </w:r>
      <w:r w:rsidRPr="00EC42C3">
        <w:rPr>
          <w:rFonts w:ascii="Times New Roman" w:hAnsi="Times New Roman" w:cs="Times New Roman"/>
          <w:sz w:val="28"/>
          <w:szCs w:val="28"/>
          <w:shd w:val="clear" w:color="auto" w:fill="FFFFFF"/>
        </w:rPr>
        <w:t>a</w:t>
      </w:r>
      <w:r w:rsidRPr="00EC42C3">
        <w:rPr>
          <w:rFonts w:ascii="Times New Roman" w:hAnsi="Times New Roman" w:cs="Times New Roman"/>
          <w:sz w:val="28"/>
          <w:szCs w:val="28"/>
          <w:shd w:val="clear" w:color="auto" w:fill="FFFFFF"/>
        </w:rPr>
        <w:t xml:space="preserve"> los tratados internacionales </w:t>
      </w:r>
      <w:r w:rsidRPr="00EC42C3">
        <w:rPr>
          <w:rFonts w:ascii="Times New Roman" w:hAnsi="Times New Roman" w:cs="Times New Roman"/>
          <w:sz w:val="28"/>
          <w:szCs w:val="28"/>
          <w:shd w:val="clear" w:color="auto" w:fill="FFFFFF"/>
        </w:rPr>
        <w:t>de</w:t>
      </w:r>
      <w:r w:rsidRPr="00EC42C3">
        <w:rPr>
          <w:rFonts w:ascii="Times New Roman" w:hAnsi="Times New Roman" w:cs="Times New Roman"/>
          <w:sz w:val="28"/>
          <w:szCs w:val="28"/>
          <w:shd w:val="clear" w:color="auto" w:fill="FFFFFF"/>
        </w:rPr>
        <w:t xml:space="preserve"> derechos humanos ratificados por el </w:t>
      </w:r>
      <w:r w:rsidRPr="00EC42C3">
        <w:rPr>
          <w:rFonts w:ascii="Times New Roman" w:hAnsi="Times New Roman" w:cs="Times New Roman"/>
          <w:sz w:val="28"/>
          <w:szCs w:val="28"/>
          <w:shd w:val="clear" w:color="auto" w:fill="FFFFFF"/>
        </w:rPr>
        <w:t>Estado colombiano</w:t>
      </w:r>
      <w:r w:rsidRPr="00EC42C3">
        <w:rPr>
          <w:rFonts w:ascii="Times New Roman" w:hAnsi="Times New Roman" w:cs="Times New Roman"/>
          <w:sz w:val="28"/>
          <w:szCs w:val="28"/>
          <w:shd w:val="clear" w:color="auto" w:fill="FFFFFF"/>
        </w:rPr>
        <w:t>.</w:t>
      </w:r>
      <w:r w:rsidRPr="00EC42C3">
        <w:rPr>
          <w:rStyle w:val="Refdenotaalpie"/>
          <w:rFonts w:ascii="Times New Roman" w:hAnsi="Times New Roman" w:cs="Times New Roman"/>
          <w:sz w:val="28"/>
          <w:szCs w:val="28"/>
          <w:shd w:val="clear" w:color="auto" w:fill="FFFFFF"/>
        </w:rPr>
        <w:footnoteReference w:id="28"/>
      </w:r>
    </w:p>
    <w:p w:rsidR="00EB1C8E" w:rsidRPr="00EC42C3" w:rsidRDefault="00EC42C3" w:rsidP="00EB1C8E">
      <w:pPr>
        <w:pStyle w:val="Prrafodelista"/>
        <w:tabs>
          <w:tab w:val="left" w:pos="426"/>
        </w:tabs>
        <w:ind w:left="0"/>
        <w:contextualSpacing w:val="0"/>
        <w:jc w:val="both"/>
        <w:rPr>
          <w:rFonts w:ascii="Times New Roman" w:hAnsi="Times New Roman" w:cs="Times New Roman"/>
          <w:b/>
          <w:bCs/>
          <w:i/>
          <w:iCs/>
          <w:sz w:val="28"/>
          <w:szCs w:val="28"/>
        </w:rPr>
      </w:pPr>
    </w:p>
    <w:p w:rsidR="00FC2715" w:rsidRPr="00EC42C3" w:rsidRDefault="00EC42C3" w:rsidP="00EB1C8E">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 xml:space="preserve">Con fundamento </w:t>
      </w:r>
      <w:r w:rsidRPr="00EC42C3">
        <w:rPr>
          <w:rFonts w:ascii="Times New Roman" w:hAnsi="Times New Roman" w:cs="Times New Roman"/>
          <w:sz w:val="28"/>
          <w:szCs w:val="28"/>
        </w:rPr>
        <w:t>en dich</w:t>
      </w:r>
      <w:r w:rsidRPr="00EC42C3">
        <w:rPr>
          <w:rFonts w:ascii="Times New Roman" w:hAnsi="Times New Roman" w:cs="Times New Roman"/>
          <w:sz w:val="28"/>
          <w:szCs w:val="28"/>
        </w:rPr>
        <w:t>a disposición</w:t>
      </w:r>
      <w:r w:rsidRPr="00EC42C3">
        <w:rPr>
          <w:rFonts w:ascii="Times New Roman" w:hAnsi="Times New Roman" w:cs="Times New Roman"/>
          <w:sz w:val="28"/>
          <w:szCs w:val="28"/>
        </w:rPr>
        <w:t>, esta Corporación ha identificado el conjunto de normas que integran el denominado bloque de constitucionalidad</w:t>
      </w:r>
      <w:r w:rsidRPr="00EC42C3">
        <w:rPr>
          <w:rFonts w:ascii="Times New Roman" w:hAnsi="Times New Roman" w:cs="Times New Roman"/>
          <w:sz w:val="28"/>
          <w:szCs w:val="28"/>
        </w:rPr>
        <w:t>,</w:t>
      </w:r>
      <w:r w:rsidRPr="00EC42C3">
        <w:rPr>
          <w:rStyle w:val="Refdenotaalpie"/>
          <w:rFonts w:ascii="Times New Roman" w:hAnsi="Times New Roman" w:cs="Times New Roman"/>
          <w:sz w:val="28"/>
          <w:szCs w:val="28"/>
        </w:rPr>
        <w:footnoteReference w:id="29"/>
      </w:r>
      <w:r w:rsidRPr="00EC42C3">
        <w:rPr>
          <w:rFonts w:ascii="Times New Roman" w:hAnsi="Times New Roman" w:cs="Times New Roman"/>
          <w:sz w:val="28"/>
          <w:szCs w:val="28"/>
        </w:rPr>
        <w:t> </w:t>
      </w:r>
      <w:r w:rsidRPr="00EC42C3">
        <w:rPr>
          <w:rFonts w:ascii="Times New Roman" w:hAnsi="Times New Roman" w:cs="Times New Roman"/>
          <w:sz w:val="28"/>
          <w:szCs w:val="28"/>
        </w:rPr>
        <w:t xml:space="preserve">entendido como una unidad jurídica compuesta por </w:t>
      </w:r>
      <w:r w:rsidRPr="00EC42C3">
        <w:rPr>
          <w:rFonts w:ascii="Times New Roman" w:hAnsi="Times New Roman" w:cs="Times New Roman"/>
          <w:sz w:val="28"/>
          <w:szCs w:val="28"/>
        </w:rPr>
        <w:t xml:space="preserve">normas y principios que, aunque no aparecen expresamente en el articulado </w:t>
      </w:r>
      <w:r w:rsidRPr="00EC42C3">
        <w:rPr>
          <w:rFonts w:ascii="Times New Roman" w:hAnsi="Times New Roman" w:cs="Times New Roman"/>
          <w:sz w:val="28"/>
          <w:szCs w:val="28"/>
        </w:rPr>
        <w:t>de la</w:t>
      </w:r>
      <w:r w:rsidRPr="00EC42C3">
        <w:rPr>
          <w:rFonts w:ascii="Times New Roman" w:hAnsi="Times New Roman" w:cs="Times New Roman"/>
          <w:sz w:val="28"/>
          <w:szCs w:val="28"/>
        </w:rPr>
        <w:t xml:space="preserve"> Constitución</w:t>
      </w:r>
      <w:r w:rsidRPr="00EC42C3">
        <w:rPr>
          <w:rFonts w:ascii="Times New Roman" w:hAnsi="Times New Roman" w:cs="Times New Roman"/>
          <w:sz w:val="28"/>
          <w:szCs w:val="28"/>
        </w:rPr>
        <w:t>, sirven como parámetro de control de constitucionalidad</w:t>
      </w:r>
      <w:r w:rsidRPr="00EC42C3">
        <w:rPr>
          <w:rFonts w:ascii="Times New Roman" w:hAnsi="Times New Roman" w:cs="Times New Roman"/>
          <w:sz w:val="28"/>
          <w:szCs w:val="28"/>
        </w:rPr>
        <w:t>,</w:t>
      </w:r>
      <w:r w:rsidRPr="00EC42C3">
        <w:rPr>
          <w:rFonts w:ascii="Times New Roman" w:hAnsi="Times New Roman" w:cs="Times New Roman"/>
          <w:sz w:val="28"/>
          <w:szCs w:val="28"/>
        </w:rPr>
        <w:t xml:space="preserve"> al haber sido incorporados normativamente a la Constitución por mandato del propio Texto Superior.</w:t>
      </w:r>
    </w:p>
    <w:p w:rsidR="00E81B3B" w:rsidRPr="00EC42C3" w:rsidRDefault="00EC42C3" w:rsidP="00E81B3B">
      <w:pPr>
        <w:pStyle w:val="Prrafodelista"/>
        <w:rPr>
          <w:rFonts w:ascii="Times New Roman" w:hAnsi="Times New Roman" w:cs="Times New Roman"/>
          <w:sz w:val="28"/>
          <w:szCs w:val="28"/>
        </w:rPr>
      </w:pPr>
    </w:p>
    <w:p w:rsidR="00E81B3B" w:rsidRPr="00EC42C3" w:rsidRDefault="00EC42C3" w:rsidP="00FC2715">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Adicionalmente, el bloque de constitucionalidad cumple una función hermenéutica fundamental en el orden constitucional, en la medida en que orienta la interpretación sistemática de los derechos consagrados en la Carta a la luz de los tratados internacional</w:t>
      </w:r>
      <w:r w:rsidRPr="00EC42C3">
        <w:rPr>
          <w:rFonts w:ascii="Times New Roman" w:hAnsi="Times New Roman" w:cs="Times New Roman"/>
          <w:sz w:val="28"/>
          <w:szCs w:val="28"/>
        </w:rPr>
        <w:t xml:space="preserve">es de derechos humanos ratificados por Colombia. En virtud del principio </w:t>
      </w:r>
      <w:r w:rsidRPr="00EC42C3">
        <w:rPr>
          <w:rFonts w:ascii="Times New Roman" w:hAnsi="Times New Roman" w:cs="Times New Roman"/>
          <w:i/>
          <w:iCs/>
          <w:sz w:val="28"/>
          <w:szCs w:val="28"/>
        </w:rPr>
        <w:t>pro personae</w:t>
      </w:r>
      <w:r w:rsidRPr="00EC42C3">
        <w:rPr>
          <w:rFonts w:ascii="Times New Roman" w:hAnsi="Times New Roman" w:cs="Times New Roman"/>
          <w:sz w:val="28"/>
          <w:szCs w:val="28"/>
        </w:rPr>
        <w:t>, esta interpretación debe realizarse en el sentido que resulte más favorable a la persona y que permita ampliar las garantías constitucionales, especialmente en materia d</w:t>
      </w:r>
      <w:r w:rsidRPr="00EC42C3">
        <w:rPr>
          <w:rFonts w:ascii="Times New Roman" w:hAnsi="Times New Roman" w:cs="Times New Roman"/>
          <w:sz w:val="28"/>
          <w:szCs w:val="28"/>
        </w:rPr>
        <w:t>e igualdad, no discriminación y protección de la familia</w:t>
      </w:r>
    </w:p>
    <w:p w:rsidR="00E81B3B" w:rsidRPr="00EC42C3" w:rsidRDefault="00EC42C3" w:rsidP="00FC2715">
      <w:pPr>
        <w:pStyle w:val="Prrafodelista"/>
        <w:tabs>
          <w:tab w:val="left" w:pos="426"/>
        </w:tabs>
        <w:ind w:left="0"/>
        <w:contextualSpacing w:val="0"/>
        <w:jc w:val="both"/>
        <w:rPr>
          <w:rFonts w:ascii="Times New Roman" w:hAnsi="Times New Roman" w:cs="Times New Roman"/>
          <w:b/>
          <w:bCs/>
          <w:i/>
          <w:iCs/>
          <w:sz w:val="28"/>
          <w:szCs w:val="28"/>
        </w:rPr>
      </w:pPr>
    </w:p>
    <w:p w:rsidR="00FC2715" w:rsidRPr="00EC42C3" w:rsidRDefault="00EC42C3" w:rsidP="00EB1C8E">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rPr>
        <w:t>En</w:t>
      </w:r>
      <w:r w:rsidRPr="00EC42C3">
        <w:rPr>
          <w:rFonts w:ascii="Times New Roman" w:hAnsi="Times New Roman" w:cs="Times New Roman"/>
          <w:sz w:val="28"/>
          <w:szCs w:val="28"/>
        </w:rPr>
        <w:t xml:space="preserve"> particular, la Corte ha reconocido que el </w:t>
      </w:r>
      <w:r w:rsidRPr="00EC42C3">
        <w:rPr>
          <w:rFonts w:ascii="Times New Roman" w:hAnsi="Times New Roman" w:cs="Times New Roman"/>
          <w:sz w:val="28"/>
          <w:szCs w:val="28"/>
        </w:rPr>
        <w:t xml:space="preserve">Pacto Internacional de Derechos Civiles y Políticos y </w:t>
      </w:r>
      <w:r w:rsidRPr="00EC42C3">
        <w:rPr>
          <w:rFonts w:ascii="Times New Roman" w:hAnsi="Times New Roman" w:cs="Times New Roman"/>
          <w:sz w:val="28"/>
          <w:szCs w:val="28"/>
        </w:rPr>
        <w:t xml:space="preserve">a </w:t>
      </w:r>
      <w:r w:rsidRPr="00EC42C3">
        <w:rPr>
          <w:rFonts w:ascii="Times New Roman" w:hAnsi="Times New Roman" w:cs="Times New Roman"/>
          <w:sz w:val="28"/>
          <w:szCs w:val="28"/>
        </w:rPr>
        <w:t>la Convención Americana de Derechos Humanos forman parte del bloque de constitucionalidad y const</w:t>
      </w:r>
      <w:r w:rsidRPr="00EC42C3">
        <w:rPr>
          <w:rFonts w:ascii="Times New Roman" w:hAnsi="Times New Roman" w:cs="Times New Roman"/>
          <w:sz w:val="28"/>
          <w:szCs w:val="28"/>
        </w:rPr>
        <w:t>ituyen parámetros de control para evaluar la validez de las normas internas. Así, en la Sentencia C-200 de 2002</w:t>
      </w:r>
      <w:r w:rsidRPr="00EC42C3">
        <w:rPr>
          <w:rFonts w:ascii="Times New Roman" w:hAnsi="Times New Roman" w:cs="Times New Roman"/>
          <w:sz w:val="28"/>
          <w:szCs w:val="28"/>
        </w:rPr>
        <w:t xml:space="preserve"> se</w:t>
      </w:r>
      <w:r w:rsidRPr="00EC42C3">
        <w:rPr>
          <w:rFonts w:ascii="Times New Roman" w:hAnsi="Times New Roman" w:cs="Times New Roman"/>
          <w:sz w:val="28"/>
          <w:szCs w:val="28"/>
        </w:rPr>
        <w:t xml:space="preserve"> determinó que el derecho al debido proceso, en sus distintas manifestaciones (principio de legalidad, favorabilidad e irretroactividad de la </w:t>
      </w:r>
      <w:r w:rsidRPr="00EC42C3">
        <w:rPr>
          <w:rFonts w:ascii="Times New Roman" w:hAnsi="Times New Roman" w:cs="Times New Roman"/>
          <w:sz w:val="28"/>
          <w:szCs w:val="28"/>
        </w:rPr>
        <w:t>ley penal), integra el bloque de constitucionalidad en sentido estricto. De igual manera, en la Sentencia C-430 de 2019</w:t>
      </w:r>
      <w:r w:rsidRPr="00EC42C3">
        <w:rPr>
          <w:rFonts w:ascii="Times New Roman" w:hAnsi="Times New Roman" w:cs="Times New Roman"/>
          <w:sz w:val="28"/>
          <w:szCs w:val="28"/>
        </w:rPr>
        <w:t xml:space="preserve"> se </w:t>
      </w:r>
      <w:r w:rsidRPr="00EC42C3">
        <w:rPr>
          <w:rFonts w:ascii="Times New Roman" w:hAnsi="Times New Roman" w:cs="Times New Roman"/>
          <w:sz w:val="28"/>
          <w:szCs w:val="28"/>
        </w:rPr>
        <w:t xml:space="preserve">acudió al artículo 4 del Pacto Internacional de Derechos Civiles y Políticos y al artículo 27 de la Convención Americana de Derechos </w:t>
      </w:r>
      <w:r w:rsidRPr="00EC42C3">
        <w:rPr>
          <w:rFonts w:ascii="Times New Roman" w:hAnsi="Times New Roman" w:cs="Times New Roman"/>
          <w:sz w:val="28"/>
          <w:szCs w:val="28"/>
        </w:rPr>
        <w:t xml:space="preserve">Humanos para declarar la exequibilidad de la expresión </w:t>
      </w:r>
      <w:r w:rsidRPr="00EC42C3">
        <w:rPr>
          <w:rFonts w:ascii="Times New Roman" w:hAnsi="Times New Roman" w:cs="Times New Roman"/>
          <w:i/>
          <w:iCs/>
          <w:sz w:val="28"/>
          <w:szCs w:val="28"/>
        </w:rPr>
        <w:t>“incluso con la entrega de la propia vida cuando sea necesario”,</w:t>
      </w:r>
      <w:r w:rsidRPr="00EC42C3">
        <w:rPr>
          <w:rFonts w:ascii="Times New Roman" w:hAnsi="Times New Roman" w:cs="Times New Roman"/>
          <w:sz w:val="28"/>
          <w:szCs w:val="28"/>
        </w:rPr>
        <w:t xml:space="preserve"> contenida en el artículo 1 de la Ley 1862 de 2017. Ambos instrumentos internacionales, además, desarrollan de forma expresa los principi</w:t>
      </w:r>
      <w:r w:rsidRPr="00EC42C3">
        <w:rPr>
          <w:rFonts w:ascii="Times New Roman" w:hAnsi="Times New Roman" w:cs="Times New Roman"/>
          <w:sz w:val="28"/>
          <w:szCs w:val="28"/>
        </w:rPr>
        <w:t>os de igualdad y no discriminación que orientan la interpretación de los derechos fundamentales en el orden interno.</w:t>
      </w:r>
    </w:p>
    <w:p w:rsidR="00FC2715" w:rsidRPr="00EC42C3" w:rsidRDefault="00EC42C3" w:rsidP="00FC2715">
      <w:pPr>
        <w:pStyle w:val="Prrafodelista"/>
        <w:tabs>
          <w:tab w:val="left" w:pos="426"/>
        </w:tabs>
        <w:ind w:left="0"/>
        <w:contextualSpacing w:val="0"/>
        <w:jc w:val="both"/>
        <w:rPr>
          <w:rFonts w:ascii="Times New Roman" w:hAnsi="Times New Roman" w:cs="Times New Roman"/>
          <w:b/>
          <w:bCs/>
          <w:i/>
          <w:iCs/>
          <w:sz w:val="28"/>
          <w:szCs w:val="28"/>
        </w:rPr>
      </w:pPr>
    </w:p>
    <w:p w:rsidR="00FC2715" w:rsidRPr="00EC42C3" w:rsidRDefault="00EC42C3" w:rsidP="00FC2715">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lang w:val="es-ES"/>
        </w:rPr>
        <w:t>De manera específica</w:t>
      </w:r>
      <w:r w:rsidRPr="00EC42C3">
        <w:rPr>
          <w:rFonts w:ascii="Times New Roman" w:hAnsi="Times New Roman" w:cs="Times New Roman"/>
          <w:sz w:val="28"/>
          <w:szCs w:val="28"/>
          <w:lang w:val="es-ES"/>
        </w:rPr>
        <w:t>, los artículos 2º del Pacto Internacional de Derechos Civiles y Políticos y 24 de la Convención Americana sobre Derec</w:t>
      </w:r>
      <w:r w:rsidRPr="00EC42C3">
        <w:rPr>
          <w:rFonts w:ascii="Times New Roman" w:hAnsi="Times New Roman" w:cs="Times New Roman"/>
          <w:sz w:val="28"/>
          <w:szCs w:val="28"/>
          <w:lang w:val="es-ES"/>
        </w:rPr>
        <w:t xml:space="preserve">hos Humanos han servido como parámetro de control de constitucionalidad en casos relacionados con el principio de igualdad consagrado en el artículo 13 Superior. Así, por ejemplo, en la Sentencia C-204 de 2005 </w:t>
      </w:r>
      <w:r w:rsidRPr="00EC42C3">
        <w:rPr>
          <w:rFonts w:ascii="Times New Roman" w:hAnsi="Times New Roman" w:cs="Times New Roman"/>
          <w:sz w:val="28"/>
          <w:szCs w:val="28"/>
          <w:lang w:val="es-ES"/>
        </w:rPr>
        <w:t>se</w:t>
      </w:r>
      <w:r w:rsidRPr="00EC42C3">
        <w:rPr>
          <w:rFonts w:ascii="Times New Roman" w:hAnsi="Times New Roman" w:cs="Times New Roman"/>
          <w:sz w:val="28"/>
          <w:szCs w:val="28"/>
          <w:lang w:val="es-ES"/>
        </w:rPr>
        <w:t xml:space="preserve"> declaró inexequible un aparte del artículo 449 del Código Civil, al considerar que establecía un trato desigual entre los padres de hijos extramatrimoniales y los padres de hijos concebidos dentro del matrimonio. La Sala concluyó que tal distinción descon</w:t>
      </w:r>
      <w:r w:rsidRPr="00EC42C3">
        <w:rPr>
          <w:rFonts w:ascii="Times New Roman" w:hAnsi="Times New Roman" w:cs="Times New Roman"/>
          <w:sz w:val="28"/>
          <w:szCs w:val="28"/>
          <w:lang w:val="es-ES"/>
        </w:rPr>
        <w:t>ocía la protección igualitaria que debe otorgarse a todas las formas de familia, vulnerando no solo la Constitución, sino también los estándares internacionales de igualdad previstos en los citados instrumentos.</w:t>
      </w:r>
    </w:p>
    <w:p w:rsidR="00FC2715" w:rsidRPr="00EC42C3" w:rsidRDefault="00EC42C3" w:rsidP="00FC2715">
      <w:pPr>
        <w:pStyle w:val="Prrafodelista"/>
        <w:rPr>
          <w:rFonts w:ascii="Times New Roman" w:hAnsi="Times New Roman" w:cs="Times New Roman"/>
          <w:b/>
          <w:bCs/>
          <w:i/>
          <w:iCs/>
          <w:sz w:val="28"/>
          <w:szCs w:val="28"/>
        </w:rPr>
      </w:pPr>
    </w:p>
    <w:p w:rsidR="00FC2715" w:rsidRPr="00EC42C3" w:rsidRDefault="00EC42C3" w:rsidP="00FC2715">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lang w:val="es-ES"/>
        </w:rPr>
        <w:t>Asimismo, en la Sentencia C-075 de 2007</w:t>
      </w:r>
      <w:r w:rsidRPr="00EC42C3">
        <w:rPr>
          <w:rFonts w:ascii="Times New Roman" w:hAnsi="Times New Roman" w:cs="Times New Roman"/>
          <w:sz w:val="28"/>
          <w:szCs w:val="28"/>
          <w:lang w:val="es-ES"/>
        </w:rPr>
        <w:t xml:space="preserve"> s</w:t>
      </w:r>
      <w:r w:rsidRPr="00EC42C3">
        <w:rPr>
          <w:rFonts w:ascii="Times New Roman" w:hAnsi="Times New Roman" w:cs="Times New Roman"/>
          <w:sz w:val="28"/>
          <w:szCs w:val="28"/>
          <w:lang w:val="es-ES"/>
        </w:rPr>
        <w:t xml:space="preserve">e </w:t>
      </w:r>
      <w:r w:rsidRPr="00EC42C3">
        <w:rPr>
          <w:rFonts w:ascii="Times New Roman" w:hAnsi="Times New Roman" w:cs="Times New Roman"/>
          <w:sz w:val="28"/>
          <w:szCs w:val="28"/>
          <w:lang w:val="es-ES"/>
        </w:rPr>
        <w:t>reconoció la validez de las uniones maritales de hecho entre parejas del mismo sexo</w:t>
      </w:r>
      <w:r w:rsidRPr="00EC42C3">
        <w:rPr>
          <w:rFonts w:ascii="Times New Roman" w:hAnsi="Times New Roman" w:cs="Times New Roman"/>
          <w:sz w:val="28"/>
          <w:szCs w:val="28"/>
          <w:lang w:val="es-ES"/>
        </w:rPr>
        <w:t>. Para ello, la Sala</w:t>
      </w:r>
      <w:r w:rsidRPr="00EC42C3">
        <w:rPr>
          <w:rFonts w:ascii="Times New Roman" w:hAnsi="Times New Roman" w:cs="Times New Roman"/>
          <w:sz w:val="28"/>
          <w:szCs w:val="28"/>
          <w:lang w:val="es-ES"/>
        </w:rPr>
        <w:t xml:space="preserve"> acudió como parámetro de constitucionalidad a los artículos 26 del Pacto Internacional de Derechos Civiles y Políticos y 24 de la Convención Americana s</w:t>
      </w:r>
      <w:r w:rsidRPr="00EC42C3">
        <w:rPr>
          <w:rFonts w:ascii="Times New Roman" w:hAnsi="Times New Roman" w:cs="Times New Roman"/>
          <w:sz w:val="28"/>
          <w:szCs w:val="28"/>
          <w:lang w:val="es-ES"/>
        </w:rPr>
        <w:t xml:space="preserve">obre Derechos Humanos. En esa </w:t>
      </w:r>
      <w:r w:rsidRPr="00EC42C3">
        <w:rPr>
          <w:rFonts w:ascii="Times New Roman" w:hAnsi="Times New Roman" w:cs="Times New Roman"/>
          <w:sz w:val="28"/>
          <w:szCs w:val="28"/>
          <w:lang w:val="es-ES"/>
        </w:rPr>
        <w:t>sentencia se</w:t>
      </w:r>
      <w:r w:rsidRPr="00EC42C3">
        <w:rPr>
          <w:rFonts w:ascii="Times New Roman" w:hAnsi="Times New Roman" w:cs="Times New Roman"/>
          <w:sz w:val="28"/>
          <w:szCs w:val="28"/>
          <w:lang w:val="es-ES"/>
        </w:rPr>
        <w:t xml:space="preserve"> precisó que la prohibición de discriminar por orientación sexual se desprende directamente de estos instrumentos internacionales, los cuales integran el bloque de constitucionalidad y proscriben de manera general </w:t>
      </w:r>
      <w:r w:rsidRPr="00EC42C3">
        <w:rPr>
          <w:rFonts w:ascii="Times New Roman" w:hAnsi="Times New Roman" w:cs="Times New Roman"/>
          <w:sz w:val="28"/>
          <w:szCs w:val="28"/>
          <w:lang w:val="es-ES"/>
        </w:rPr>
        <w:t>cualquier forma de discriminación.</w:t>
      </w:r>
    </w:p>
    <w:p w:rsidR="00B46943" w:rsidRPr="00EC42C3" w:rsidRDefault="00EC42C3" w:rsidP="00FC2715">
      <w:pPr>
        <w:rPr>
          <w:rFonts w:ascii="Times New Roman" w:hAnsi="Times New Roman" w:cs="Times New Roman"/>
          <w:b/>
          <w:bCs/>
          <w:i/>
          <w:iCs/>
          <w:sz w:val="28"/>
          <w:szCs w:val="28"/>
        </w:rPr>
      </w:pPr>
    </w:p>
    <w:p w:rsidR="00EB1C8E" w:rsidRPr="00EC42C3" w:rsidRDefault="00EC42C3" w:rsidP="00EB1C8E">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lang w:val="es-ES"/>
        </w:rPr>
        <w:t>Específicamente,</w:t>
      </w:r>
      <w:r w:rsidRPr="00EC42C3">
        <w:rPr>
          <w:rFonts w:ascii="Times New Roman" w:hAnsi="Times New Roman" w:cs="Times New Roman"/>
          <w:sz w:val="28"/>
          <w:szCs w:val="28"/>
          <w:lang w:val="es-ES"/>
        </w:rPr>
        <w:t xml:space="preserve"> el Pacto Internacional de Derechos Civiles y Políticos, en sus artículos 2º y 26, dispone que los </w:t>
      </w:r>
      <w:r w:rsidRPr="00EC42C3">
        <w:rPr>
          <w:rFonts w:ascii="Times New Roman" w:hAnsi="Times New Roman" w:cs="Times New Roman"/>
          <w:sz w:val="28"/>
          <w:szCs w:val="28"/>
          <w:lang w:val="es-ES"/>
        </w:rPr>
        <w:t>Estados Parte</w:t>
      </w:r>
      <w:r w:rsidRPr="00EC42C3">
        <w:rPr>
          <w:rFonts w:ascii="Times New Roman" w:hAnsi="Times New Roman" w:cs="Times New Roman"/>
          <w:sz w:val="28"/>
          <w:szCs w:val="28"/>
          <w:lang w:val="es-ES"/>
        </w:rPr>
        <w:t xml:space="preserve"> deben garantizar a todas las personas, bajo su jurisdicción, el goce de los derechos recono</w:t>
      </w:r>
      <w:r w:rsidRPr="00EC42C3">
        <w:rPr>
          <w:rFonts w:ascii="Times New Roman" w:hAnsi="Times New Roman" w:cs="Times New Roman"/>
          <w:sz w:val="28"/>
          <w:szCs w:val="28"/>
          <w:lang w:val="es-ES"/>
        </w:rPr>
        <w:t>cidos en dicho instrumento, sin distinción alguna basada en motivos como raza, sexo, idioma, religión, opinión política, origen social, posición económica o cualquier otra condición. Asimismo, establece que todas las personas son iguales ante la ley y tien</w:t>
      </w:r>
      <w:r w:rsidRPr="00EC42C3">
        <w:rPr>
          <w:rFonts w:ascii="Times New Roman" w:hAnsi="Times New Roman" w:cs="Times New Roman"/>
          <w:sz w:val="28"/>
          <w:szCs w:val="28"/>
          <w:lang w:val="es-ES"/>
        </w:rPr>
        <w:t>en derecho a recibir la misma protección jurídica, sin discriminación, obligando a los Estados a prohibir y prevenir cualquier trato desigual.</w:t>
      </w:r>
    </w:p>
    <w:p w:rsidR="00EB1C8E" w:rsidRPr="00EC42C3" w:rsidRDefault="00EC42C3" w:rsidP="00EB1C8E">
      <w:pPr>
        <w:pStyle w:val="Prrafodelista"/>
        <w:rPr>
          <w:rFonts w:ascii="Times New Roman" w:hAnsi="Times New Roman" w:cs="Times New Roman"/>
          <w:sz w:val="28"/>
          <w:szCs w:val="28"/>
        </w:rPr>
      </w:pPr>
    </w:p>
    <w:p w:rsidR="00EB1C8E" w:rsidRPr="00EC42C3" w:rsidRDefault="00EC42C3" w:rsidP="00EB1C8E">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 xml:space="preserve">A su vez, el artículo 23 del Pacto Internacional de Derechos Civiles y Políticos dispone que </w:t>
      </w:r>
      <w:r w:rsidRPr="00EC42C3">
        <w:rPr>
          <w:rFonts w:ascii="Times New Roman" w:hAnsi="Times New Roman" w:cs="Times New Roman"/>
          <w:i/>
          <w:iCs/>
          <w:sz w:val="28"/>
          <w:szCs w:val="28"/>
        </w:rPr>
        <w:t>“la familia es el e</w:t>
      </w:r>
      <w:r w:rsidRPr="00EC42C3">
        <w:rPr>
          <w:rFonts w:ascii="Times New Roman" w:hAnsi="Times New Roman" w:cs="Times New Roman"/>
          <w:i/>
          <w:iCs/>
          <w:sz w:val="28"/>
          <w:szCs w:val="28"/>
        </w:rPr>
        <w:t>lemento natural y fundamental de la sociedad y tiene derecho a la protección de la sociedad y del Estado”,</w:t>
      </w:r>
      <w:r w:rsidRPr="00EC42C3">
        <w:rPr>
          <w:rFonts w:ascii="Times New Roman" w:hAnsi="Times New Roman" w:cs="Times New Roman"/>
          <w:sz w:val="28"/>
          <w:szCs w:val="28"/>
        </w:rPr>
        <w:t xml:space="preserve"> y que los Estados Parte deben adoptar medidas para asegurar la igualdad de derechos y responsabilidades de ambos esposos durante el matrimonio y en c</w:t>
      </w:r>
      <w:r w:rsidRPr="00EC42C3">
        <w:rPr>
          <w:rFonts w:ascii="Times New Roman" w:hAnsi="Times New Roman" w:cs="Times New Roman"/>
          <w:sz w:val="28"/>
          <w:szCs w:val="28"/>
        </w:rPr>
        <w:t>aso de su disolución, garantizando la protección necesaria a los hijos. Por su parte, el artículo 17 de la Convención Americana sobre Derechos Humanos reconoce de manera equivalente el derecho de la familia a esa protección y el deber de los Estados de pre</w:t>
      </w:r>
      <w:r w:rsidRPr="00EC42C3">
        <w:rPr>
          <w:rFonts w:ascii="Times New Roman" w:hAnsi="Times New Roman" w:cs="Times New Roman"/>
          <w:sz w:val="28"/>
          <w:szCs w:val="28"/>
        </w:rPr>
        <w:t>servarla. En desarrollo de estas normas, la Observación General No. 19 (1990) del Comité de Derechos Humanos precisó que el concepto de familia puede variar según los contextos culturales y sociales, pero que, una vez un grupo es reconocido como familia po</w:t>
      </w:r>
      <w:r w:rsidRPr="00EC42C3">
        <w:rPr>
          <w:rFonts w:ascii="Times New Roman" w:hAnsi="Times New Roman" w:cs="Times New Roman"/>
          <w:sz w:val="28"/>
          <w:szCs w:val="28"/>
        </w:rPr>
        <w:t>r el derecho interno, se convierte en titular de la protección internacional correspondiente. De ahí que los Estados estén obligados a garantizar una protección igualitaria a todas las formas familiares, sin discriminación basada en el origen o formalizaci</w:t>
      </w:r>
      <w:r w:rsidRPr="00EC42C3">
        <w:rPr>
          <w:rFonts w:ascii="Times New Roman" w:hAnsi="Times New Roman" w:cs="Times New Roman"/>
          <w:sz w:val="28"/>
          <w:szCs w:val="28"/>
        </w:rPr>
        <w:t>ón del vínculo.</w:t>
      </w:r>
    </w:p>
    <w:p w:rsidR="00EB1C8E" w:rsidRPr="00EC42C3" w:rsidRDefault="00EC42C3" w:rsidP="00EB1C8E">
      <w:pPr>
        <w:tabs>
          <w:tab w:val="left" w:pos="426"/>
        </w:tabs>
        <w:jc w:val="both"/>
        <w:rPr>
          <w:rFonts w:ascii="Times New Roman" w:hAnsi="Times New Roman" w:cs="Times New Roman"/>
          <w:sz w:val="28"/>
          <w:szCs w:val="28"/>
        </w:rPr>
      </w:pPr>
    </w:p>
    <w:p w:rsidR="00AE1016" w:rsidRPr="00EC42C3" w:rsidRDefault="00EC42C3" w:rsidP="00EB1C8E">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shd w:val="clear" w:color="auto" w:fill="FFFFFF"/>
        </w:rPr>
        <w:t>De igual forma</w:t>
      </w:r>
      <w:r w:rsidRPr="00EC42C3">
        <w:rPr>
          <w:rFonts w:ascii="Times New Roman" w:hAnsi="Times New Roman" w:cs="Times New Roman"/>
          <w:sz w:val="28"/>
          <w:szCs w:val="28"/>
          <w:shd w:val="clear" w:color="auto" w:fill="FFFFFF"/>
        </w:rPr>
        <w:t>, la Convención Americana sobre Derechos Humanos, en sus artículos 1º y 24, establece que los Estados Partes tienen la obligación de respetar y garantizar a todas las personas los derechos y libertades reconocidos en dicho in</w:t>
      </w:r>
      <w:r w:rsidRPr="00EC42C3">
        <w:rPr>
          <w:rFonts w:ascii="Times New Roman" w:hAnsi="Times New Roman" w:cs="Times New Roman"/>
          <w:sz w:val="28"/>
          <w:szCs w:val="28"/>
          <w:shd w:val="clear" w:color="auto" w:fill="FFFFFF"/>
        </w:rPr>
        <w:t>strumento, sin discriminación alguna basada en razones como raza, sexo, religión, opiniones políticas, origen social o cualquier otra condición. Además, dispone que todas las personas son iguales ante la ley y, en consecuencia, deben recibir la misma prote</w:t>
      </w:r>
      <w:r w:rsidRPr="00EC42C3">
        <w:rPr>
          <w:rFonts w:ascii="Times New Roman" w:hAnsi="Times New Roman" w:cs="Times New Roman"/>
          <w:sz w:val="28"/>
          <w:szCs w:val="28"/>
          <w:shd w:val="clear" w:color="auto" w:fill="FFFFFF"/>
        </w:rPr>
        <w:t>cción jurídica sin distinción alguna.</w:t>
      </w:r>
    </w:p>
    <w:p w:rsidR="0017491A" w:rsidRPr="00EC42C3" w:rsidRDefault="00EC42C3" w:rsidP="0017491A">
      <w:pPr>
        <w:pStyle w:val="Prrafodelista"/>
        <w:tabs>
          <w:tab w:val="left" w:pos="426"/>
        </w:tabs>
        <w:ind w:left="0"/>
        <w:contextualSpacing w:val="0"/>
        <w:jc w:val="both"/>
        <w:rPr>
          <w:rFonts w:ascii="Times New Roman" w:hAnsi="Times New Roman" w:cs="Times New Roman"/>
          <w:b/>
          <w:bCs/>
          <w:i/>
          <w:iCs/>
          <w:sz w:val="28"/>
          <w:szCs w:val="28"/>
        </w:rPr>
      </w:pPr>
    </w:p>
    <w:p w:rsidR="00F12961" w:rsidRPr="00EC42C3" w:rsidRDefault="00EC42C3" w:rsidP="00F12961">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lang w:val="es-ES"/>
        </w:rPr>
        <w:t xml:space="preserve">En </w:t>
      </w:r>
      <w:r w:rsidRPr="00EC42C3">
        <w:rPr>
          <w:rFonts w:ascii="Times New Roman" w:hAnsi="Times New Roman" w:cs="Times New Roman"/>
          <w:sz w:val="28"/>
          <w:szCs w:val="28"/>
        </w:rPr>
        <w:t>conclusión, esta Corporación ha utilizado de manera reiterada las disposiciones sobre el derecho a la igualdad contenidas en el Pacto Internacional de Derechos Civiles y Políticos y en la Convención Americana sobre Derechos Humanos como parámetros de contr</w:t>
      </w:r>
      <w:r w:rsidRPr="00EC42C3">
        <w:rPr>
          <w:rFonts w:ascii="Times New Roman" w:hAnsi="Times New Roman" w:cs="Times New Roman"/>
          <w:sz w:val="28"/>
          <w:szCs w:val="28"/>
        </w:rPr>
        <w:t>ol de constitucionalidad frente a normas legales acusadas de desconocer el mandato de igualdad y no discriminación del artículo 13 Superior. Dichos instrumentos internacionales establecen que todas las personas son iguales ante la ley, deben gozar de igual</w:t>
      </w:r>
      <w:r w:rsidRPr="00EC42C3">
        <w:rPr>
          <w:rFonts w:ascii="Times New Roman" w:hAnsi="Times New Roman" w:cs="Times New Roman"/>
          <w:sz w:val="28"/>
          <w:szCs w:val="28"/>
        </w:rPr>
        <w:t xml:space="preserve"> protección y no pueden ser objeto de discriminación por razones de raza, color, sexo, idioma, religión, opiniones políticas o de cualquier índole, origen nacional o social, posición económica, nacimiento o cualquier otra condición.</w:t>
      </w:r>
    </w:p>
    <w:p w:rsidR="00F12961" w:rsidRPr="00EC42C3" w:rsidRDefault="00EC42C3" w:rsidP="00F12961">
      <w:pPr>
        <w:rPr>
          <w:rFonts w:ascii="Times New Roman" w:hAnsi="Times New Roman" w:cs="Times New Roman"/>
          <w:sz w:val="28"/>
          <w:szCs w:val="28"/>
          <w:lang w:val="es-ES"/>
        </w:rPr>
      </w:pPr>
    </w:p>
    <w:p w:rsidR="00214CBA" w:rsidRPr="00EC42C3" w:rsidRDefault="00EC42C3" w:rsidP="00214CBA">
      <w:pPr>
        <w:pStyle w:val="Prrafodelista"/>
        <w:tabs>
          <w:tab w:val="left" w:pos="426"/>
        </w:tabs>
        <w:ind w:left="0"/>
        <w:contextualSpacing w:val="0"/>
        <w:jc w:val="both"/>
        <w:rPr>
          <w:rFonts w:ascii="Times New Roman" w:hAnsi="Times New Roman" w:cs="Times New Roman"/>
          <w:b/>
          <w:bCs/>
          <w:i/>
          <w:iCs/>
          <w:sz w:val="28"/>
          <w:szCs w:val="28"/>
        </w:rPr>
      </w:pPr>
    </w:p>
    <w:p w:rsidR="00214CBA" w:rsidRPr="00EC42C3" w:rsidRDefault="00EC42C3" w:rsidP="00214CBA">
      <w:pPr>
        <w:pStyle w:val="Prrafodelista"/>
        <w:tabs>
          <w:tab w:val="left" w:pos="426"/>
        </w:tabs>
        <w:ind w:left="0"/>
        <w:contextualSpacing w:val="0"/>
        <w:jc w:val="both"/>
        <w:rPr>
          <w:rFonts w:ascii="Times New Roman" w:hAnsi="Times New Roman" w:cs="Times New Roman"/>
          <w:b/>
          <w:bCs/>
          <w:sz w:val="28"/>
          <w:szCs w:val="28"/>
        </w:rPr>
      </w:pPr>
      <w:r w:rsidRPr="00EC42C3">
        <w:rPr>
          <w:rFonts w:ascii="Times New Roman" w:hAnsi="Times New Roman" w:cs="Times New Roman"/>
          <w:b/>
          <w:bCs/>
          <w:sz w:val="28"/>
          <w:szCs w:val="28"/>
        </w:rPr>
        <w:t xml:space="preserve">Solución al problema </w:t>
      </w:r>
      <w:r w:rsidRPr="00EC42C3">
        <w:rPr>
          <w:rFonts w:ascii="Times New Roman" w:hAnsi="Times New Roman" w:cs="Times New Roman"/>
          <w:b/>
          <w:bCs/>
          <w:sz w:val="28"/>
          <w:szCs w:val="28"/>
        </w:rPr>
        <w:t xml:space="preserve">jurídico </w:t>
      </w:r>
    </w:p>
    <w:p w:rsidR="00214CBA" w:rsidRPr="00EC42C3" w:rsidRDefault="00EC42C3" w:rsidP="00214CBA">
      <w:pPr>
        <w:pStyle w:val="Prrafodelista"/>
        <w:tabs>
          <w:tab w:val="left" w:pos="426"/>
        </w:tabs>
        <w:ind w:left="0"/>
        <w:contextualSpacing w:val="0"/>
        <w:jc w:val="both"/>
        <w:rPr>
          <w:rFonts w:ascii="Times New Roman" w:hAnsi="Times New Roman" w:cs="Times New Roman"/>
          <w:b/>
          <w:bCs/>
          <w:i/>
          <w:iCs/>
          <w:sz w:val="28"/>
          <w:szCs w:val="28"/>
        </w:rPr>
      </w:pPr>
    </w:p>
    <w:p w:rsidR="00A64A07" w:rsidRPr="00EC42C3" w:rsidRDefault="00EC42C3" w:rsidP="00A64A07">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b/>
          <w:bCs/>
          <w:sz w:val="28"/>
          <w:szCs w:val="28"/>
        </w:rPr>
        <w:t xml:space="preserve">En primer lugar, </w:t>
      </w:r>
      <w:r w:rsidRPr="00EC42C3">
        <w:rPr>
          <w:rFonts w:ascii="Times New Roman" w:hAnsi="Times New Roman" w:cs="Times New Roman"/>
          <w:sz w:val="28"/>
          <w:szCs w:val="28"/>
        </w:rPr>
        <w:t>la Sala</w:t>
      </w:r>
      <w:r w:rsidRPr="00EC42C3">
        <w:rPr>
          <w:rFonts w:ascii="Times New Roman" w:hAnsi="Times New Roman" w:cs="Times New Roman"/>
          <w:sz w:val="28"/>
          <w:szCs w:val="28"/>
        </w:rPr>
        <w:t xml:space="preserve"> precisa que el presente caso no plantea un juicio de igualdad en sentido estricto, sino un cargo por omisión legislativa relativa fundado en el principio de igualdad. En concreto, se discute si el legislador incurrió en </w:t>
      </w:r>
      <w:r w:rsidRPr="00EC42C3">
        <w:rPr>
          <w:rFonts w:ascii="Times New Roman" w:hAnsi="Times New Roman" w:cs="Times New Roman"/>
          <w:sz w:val="28"/>
          <w:szCs w:val="28"/>
        </w:rPr>
        <w:t>una exclusión injustificada al no incluir a los compañeros y compañeras permanentes dentro de las personas legitimadas para solicitar la rescisión del decreto de posesión definitiva en caso de reaparición del presunto fallecido, mientras sí reconoció esa l</w:t>
      </w:r>
      <w:r w:rsidRPr="00EC42C3">
        <w:rPr>
          <w:rFonts w:ascii="Times New Roman" w:hAnsi="Times New Roman" w:cs="Times New Roman"/>
          <w:sz w:val="28"/>
          <w:szCs w:val="28"/>
        </w:rPr>
        <w:t>egitimidad a los cónyuges.</w:t>
      </w:r>
    </w:p>
    <w:p w:rsidR="0013515D" w:rsidRPr="00EC42C3" w:rsidRDefault="00EC42C3" w:rsidP="00A64A07">
      <w:pPr>
        <w:tabs>
          <w:tab w:val="left" w:pos="426"/>
        </w:tabs>
        <w:jc w:val="both"/>
        <w:rPr>
          <w:rFonts w:ascii="Times New Roman" w:hAnsi="Times New Roman" w:cs="Times New Roman"/>
          <w:b/>
          <w:bCs/>
          <w:i/>
          <w:iCs/>
          <w:sz w:val="28"/>
          <w:szCs w:val="28"/>
        </w:rPr>
      </w:pPr>
    </w:p>
    <w:p w:rsidR="00BC12F4" w:rsidRPr="00EC42C3" w:rsidRDefault="00EC42C3" w:rsidP="00A64A07">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rPr>
        <w:t>L</w:t>
      </w:r>
      <w:r w:rsidRPr="00EC42C3">
        <w:rPr>
          <w:rFonts w:ascii="Times New Roman" w:hAnsi="Times New Roman" w:cs="Times New Roman"/>
          <w:sz w:val="28"/>
          <w:szCs w:val="28"/>
        </w:rPr>
        <w:t>a acusación sostiene que, en el contexto de la norma demandada, los cónyuges y los compañeros</w:t>
      </w:r>
      <w:r w:rsidRPr="00EC42C3">
        <w:rPr>
          <w:rFonts w:ascii="Times New Roman" w:hAnsi="Times New Roman" w:cs="Times New Roman"/>
          <w:sz w:val="28"/>
          <w:szCs w:val="28"/>
        </w:rPr>
        <w:t xml:space="preserve"> </w:t>
      </w:r>
      <w:r w:rsidRPr="00EC42C3">
        <w:rPr>
          <w:rFonts w:ascii="Times New Roman" w:hAnsi="Times New Roman" w:cs="Times New Roman"/>
          <w:sz w:val="28"/>
          <w:szCs w:val="28"/>
        </w:rPr>
        <w:t>permanentes s</w:t>
      </w:r>
      <w:r w:rsidRPr="00EC42C3">
        <w:rPr>
          <w:rFonts w:ascii="Times New Roman" w:hAnsi="Times New Roman" w:cs="Times New Roman"/>
          <w:sz w:val="28"/>
          <w:szCs w:val="28"/>
        </w:rPr>
        <w:t>e encuentran en situaciones</w:t>
      </w:r>
      <w:r w:rsidRPr="00EC42C3">
        <w:rPr>
          <w:rFonts w:ascii="Times New Roman" w:hAnsi="Times New Roman" w:cs="Times New Roman"/>
          <w:sz w:val="28"/>
          <w:szCs w:val="28"/>
        </w:rPr>
        <w:t xml:space="preserve"> equiparables; que</w:t>
      </w:r>
      <w:r w:rsidRPr="00EC42C3">
        <w:rPr>
          <w:rFonts w:ascii="Times New Roman" w:hAnsi="Times New Roman" w:cs="Times New Roman"/>
          <w:sz w:val="28"/>
          <w:szCs w:val="28"/>
        </w:rPr>
        <w:t>, no obstante, la norma les otorga</w:t>
      </w:r>
      <w:r w:rsidRPr="00EC42C3">
        <w:rPr>
          <w:rFonts w:ascii="Times New Roman" w:hAnsi="Times New Roman" w:cs="Times New Roman"/>
          <w:sz w:val="28"/>
          <w:szCs w:val="28"/>
        </w:rPr>
        <w:t xml:space="preserve"> un trato distinto</w:t>
      </w:r>
      <w:r w:rsidRPr="00EC42C3">
        <w:rPr>
          <w:rFonts w:ascii="Times New Roman" w:hAnsi="Times New Roman" w:cs="Times New Roman"/>
          <w:sz w:val="28"/>
          <w:szCs w:val="28"/>
        </w:rPr>
        <w:t>, y</w:t>
      </w:r>
      <w:r w:rsidRPr="00EC42C3">
        <w:rPr>
          <w:rFonts w:ascii="Times New Roman" w:hAnsi="Times New Roman" w:cs="Times New Roman"/>
          <w:sz w:val="28"/>
          <w:szCs w:val="28"/>
        </w:rPr>
        <w:t xml:space="preserve"> </w:t>
      </w:r>
      <w:r w:rsidRPr="00EC42C3">
        <w:rPr>
          <w:rFonts w:ascii="Times New Roman" w:hAnsi="Times New Roman" w:cs="Times New Roman"/>
          <w:sz w:val="28"/>
          <w:szCs w:val="28"/>
        </w:rPr>
        <w:t>que dicha</w:t>
      </w:r>
      <w:r w:rsidRPr="00EC42C3">
        <w:rPr>
          <w:rFonts w:ascii="Times New Roman" w:hAnsi="Times New Roman" w:cs="Times New Roman"/>
          <w:sz w:val="28"/>
          <w:szCs w:val="28"/>
        </w:rPr>
        <w:t xml:space="preserve"> diferenci</w:t>
      </w:r>
      <w:r w:rsidRPr="00EC42C3">
        <w:rPr>
          <w:rFonts w:ascii="Times New Roman" w:hAnsi="Times New Roman" w:cs="Times New Roman"/>
          <w:sz w:val="28"/>
          <w:szCs w:val="28"/>
        </w:rPr>
        <w:t xml:space="preserve">a carece de una justificación constitucional. A su turno, </w:t>
      </w:r>
      <w:r w:rsidRPr="00EC42C3">
        <w:rPr>
          <w:rFonts w:ascii="Times New Roman" w:hAnsi="Times New Roman" w:cs="Times New Roman"/>
          <w:sz w:val="28"/>
          <w:szCs w:val="28"/>
        </w:rPr>
        <w:t>los actores resaltan</w:t>
      </w:r>
      <w:r w:rsidRPr="00EC42C3">
        <w:rPr>
          <w:rFonts w:ascii="Times New Roman" w:hAnsi="Times New Roman" w:cs="Times New Roman"/>
          <w:b/>
          <w:bCs/>
          <w:i/>
          <w:iCs/>
          <w:sz w:val="28"/>
          <w:szCs w:val="28"/>
        </w:rPr>
        <w:t xml:space="preserve"> </w:t>
      </w:r>
      <w:r w:rsidRPr="00EC42C3">
        <w:rPr>
          <w:rFonts w:ascii="Times New Roman" w:hAnsi="Times New Roman" w:cs="Times New Roman"/>
          <w:sz w:val="28"/>
          <w:szCs w:val="28"/>
        </w:rPr>
        <w:t xml:space="preserve">que la norma demandada se </w:t>
      </w:r>
      <w:r w:rsidRPr="00EC42C3">
        <w:rPr>
          <w:rFonts w:ascii="Times New Roman" w:hAnsi="Times New Roman" w:cs="Times New Roman"/>
          <w:sz w:val="28"/>
          <w:szCs w:val="28"/>
        </w:rPr>
        <w:t xml:space="preserve">apoya en un criterio sospechoso de </w:t>
      </w:r>
      <w:r w:rsidRPr="00EC42C3">
        <w:rPr>
          <w:rFonts w:ascii="Times New Roman" w:hAnsi="Times New Roman" w:cs="Times New Roman"/>
          <w:sz w:val="28"/>
          <w:szCs w:val="28"/>
        </w:rPr>
        <w:t>discriminación, en los términos del artículo 13 de la Carta</w:t>
      </w:r>
      <w:r w:rsidRPr="00EC42C3">
        <w:rPr>
          <w:rFonts w:ascii="Times New Roman" w:hAnsi="Times New Roman" w:cs="Times New Roman"/>
          <w:sz w:val="28"/>
          <w:szCs w:val="28"/>
        </w:rPr>
        <w:t xml:space="preserve"> Política, al</w:t>
      </w:r>
      <w:r w:rsidRPr="00EC42C3">
        <w:rPr>
          <w:rFonts w:ascii="Times New Roman" w:hAnsi="Times New Roman" w:cs="Times New Roman"/>
          <w:sz w:val="28"/>
          <w:szCs w:val="28"/>
        </w:rPr>
        <w:t xml:space="preserve"> desproteger a los compañeros permanentes, </w:t>
      </w:r>
      <w:r w:rsidRPr="00EC42C3">
        <w:rPr>
          <w:rFonts w:ascii="Times New Roman" w:hAnsi="Times New Roman" w:cs="Times New Roman"/>
          <w:sz w:val="28"/>
          <w:szCs w:val="28"/>
        </w:rPr>
        <w:t>contrariando los mandatos de igualdad y protección a la familia, consagrados en los artículos 5 y 42 superiores. Finalmente, aducen que la medida no supera un examen de proporcionalidad, por cuanto desconoce la</w:t>
      </w:r>
      <w:r w:rsidRPr="00EC42C3">
        <w:rPr>
          <w:rFonts w:ascii="Times New Roman" w:hAnsi="Times New Roman" w:cs="Times New Roman"/>
          <w:sz w:val="28"/>
          <w:szCs w:val="28"/>
        </w:rPr>
        <w:t xml:space="preserve"> dimensión patrimonial del vínculo de hecho</w:t>
      </w:r>
      <w:r w:rsidRPr="00EC42C3">
        <w:rPr>
          <w:rFonts w:ascii="Times New Roman" w:hAnsi="Times New Roman" w:cs="Times New Roman"/>
          <w:sz w:val="28"/>
          <w:szCs w:val="28"/>
        </w:rPr>
        <w:t>.</w:t>
      </w:r>
      <w:r w:rsidRPr="00EC42C3">
        <w:rPr>
          <w:rFonts w:ascii="Times New Roman" w:hAnsi="Times New Roman" w:cs="Times New Roman"/>
          <w:sz w:val="28"/>
          <w:szCs w:val="28"/>
        </w:rPr>
        <w:t xml:space="preserve"> </w:t>
      </w:r>
    </w:p>
    <w:p w:rsidR="007E6A66" w:rsidRPr="00EC42C3" w:rsidRDefault="00EC42C3" w:rsidP="007E6A66">
      <w:pPr>
        <w:pStyle w:val="Prrafodelista"/>
        <w:rPr>
          <w:rFonts w:ascii="Times New Roman" w:hAnsi="Times New Roman" w:cs="Times New Roman"/>
          <w:b/>
          <w:bCs/>
          <w:i/>
          <w:iCs/>
          <w:sz w:val="28"/>
          <w:szCs w:val="28"/>
        </w:rPr>
      </w:pPr>
    </w:p>
    <w:p w:rsidR="007E6A66" w:rsidRPr="00EC42C3" w:rsidRDefault="00EC42C3" w:rsidP="007E6A66">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EC42C3">
        <w:rPr>
          <w:rFonts w:ascii="Times New Roman" w:hAnsi="Times New Roman" w:cs="Times New Roman"/>
          <w:sz w:val="28"/>
          <w:szCs w:val="28"/>
        </w:rPr>
        <w:t xml:space="preserve">En este examen, el parámetro de control se integra por los artículos 5, 13 y 42 de la Constitución Política, los cuales consagran el deber estatal de proteger de manera integral a la familia y garantizan la igualdad de trato sin discriminación por origen </w:t>
      </w:r>
      <w:r w:rsidRPr="00EC42C3">
        <w:rPr>
          <w:rFonts w:ascii="Times New Roman" w:hAnsi="Times New Roman" w:cs="Times New Roman"/>
          <w:sz w:val="28"/>
          <w:szCs w:val="28"/>
        </w:rPr>
        <w:t>familiar o forma de conformación del vínculo. Este parámetro debe armonizarse con el bloque de constitucionalidad, particularmente con los artículos 2 y 26 del Pacto Internacional de Derechos Civiles y Políticos y los artículos 1 y 24 de la Convención Amer</w:t>
      </w:r>
      <w:r w:rsidRPr="00EC42C3">
        <w:rPr>
          <w:rFonts w:ascii="Times New Roman" w:hAnsi="Times New Roman" w:cs="Times New Roman"/>
          <w:sz w:val="28"/>
          <w:szCs w:val="28"/>
        </w:rPr>
        <w:t xml:space="preserve">icana sobre Derechos Humanos, que proscriben toda forma de discriminación y reconocen la igualdad ante la ley de todas las personas y familias. Esta metodología sigue la línea trazada en las sentencias C-456 de 2017 y C-315 de 2023, en las cuales la Corte </w:t>
      </w:r>
      <w:r w:rsidRPr="00EC42C3">
        <w:rPr>
          <w:rFonts w:ascii="Times New Roman" w:hAnsi="Times New Roman" w:cs="Times New Roman"/>
          <w:sz w:val="28"/>
          <w:szCs w:val="28"/>
        </w:rPr>
        <w:t>precisó que el principio de igualdad debe ser interpretado en conexión con los compromisos internacionales del Estado colombiano en materia de derechos humanos y de protección a la familia.</w:t>
      </w:r>
      <w:r w:rsidRPr="00EC42C3">
        <w:rPr>
          <w:rFonts w:ascii="Times New Roman" w:hAnsi="Times New Roman" w:cs="Times New Roman"/>
          <w:sz w:val="28"/>
          <w:szCs w:val="28"/>
        </w:rPr>
        <w:t>2</w:t>
      </w:r>
    </w:p>
    <w:p w:rsidR="007E6A66" w:rsidRPr="00EC42C3" w:rsidRDefault="00EC42C3" w:rsidP="007E6A66">
      <w:pPr>
        <w:rPr>
          <w:rFonts w:ascii="Times New Roman" w:hAnsi="Times New Roman" w:cs="Times New Roman"/>
          <w:sz w:val="28"/>
          <w:szCs w:val="28"/>
        </w:rPr>
      </w:pPr>
    </w:p>
    <w:p w:rsidR="00EA4F0B" w:rsidRPr="00EC42C3" w:rsidRDefault="00EC42C3" w:rsidP="005055EC">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EC42C3">
        <w:rPr>
          <w:rFonts w:ascii="Times New Roman" w:hAnsi="Times New Roman" w:cs="Times New Roman"/>
          <w:b/>
          <w:bCs/>
          <w:sz w:val="28"/>
          <w:szCs w:val="28"/>
        </w:rPr>
        <w:t xml:space="preserve">En segundo lugar, </w:t>
      </w:r>
      <w:r w:rsidRPr="00EC42C3">
        <w:rPr>
          <w:rFonts w:ascii="Times New Roman" w:hAnsi="Times New Roman" w:cs="Times New Roman"/>
          <w:sz w:val="28"/>
          <w:szCs w:val="28"/>
        </w:rPr>
        <w:t xml:space="preserve">la Sala advierte que la disposición demandada </w:t>
      </w:r>
      <w:r w:rsidRPr="00EC42C3">
        <w:rPr>
          <w:rFonts w:ascii="Times New Roman" w:hAnsi="Times New Roman" w:cs="Times New Roman"/>
          <w:sz w:val="28"/>
          <w:szCs w:val="28"/>
        </w:rPr>
        <w:t xml:space="preserve">fue promulgada en el año 1873, es decir, con anterioridad a la entrada en vigor de la Constitución Política de 1991, en un contexto jurídico en el que el matrimonio constituía la única forma legítimamente reconocida de familia. Solo hasta la expedición de </w:t>
      </w:r>
      <w:r w:rsidRPr="00EC42C3">
        <w:rPr>
          <w:rFonts w:ascii="Times New Roman" w:hAnsi="Times New Roman" w:cs="Times New Roman"/>
          <w:sz w:val="28"/>
          <w:szCs w:val="28"/>
        </w:rPr>
        <w:t>la Ley 54 de 1990 el legislador reconoció la unión marital de hecho y la existencia de los compañeros y compañeras permanentes como sujetos titulares de derechos y deberes recíprocos, consolidando así una noción de familia basada no únicamente en el víncul</w:t>
      </w:r>
      <w:r w:rsidRPr="00EC42C3">
        <w:rPr>
          <w:rFonts w:ascii="Times New Roman" w:hAnsi="Times New Roman" w:cs="Times New Roman"/>
          <w:sz w:val="28"/>
          <w:szCs w:val="28"/>
        </w:rPr>
        <w:t>o jurídico del matrimonio, sino también en la convivencia material y afectiva. A partir de la vigencia de la actual Constitución, existe una expresa prohibición de otorgar un trato diferenciado con fundamento en el origen familiar, salvo que medie una just</w:t>
      </w:r>
      <w:r w:rsidRPr="00EC42C3">
        <w:rPr>
          <w:rFonts w:ascii="Times New Roman" w:hAnsi="Times New Roman" w:cs="Times New Roman"/>
          <w:sz w:val="28"/>
          <w:szCs w:val="28"/>
        </w:rPr>
        <w:t xml:space="preserve">ificación constitucional suficiente para ello. </w:t>
      </w:r>
    </w:p>
    <w:p w:rsidR="00BC12F4" w:rsidRPr="00EC42C3" w:rsidRDefault="00EC42C3" w:rsidP="00EA4F0B">
      <w:pPr>
        <w:rPr>
          <w:rFonts w:ascii="Times New Roman" w:hAnsi="Times New Roman" w:cs="Times New Roman"/>
          <w:i/>
          <w:iCs/>
          <w:sz w:val="28"/>
          <w:szCs w:val="28"/>
        </w:rPr>
      </w:pPr>
    </w:p>
    <w:p w:rsidR="004837D8" w:rsidRPr="00EC42C3" w:rsidRDefault="00EC42C3" w:rsidP="00EA4F0B">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b/>
          <w:bCs/>
          <w:sz w:val="28"/>
          <w:szCs w:val="28"/>
        </w:rPr>
        <w:t xml:space="preserve">En tercer lugar, </w:t>
      </w:r>
      <w:r w:rsidRPr="00EC42C3">
        <w:rPr>
          <w:rFonts w:ascii="Times New Roman" w:hAnsi="Times New Roman" w:cs="Times New Roman"/>
          <w:sz w:val="28"/>
          <w:szCs w:val="28"/>
        </w:rPr>
        <w:t xml:space="preserve">la Sala Plena </w:t>
      </w:r>
      <w:r w:rsidRPr="00EC42C3">
        <w:rPr>
          <w:rFonts w:ascii="Times New Roman" w:hAnsi="Times New Roman" w:cs="Times New Roman"/>
          <w:sz w:val="28"/>
          <w:szCs w:val="28"/>
        </w:rPr>
        <w:t xml:space="preserve">encuentra que, a la luz de los artículos 5, 13 y 42 de la Constitución Política de 1991, se configura una omisión legislativa relativa en el artículo 108 del Código Civil, </w:t>
      </w:r>
      <w:r w:rsidRPr="00EC42C3">
        <w:rPr>
          <w:rFonts w:ascii="Times New Roman" w:hAnsi="Times New Roman" w:cs="Times New Roman"/>
          <w:sz w:val="28"/>
          <w:szCs w:val="28"/>
        </w:rPr>
        <w:t>conforme lo plantearon los demandantes, los intervinientes y la Procuradora General de la Nación</w:t>
      </w:r>
      <w:r w:rsidRPr="00EC42C3">
        <w:rPr>
          <w:rFonts w:ascii="Times New Roman" w:hAnsi="Times New Roman" w:cs="Times New Roman"/>
          <w:sz w:val="28"/>
          <w:szCs w:val="28"/>
        </w:rPr>
        <w:t>. En efecto, la disposición en cuestión solo contempla como legitimado para solicitar la rescisión del decreto de posesión definitiva al “cónyuge, por matrimoni</w:t>
      </w:r>
      <w:r w:rsidRPr="00EC42C3">
        <w:rPr>
          <w:rFonts w:ascii="Times New Roman" w:hAnsi="Times New Roman" w:cs="Times New Roman"/>
          <w:sz w:val="28"/>
          <w:szCs w:val="28"/>
        </w:rPr>
        <w:t>o contraído en la misma época”, sin extender ese efecto a los compañeros o compañeras permanentes. De esta forma, el legislador omitió incluir a un grupo que, conforme al nuevo orden constitucional, es titular de los mismos derechos y deberes familiares. L</w:t>
      </w:r>
      <w:r w:rsidRPr="00EC42C3">
        <w:rPr>
          <w:rFonts w:ascii="Times New Roman" w:hAnsi="Times New Roman" w:cs="Times New Roman"/>
          <w:sz w:val="28"/>
          <w:szCs w:val="28"/>
        </w:rPr>
        <w:t>a exclusión carece de justificación objetiva, razonable y proporcional, y desconoce el deber estatal de garantizar igual protección a todas las formas de familia reconocidas por la Carta Política.</w:t>
      </w:r>
    </w:p>
    <w:p w:rsidR="00EA4F0B" w:rsidRPr="00EC42C3" w:rsidRDefault="00EC42C3" w:rsidP="00EA4F0B">
      <w:pPr>
        <w:pStyle w:val="Prrafodelista"/>
        <w:tabs>
          <w:tab w:val="left" w:pos="426"/>
        </w:tabs>
        <w:ind w:left="0"/>
        <w:contextualSpacing w:val="0"/>
        <w:jc w:val="both"/>
        <w:rPr>
          <w:rFonts w:ascii="Times New Roman" w:hAnsi="Times New Roman" w:cs="Times New Roman"/>
          <w:sz w:val="28"/>
          <w:szCs w:val="28"/>
        </w:rPr>
      </w:pPr>
    </w:p>
    <w:p w:rsidR="004837D8" w:rsidRPr="00EC42C3" w:rsidRDefault="00EC42C3" w:rsidP="00EA4F0B">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 xml:space="preserve">La Sala </w:t>
      </w:r>
      <w:r w:rsidRPr="00EC42C3">
        <w:rPr>
          <w:rFonts w:ascii="Times New Roman" w:hAnsi="Times New Roman" w:cs="Times New Roman"/>
          <w:sz w:val="28"/>
          <w:szCs w:val="28"/>
        </w:rPr>
        <w:t>constata</w:t>
      </w:r>
      <w:r w:rsidRPr="00EC42C3">
        <w:rPr>
          <w:rFonts w:ascii="Times New Roman" w:hAnsi="Times New Roman" w:cs="Times New Roman"/>
          <w:sz w:val="28"/>
          <w:szCs w:val="28"/>
        </w:rPr>
        <w:t xml:space="preserve"> que el presente asunto </w:t>
      </w:r>
      <w:r w:rsidRPr="00EC42C3">
        <w:rPr>
          <w:rFonts w:ascii="Times New Roman" w:hAnsi="Times New Roman" w:cs="Times New Roman"/>
          <w:sz w:val="28"/>
          <w:szCs w:val="28"/>
        </w:rPr>
        <w:t>satisface los pres</w:t>
      </w:r>
      <w:r w:rsidRPr="00EC42C3">
        <w:rPr>
          <w:rFonts w:ascii="Times New Roman" w:hAnsi="Times New Roman" w:cs="Times New Roman"/>
          <w:sz w:val="28"/>
          <w:szCs w:val="28"/>
        </w:rPr>
        <w:t xml:space="preserve">upuestos establecidos por la jurisprudencia constitucional para declarar la existencia de una omisión legislativa relativa, </w:t>
      </w:r>
      <w:r w:rsidRPr="00EC42C3">
        <w:rPr>
          <w:rFonts w:ascii="Times New Roman" w:hAnsi="Times New Roman" w:cs="Times New Roman"/>
          <w:sz w:val="28"/>
          <w:szCs w:val="28"/>
        </w:rPr>
        <w:t xml:space="preserve">como se explica a continuación: </w:t>
      </w:r>
    </w:p>
    <w:p w:rsidR="009829E1" w:rsidRPr="00EC42C3" w:rsidRDefault="00EC42C3" w:rsidP="004837D8">
      <w:pPr>
        <w:rPr>
          <w:rFonts w:ascii="Times New Roman" w:hAnsi="Times New Roman" w:cs="Times New Roman"/>
          <w:sz w:val="28"/>
          <w:szCs w:val="28"/>
        </w:rPr>
      </w:pPr>
    </w:p>
    <w:p w:rsidR="004837D8" w:rsidRPr="00EC42C3" w:rsidRDefault="00EC42C3" w:rsidP="004837D8">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i/>
          <w:iCs/>
          <w:sz w:val="28"/>
          <w:szCs w:val="28"/>
        </w:rPr>
        <w:t xml:space="preserve">Existe una omisión legislativa relativa del legislador que se encuentra contenida en el artículo 108 del Código Civil. </w:t>
      </w:r>
      <w:r w:rsidRPr="00EC42C3">
        <w:rPr>
          <w:rFonts w:ascii="Times New Roman" w:hAnsi="Times New Roman" w:cs="Times New Roman"/>
          <w:sz w:val="28"/>
          <w:szCs w:val="28"/>
        </w:rPr>
        <w:t xml:space="preserve">Para la Corte, la disposición regula parcialmente el supuesto de hecho al prever que el decreto de posesión definitiva podrá rescindirse </w:t>
      </w:r>
      <w:r w:rsidRPr="00EC42C3">
        <w:rPr>
          <w:rFonts w:ascii="Times New Roman" w:hAnsi="Times New Roman" w:cs="Times New Roman"/>
          <w:i/>
          <w:iCs/>
          <w:sz w:val="28"/>
          <w:szCs w:val="28"/>
        </w:rPr>
        <w:t>“a favor del desaparecido si reapareciere, o de sus legitimarios habidos durante el desaparecimiento, o de su cónyuge, por matrimonio contraído en la misma época”</w:t>
      </w:r>
      <w:r w:rsidRPr="00EC42C3">
        <w:rPr>
          <w:rFonts w:ascii="Times New Roman" w:hAnsi="Times New Roman" w:cs="Times New Roman"/>
          <w:sz w:val="28"/>
          <w:szCs w:val="28"/>
        </w:rPr>
        <w:t>, sin extender este efecto a los compañeros o compañeras permanentes. De este modo, la norma e</w:t>
      </w:r>
      <w:r w:rsidRPr="00EC42C3">
        <w:rPr>
          <w:rFonts w:ascii="Times New Roman" w:hAnsi="Times New Roman" w:cs="Times New Roman"/>
          <w:sz w:val="28"/>
          <w:szCs w:val="28"/>
        </w:rPr>
        <w:t>xcluye a un grupo que, según la Constitución y la jurisprudencia, se encuentra en una situación materialmente equivalente, pues tanto el cónyuge como el compañero permanente cumplen idénticas funciones de apoyo, solidaridad y convivencia familiar.</w:t>
      </w:r>
    </w:p>
    <w:p w:rsidR="002A537E" w:rsidRPr="00EC42C3" w:rsidRDefault="00EC42C3" w:rsidP="002A537E">
      <w:pPr>
        <w:pStyle w:val="Prrafodelista"/>
        <w:rPr>
          <w:rFonts w:ascii="Times New Roman" w:hAnsi="Times New Roman" w:cs="Times New Roman"/>
          <w:sz w:val="28"/>
          <w:szCs w:val="28"/>
        </w:rPr>
      </w:pPr>
    </w:p>
    <w:p w:rsidR="002A537E" w:rsidRPr="00EC42C3" w:rsidRDefault="00EC42C3" w:rsidP="00EA4F0B">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La</w:t>
      </w:r>
      <w:r w:rsidRPr="00EC42C3">
        <w:rPr>
          <w:rFonts w:ascii="Times New Roman" w:hAnsi="Times New Roman" w:cs="Times New Roman"/>
          <w:sz w:val="28"/>
          <w:szCs w:val="28"/>
        </w:rPr>
        <w:t xml:space="preserve"> reda</w:t>
      </w:r>
      <w:r w:rsidRPr="00EC42C3">
        <w:rPr>
          <w:rFonts w:ascii="Times New Roman" w:hAnsi="Times New Roman" w:cs="Times New Roman"/>
          <w:sz w:val="28"/>
          <w:szCs w:val="28"/>
        </w:rPr>
        <w:t>cción de</w:t>
      </w:r>
      <w:r w:rsidRPr="00EC42C3">
        <w:rPr>
          <w:rFonts w:ascii="Times New Roman" w:hAnsi="Times New Roman" w:cs="Times New Roman"/>
          <w:sz w:val="28"/>
          <w:szCs w:val="28"/>
        </w:rPr>
        <w:t>l</w:t>
      </w:r>
      <w:r w:rsidRPr="00EC42C3">
        <w:rPr>
          <w:rFonts w:ascii="Times New Roman" w:hAnsi="Times New Roman" w:cs="Times New Roman"/>
          <w:sz w:val="28"/>
          <w:szCs w:val="28"/>
        </w:rPr>
        <w:t xml:space="preserve"> </w:t>
      </w:r>
      <w:r w:rsidRPr="00EC42C3">
        <w:rPr>
          <w:rFonts w:ascii="Times New Roman" w:hAnsi="Times New Roman" w:cs="Times New Roman"/>
          <w:sz w:val="28"/>
          <w:szCs w:val="28"/>
        </w:rPr>
        <w:t>precepto</w:t>
      </w:r>
      <w:r w:rsidRPr="00EC42C3">
        <w:rPr>
          <w:rFonts w:ascii="Times New Roman" w:hAnsi="Times New Roman" w:cs="Times New Roman"/>
          <w:sz w:val="28"/>
          <w:szCs w:val="28"/>
        </w:rPr>
        <w:t xml:space="preserve"> acusad</w:t>
      </w:r>
      <w:r w:rsidRPr="00EC42C3">
        <w:rPr>
          <w:rFonts w:ascii="Times New Roman" w:hAnsi="Times New Roman" w:cs="Times New Roman"/>
          <w:sz w:val="28"/>
          <w:szCs w:val="28"/>
        </w:rPr>
        <w:t>o evidencia que sus efectos jurídicos se predican únicamente del cónyuge, lo cual excluye de manera expresa a los compañeros y compañeras permanentes. Sin embargo, ambos grupos son asimilables en derechos y obligaciones, pues los d</w:t>
      </w:r>
      <w:r w:rsidRPr="00EC42C3">
        <w:rPr>
          <w:rFonts w:ascii="Times New Roman" w:hAnsi="Times New Roman" w:cs="Times New Roman"/>
          <w:sz w:val="28"/>
          <w:szCs w:val="28"/>
        </w:rPr>
        <w:t>os constituyen familia en los términos del artículo 42 superior. En consecuencia, frente al fenómeno de la reaparición del desaparecido, la situación de los cónyuges y la de los compañeros permanentes resulta equiparable, al compartir el mismo interés legí</w:t>
      </w:r>
      <w:r w:rsidRPr="00EC42C3">
        <w:rPr>
          <w:rFonts w:ascii="Times New Roman" w:hAnsi="Times New Roman" w:cs="Times New Roman"/>
          <w:sz w:val="28"/>
          <w:szCs w:val="28"/>
        </w:rPr>
        <w:t>timo en la preservación de la unidad familiar y la protección del patrimonio común.</w:t>
      </w:r>
    </w:p>
    <w:p w:rsidR="00EA4F0B" w:rsidRPr="00EC42C3" w:rsidRDefault="00EC42C3" w:rsidP="00EA4F0B">
      <w:pPr>
        <w:pStyle w:val="Prrafodelista"/>
        <w:rPr>
          <w:rFonts w:ascii="Times New Roman" w:hAnsi="Times New Roman" w:cs="Times New Roman"/>
          <w:sz w:val="28"/>
          <w:szCs w:val="28"/>
        </w:rPr>
      </w:pPr>
    </w:p>
    <w:p w:rsidR="00EA4F0B" w:rsidRPr="00EC42C3" w:rsidRDefault="00EC42C3" w:rsidP="00761111">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Por ende, al tratarse de grupos equivalentes en términos constitucionales, los cónyuges y los compañeros permanentes tienen derecho a recibir un trato jurídico igual, conf</w:t>
      </w:r>
      <w:r w:rsidRPr="00EC42C3">
        <w:rPr>
          <w:rFonts w:ascii="Times New Roman" w:hAnsi="Times New Roman" w:cs="Times New Roman"/>
          <w:sz w:val="28"/>
          <w:szCs w:val="28"/>
        </w:rPr>
        <w:t>orme al mandato de igualdad material previsto en el artículo 13 de la Constitución. Sin embargo, la norma censurada impone un trato desigual entre iguales, al reconocer la posibilidad de rescindir el decreto de posesión definitiva exclusivamente al cónyuge</w:t>
      </w:r>
      <w:r w:rsidRPr="00EC42C3">
        <w:rPr>
          <w:rFonts w:ascii="Times New Roman" w:hAnsi="Times New Roman" w:cs="Times New Roman"/>
          <w:sz w:val="28"/>
          <w:szCs w:val="28"/>
        </w:rPr>
        <w:t xml:space="preserve"> por matrimonio contraído en la misma época, mientras niega tal derecho al compañero o compañera permanente, incluso cuando la unión marital de hecho se hubiere configurado durante el mismo periodo. </w:t>
      </w:r>
    </w:p>
    <w:p w:rsidR="00EA4F0B" w:rsidRPr="00EC42C3" w:rsidRDefault="00EC42C3" w:rsidP="00EA4F0B">
      <w:pPr>
        <w:pStyle w:val="Prrafodelista"/>
        <w:tabs>
          <w:tab w:val="left" w:pos="426"/>
        </w:tabs>
        <w:ind w:left="0"/>
        <w:contextualSpacing w:val="0"/>
        <w:jc w:val="both"/>
        <w:rPr>
          <w:rFonts w:ascii="Times New Roman" w:hAnsi="Times New Roman" w:cs="Times New Roman"/>
          <w:sz w:val="28"/>
          <w:szCs w:val="28"/>
        </w:rPr>
      </w:pPr>
    </w:p>
    <w:p w:rsidR="00FB6F34" w:rsidRPr="00EC42C3" w:rsidRDefault="00EC42C3" w:rsidP="00FB6F34">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i/>
          <w:iCs/>
          <w:sz w:val="28"/>
          <w:szCs w:val="28"/>
        </w:rPr>
        <w:t>E</w:t>
      </w:r>
      <w:r w:rsidRPr="00EC42C3">
        <w:rPr>
          <w:rFonts w:ascii="Times New Roman" w:hAnsi="Times New Roman" w:cs="Times New Roman"/>
          <w:i/>
          <w:iCs/>
          <w:sz w:val="28"/>
          <w:szCs w:val="28"/>
        </w:rPr>
        <w:t>l Legislador</w:t>
      </w:r>
      <w:r w:rsidRPr="00EC42C3">
        <w:rPr>
          <w:rFonts w:ascii="Times New Roman" w:hAnsi="Times New Roman" w:cs="Times New Roman"/>
          <w:i/>
          <w:iCs/>
          <w:sz w:val="28"/>
          <w:szCs w:val="28"/>
        </w:rPr>
        <w:t xml:space="preserve"> tiene deberes específicos de naturaleza c</w:t>
      </w:r>
      <w:r w:rsidRPr="00EC42C3">
        <w:rPr>
          <w:rFonts w:ascii="Times New Roman" w:hAnsi="Times New Roman" w:cs="Times New Roman"/>
          <w:i/>
          <w:iCs/>
          <w:sz w:val="28"/>
          <w:szCs w:val="28"/>
        </w:rPr>
        <w:t xml:space="preserve">onstitucional dirigidos a asegurar la igualdad de trato en derechos y deberes entre los cónyuges y los compañeros y compañeras permanentes. </w:t>
      </w:r>
      <w:r w:rsidRPr="00EC42C3">
        <w:rPr>
          <w:rFonts w:ascii="Times New Roman" w:hAnsi="Times New Roman" w:cs="Times New Roman"/>
          <w:sz w:val="28"/>
          <w:szCs w:val="28"/>
        </w:rPr>
        <w:t xml:space="preserve">El cargo </w:t>
      </w:r>
      <w:r w:rsidRPr="00EC42C3">
        <w:rPr>
          <w:rFonts w:ascii="Times New Roman" w:hAnsi="Times New Roman" w:cs="Times New Roman"/>
          <w:sz w:val="28"/>
          <w:szCs w:val="28"/>
        </w:rPr>
        <w:t>formul</w:t>
      </w:r>
      <w:r w:rsidRPr="00EC42C3">
        <w:rPr>
          <w:rFonts w:ascii="Times New Roman" w:hAnsi="Times New Roman" w:cs="Times New Roman"/>
          <w:sz w:val="28"/>
          <w:szCs w:val="28"/>
        </w:rPr>
        <w:t xml:space="preserve">ado por los demandantes evidencia el incumplimiento de los mandatos establecidos en los </w:t>
      </w:r>
      <w:r w:rsidRPr="00EC42C3">
        <w:rPr>
          <w:rFonts w:ascii="Times New Roman" w:hAnsi="Times New Roman" w:cs="Times New Roman"/>
          <w:sz w:val="28"/>
          <w:szCs w:val="28"/>
        </w:rPr>
        <w:t xml:space="preserve">artículos 5, </w:t>
      </w:r>
      <w:r w:rsidRPr="00EC42C3">
        <w:rPr>
          <w:rFonts w:ascii="Times New Roman" w:hAnsi="Times New Roman" w:cs="Times New Roman"/>
          <w:sz w:val="28"/>
          <w:szCs w:val="28"/>
        </w:rPr>
        <w:t>13 y 42 de la Carta Polític</w:t>
      </w:r>
      <w:r w:rsidRPr="00EC42C3">
        <w:rPr>
          <w:rFonts w:ascii="Times New Roman" w:hAnsi="Times New Roman" w:cs="Times New Roman"/>
          <w:sz w:val="28"/>
          <w:szCs w:val="28"/>
        </w:rPr>
        <w:t xml:space="preserve">a, así como </w:t>
      </w:r>
      <w:r w:rsidRPr="00EC42C3">
        <w:rPr>
          <w:rFonts w:ascii="Times New Roman" w:hAnsi="Times New Roman" w:cs="Times New Roman"/>
          <w:sz w:val="28"/>
          <w:szCs w:val="28"/>
        </w:rPr>
        <w:t xml:space="preserve">el desconocimiento de la jurisprudencia de esta Corte que ha prohibido expresamente los tratos diferenciados </w:t>
      </w:r>
      <w:r w:rsidRPr="00EC42C3">
        <w:rPr>
          <w:rFonts w:ascii="Times New Roman" w:hAnsi="Times New Roman" w:cs="Times New Roman"/>
          <w:sz w:val="28"/>
          <w:szCs w:val="28"/>
        </w:rPr>
        <w:t>entre las distintas formas de familia. En virtud de dicha prohibición, ninguna autoridad pública, incluido e</w:t>
      </w:r>
      <w:r w:rsidRPr="00EC42C3">
        <w:rPr>
          <w:rFonts w:ascii="Times New Roman" w:hAnsi="Times New Roman" w:cs="Times New Roman"/>
          <w:sz w:val="28"/>
          <w:szCs w:val="28"/>
        </w:rPr>
        <w:t>l Congreso de la República, puede establecer, de manera injustificada, efectos jurídicos distintos entre los cónyuges y los compañeros permanentes, por cuanto ambos son equiparables en dignidad, derechos y obligaciones dentro del orden constitucional vigen</w:t>
      </w:r>
      <w:r w:rsidRPr="00EC42C3">
        <w:rPr>
          <w:rFonts w:ascii="Times New Roman" w:hAnsi="Times New Roman" w:cs="Times New Roman"/>
          <w:sz w:val="28"/>
          <w:szCs w:val="28"/>
        </w:rPr>
        <w:t>te.</w:t>
      </w:r>
    </w:p>
    <w:p w:rsidR="00FB6F34" w:rsidRPr="00EC42C3" w:rsidRDefault="00EC42C3" w:rsidP="00FB6F34">
      <w:pPr>
        <w:pStyle w:val="Prrafodelista"/>
        <w:rPr>
          <w:rFonts w:ascii="Times New Roman" w:hAnsi="Times New Roman" w:cs="Times New Roman"/>
          <w:sz w:val="28"/>
          <w:szCs w:val="28"/>
        </w:rPr>
      </w:pPr>
    </w:p>
    <w:p w:rsidR="00FB6F34" w:rsidRPr="00EC42C3" w:rsidRDefault="00EC42C3" w:rsidP="00FB6F34">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 xml:space="preserve">En el caso concreto, </w:t>
      </w:r>
      <w:r w:rsidRPr="00EC42C3">
        <w:rPr>
          <w:rFonts w:ascii="Times New Roman" w:hAnsi="Times New Roman" w:cs="Times New Roman"/>
          <w:sz w:val="28"/>
          <w:szCs w:val="28"/>
        </w:rPr>
        <w:t xml:space="preserve">la exclusión de los compañeros permanentes responde al contexto histórico de 1873, época en la que la legislación civil reconocía únicamente el matrimonio como fuente legítima de familia. No obstante, este contexto histórico explica la omisión, pero no la </w:t>
      </w:r>
      <w:r w:rsidRPr="00EC42C3">
        <w:rPr>
          <w:rFonts w:ascii="Times New Roman" w:hAnsi="Times New Roman" w:cs="Times New Roman"/>
          <w:sz w:val="28"/>
          <w:szCs w:val="28"/>
        </w:rPr>
        <w:t xml:space="preserve">justifica frente a la Constitución de 1991. Conforme lo ha señalado la jurisprudencia de esta Corporación, en especial la Sentencia C-600 de 2011, la preconstitucionalidad de una norma no exonera al legislador de su deber de armonizarla con los principios </w:t>
      </w:r>
      <w:r w:rsidRPr="00EC42C3">
        <w:rPr>
          <w:rFonts w:ascii="Times New Roman" w:hAnsi="Times New Roman" w:cs="Times New Roman"/>
          <w:sz w:val="28"/>
          <w:szCs w:val="28"/>
        </w:rPr>
        <w:t>y valores de la Carta vigente. En consecuencia, la omisión adquiere carácter actual y verificable, pues deriva de la inactividad legislativa frente a la obligación de adecuar el ordenamiento jurídico a los mandatos de igualdad, dignidad y no discriminación</w:t>
      </w:r>
      <w:r w:rsidRPr="00EC42C3">
        <w:rPr>
          <w:rFonts w:ascii="Times New Roman" w:hAnsi="Times New Roman" w:cs="Times New Roman"/>
          <w:sz w:val="28"/>
          <w:szCs w:val="28"/>
        </w:rPr>
        <w:t>.</w:t>
      </w:r>
    </w:p>
    <w:p w:rsidR="00602BC6" w:rsidRPr="00EC42C3" w:rsidRDefault="00EC42C3" w:rsidP="00602BC6">
      <w:pPr>
        <w:pStyle w:val="Prrafodelista"/>
        <w:rPr>
          <w:rFonts w:ascii="Times New Roman" w:hAnsi="Times New Roman" w:cs="Times New Roman"/>
          <w:sz w:val="28"/>
          <w:szCs w:val="28"/>
        </w:rPr>
      </w:pPr>
    </w:p>
    <w:p w:rsidR="00602BC6" w:rsidRPr="00EC42C3" w:rsidRDefault="00EC42C3" w:rsidP="00602BC6">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En ese entendido</w:t>
      </w:r>
      <w:r w:rsidRPr="00EC42C3">
        <w:rPr>
          <w:rFonts w:ascii="Times New Roman" w:hAnsi="Times New Roman" w:cs="Times New Roman"/>
          <w:sz w:val="28"/>
          <w:szCs w:val="28"/>
        </w:rPr>
        <w:t xml:space="preserve">, la protección prevista </w:t>
      </w:r>
      <w:r w:rsidRPr="00EC42C3">
        <w:rPr>
          <w:rFonts w:ascii="Times New Roman" w:hAnsi="Times New Roman" w:cs="Times New Roman"/>
          <w:sz w:val="28"/>
          <w:szCs w:val="28"/>
        </w:rPr>
        <w:t>en el artículo 108 del Código Civil resulta incompleta, pues restringe sus efectos al cónyuge y excluye a quien comparte idénticas responsabilidades familiares en el marco de una unión marital de hecho. Tal exclu</w:t>
      </w:r>
      <w:r w:rsidRPr="00EC42C3">
        <w:rPr>
          <w:rFonts w:ascii="Times New Roman" w:hAnsi="Times New Roman" w:cs="Times New Roman"/>
          <w:sz w:val="28"/>
          <w:szCs w:val="28"/>
        </w:rPr>
        <w:t xml:space="preserve">sión genera una desigualdad negativa en materia de protección patrimonial y familiar, al impedir que el compañero o compañera permanente del desaparecido pueda solicitar la rescisión del decreto de posesión definitiva en caso de reaparición. Se trata, por </w:t>
      </w:r>
      <w:r w:rsidRPr="00EC42C3">
        <w:rPr>
          <w:rFonts w:ascii="Times New Roman" w:hAnsi="Times New Roman" w:cs="Times New Roman"/>
          <w:sz w:val="28"/>
          <w:szCs w:val="28"/>
        </w:rPr>
        <w:t>tanto, de un trato desigual frente a situaciones equivalentes, fundado exclusivamente en la naturaleza jurídica del vínculo, lo cual constituye un criterio sospechoso de discriminación contrario a los postulados de los artículos 13 y 42 superiores.</w:t>
      </w:r>
    </w:p>
    <w:p w:rsidR="00602BC6" w:rsidRPr="00EC42C3" w:rsidRDefault="00EC42C3" w:rsidP="00602BC6">
      <w:pPr>
        <w:pStyle w:val="Prrafodelista"/>
        <w:tabs>
          <w:tab w:val="left" w:pos="426"/>
        </w:tabs>
        <w:ind w:left="0"/>
        <w:contextualSpacing w:val="0"/>
        <w:jc w:val="both"/>
        <w:rPr>
          <w:rFonts w:ascii="Times New Roman" w:hAnsi="Times New Roman" w:cs="Times New Roman"/>
          <w:sz w:val="28"/>
          <w:szCs w:val="28"/>
        </w:rPr>
      </w:pPr>
    </w:p>
    <w:p w:rsidR="00E50D4E" w:rsidRPr="00EC42C3" w:rsidRDefault="00EC42C3" w:rsidP="00602BC6">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i/>
          <w:iCs/>
          <w:sz w:val="28"/>
          <w:szCs w:val="28"/>
        </w:rPr>
        <w:t>L</w:t>
      </w:r>
      <w:r w:rsidRPr="00EC42C3">
        <w:rPr>
          <w:rFonts w:ascii="Times New Roman" w:hAnsi="Times New Roman" w:cs="Times New Roman"/>
          <w:i/>
          <w:iCs/>
          <w:sz w:val="28"/>
          <w:szCs w:val="28"/>
        </w:rPr>
        <w:t>a exc</w:t>
      </w:r>
      <w:r w:rsidRPr="00EC42C3">
        <w:rPr>
          <w:rFonts w:ascii="Times New Roman" w:hAnsi="Times New Roman" w:cs="Times New Roman"/>
          <w:i/>
          <w:iCs/>
          <w:sz w:val="28"/>
          <w:szCs w:val="28"/>
        </w:rPr>
        <w:t>lusión de los compañeros</w:t>
      </w:r>
      <w:r w:rsidRPr="00EC42C3">
        <w:rPr>
          <w:rFonts w:ascii="Times New Roman" w:hAnsi="Times New Roman" w:cs="Times New Roman"/>
          <w:i/>
          <w:iCs/>
          <w:sz w:val="28"/>
          <w:szCs w:val="28"/>
        </w:rPr>
        <w:t xml:space="preserve"> y compañeras</w:t>
      </w:r>
      <w:r w:rsidRPr="00EC42C3">
        <w:rPr>
          <w:rFonts w:ascii="Times New Roman" w:hAnsi="Times New Roman" w:cs="Times New Roman"/>
          <w:i/>
          <w:iCs/>
          <w:sz w:val="28"/>
          <w:szCs w:val="28"/>
        </w:rPr>
        <w:t xml:space="preserve"> permanentes carece de razón suficiente</w:t>
      </w:r>
      <w:r w:rsidRPr="00EC42C3">
        <w:rPr>
          <w:rFonts w:ascii="Times New Roman" w:hAnsi="Times New Roman" w:cs="Times New Roman"/>
          <w:i/>
          <w:iCs/>
          <w:sz w:val="28"/>
          <w:szCs w:val="28"/>
        </w:rPr>
        <w:t xml:space="preserve">. </w:t>
      </w:r>
      <w:r w:rsidRPr="00EC42C3">
        <w:rPr>
          <w:rFonts w:ascii="Times New Roman" w:hAnsi="Times New Roman" w:cs="Times New Roman"/>
          <w:sz w:val="28"/>
          <w:szCs w:val="28"/>
        </w:rPr>
        <w:t>En este punto, la Sala precisa que el análisis de la finalidad no debe recaer sobre el supuesto de hecho</w:t>
      </w:r>
      <w:r w:rsidRPr="00EC42C3">
        <w:rPr>
          <w:rFonts w:ascii="Times New Roman" w:hAnsi="Times New Roman" w:cs="Times New Roman"/>
          <w:sz w:val="28"/>
          <w:szCs w:val="28"/>
        </w:rPr>
        <w:t xml:space="preserve"> contenido en el artículo 108 del Código </w:t>
      </w:r>
      <w:r w:rsidRPr="00EC42C3">
        <w:rPr>
          <w:rFonts w:ascii="Times New Roman" w:hAnsi="Times New Roman" w:cs="Times New Roman"/>
          <w:sz w:val="28"/>
          <w:szCs w:val="28"/>
        </w:rPr>
        <w:t>C</w:t>
      </w:r>
      <w:r w:rsidRPr="00EC42C3">
        <w:rPr>
          <w:rFonts w:ascii="Times New Roman" w:hAnsi="Times New Roman" w:cs="Times New Roman"/>
          <w:sz w:val="28"/>
          <w:szCs w:val="28"/>
        </w:rPr>
        <w:t>ivil, esto es, la posibilidad de rescindir el decreto de posesión definitiva en favor del desaparecido o de su núcleo familiar, el cual se presume constitucional y no ha sido cuestionado por los demandantes. El examen debe enfocarse, en cambio, en la final</w:t>
      </w:r>
      <w:r w:rsidRPr="00EC42C3">
        <w:rPr>
          <w:rFonts w:ascii="Times New Roman" w:hAnsi="Times New Roman" w:cs="Times New Roman"/>
          <w:sz w:val="28"/>
          <w:szCs w:val="28"/>
        </w:rPr>
        <w:t>idad del trato diferenciado derivado de la omisión legislativa, consistente en la exclusión de los compañeros y compañeras permanentes del grupo de sujetos legitimados para pedir dicha rescisión.</w:t>
      </w:r>
    </w:p>
    <w:p w:rsidR="00BC3BA9" w:rsidRPr="00EC42C3" w:rsidRDefault="00EC42C3" w:rsidP="00BC3BA9">
      <w:pPr>
        <w:pStyle w:val="Prrafodelista"/>
        <w:rPr>
          <w:rFonts w:ascii="Times New Roman" w:hAnsi="Times New Roman" w:cs="Times New Roman"/>
          <w:sz w:val="28"/>
          <w:szCs w:val="28"/>
        </w:rPr>
      </w:pPr>
    </w:p>
    <w:p w:rsidR="00E50D4E" w:rsidRPr="00EC42C3" w:rsidRDefault="00EC42C3" w:rsidP="002C0A26">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Así delimitado el objeto de control, corresponde establecer</w:t>
      </w:r>
      <w:r w:rsidRPr="00EC42C3">
        <w:rPr>
          <w:rFonts w:ascii="Times New Roman" w:hAnsi="Times New Roman" w:cs="Times New Roman"/>
          <w:sz w:val="28"/>
          <w:szCs w:val="28"/>
        </w:rPr>
        <w:t xml:space="preserve"> si la exclusión de los compañeros y compañeras permanentes persigue un fin constitucionalmente imperioso que justifique el trato diferenciado entre formas de familia materialmente equivalentes. Este escrutinio resulta exigible, en la medida en que la omis</w:t>
      </w:r>
      <w:r w:rsidRPr="00EC42C3">
        <w:rPr>
          <w:rFonts w:ascii="Times New Roman" w:hAnsi="Times New Roman" w:cs="Times New Roman"/>
          <w:sz w:val="28"/>
          <w:szCs w:val="28"/>
        </w:rPr>
        <w:t>ión se funda en un criterio sospechoso</w:t>
      </w:r>
      <w:r w:rsidRPr="00EC42C3">
        <w:rPr>
          <w:rFonts w:ascii="Times New Roman" w:hAnsi="Times New Roman" w:cs="Times New Roman"/>
          <w:sz w:val="28"/>
          <w:szCs w:val="28"/>
        </w:rPr>
        <w:t xml:space="preserve"> de discriminación (origen familiar) proscrito por el artículo 13 de la Carta Política, y afecta de manera directa el mandato de protección integral de la familia previsto en los artículos 5 y 42 superiores. </w:t>
      </w:r>
    </w:p>
    <w:p w:rsidR="002C0A26" w:rsidRPr="00EC42C3" w:rsidRDefault="00EC42C3" w:rsidP="002C0A26">
      <w:pPr>
        <w:pStyle w:val="Prrafodelista"/>
        <w:rPr>
          <w:rFonts w:ascii="Times New Roman" w:hAnsi="Times New Roman" w:cs="Times New Roman"/>
          <w:sz w:val="28"/>
          <w:szCs w:val="28"/>
        </w:rPr>
      </w:pPr>
    </w:p>
    <w:p w:rsidR="002C0A26" w:rsidRPr="00EC42C3" w:rsidRDefault="00EC42C3" w:rsidP="002C0A26">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 xml:space="preserve">La Sala </w:t>
      </w:r>
      <w:r w:rsidRPr="00EC42C3">
        <w:rPr>
          <w:rFonts w:ascii="Times New Roman" w:hAnsi="Times New Roman" w:cs="Times New Roman"/>
          <w:sz w:val="28"/>
          <w:szCs w:val="28"/>
        </w:rPr>
        <w:t xml:space="preserve">no identifica un fin constitucional imperioso que explique o justifique la decisión legislativa de restringir la legitimación prevista en el artículo 108 del Código Civil únicamente al cónyuge por matrimonio contraído en la misma época. La norma no revela </w:t>
      </w:r>
      <w:r w:rsidRPr="00EC42C3">
        <w:rPr>
          <w:rFonts w:ascii="Times New Roman" w:hAnsi="Times New Roman" w:cs="Times New Roman"/>
          <w:sz w:val="28"/>
          <w:szCs w:val="28"/>
        </w:rPr>
        <w:t>un propósito específico orientado a excluir a los compañeros permanentes, ni se advierte que dicha exclusión responda a la protección de un valor, principio o bien constitucional de entidad superior que autorice el sacrificio del principio de igualdad.</w:t>
      </w:r>
    </w:p>
    <w:p w:rsidR="0087525B" w:rsidRPr="00EC42C3" w:rsidRDefault="00EC42C3" w:rsidP="0087525B">
      <w:pPr>
        <w:pStyle w:val="Prrafodelista"/>
        <w:rPr>
          <w:rFonts w:ascii="Times New Roman" w:hAnsi="Times New Roman" w:cs="Times New Roman"/>
          <w:sz w:val="28"/>
          <w:szCs w:val="28"/>
        </w:rPr>
      </w:pPr>
    </w:p>
    <w:p w:rsidR="0087525B" w:rsidRPr="00EC42C3" w:rsidRDefault="00EC42C3" w:rsidP="002C0A26">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Po</w:t>
      </w:r>
      <w:r w:rsidRPr="00EC42C3">
        <w:rPr>
          <w:rFonts w:ascii="Times New Roman" w:hAnsi="Times New Roman" w:cs="Times New Roman"/>
          <w:sz w:val="28"/>
          <w:szCs w:val="28"/>
        </w:rPr>
        <w:t>r el contrario, la exclusión bajo examen resulta abiertamente incompatible con la finalidad constitucional de garantizar la igualdad de trato entre las distintas formas de familia reconocidas por la Constitución. Cabe destacar que desde la entrada en vigen</w:t>
      </w:r>
      <w:r w:rsidRPr="00EC42C3">
        <w:rPr>
          <w:rFonts w:ascii="Times New Roman" w:hAnsi="Times New Roman" w:cs="Times New Roman"/>
          <w:sz w:val="28"/>
          <w:szCs w:val="28"/>
        </w:rPr>
        <w:t>cia de la Carta Política de 1991, el legislador carece de competencia para establecer distinciones desfavorables entre cónyuges y compañeros permanentes cuando ambos se encuentran en situaciones materialmente equiparables, salvo que medi</w:t>
      </w:r>
      <w:r w:rsidRPr="00EC42C3">
        <w:rPr>
          <w:rFonts w:ascii="Times New Roman" w:hAnsi="Times New Roman" w:cs="Times New Roman"/>
          <w:sz w:val="28"/>
          <w:szCs w:val="28"/>
        </w:rPr>
        <w:t>e una justificación</w:t>
      </w:r>
      <w:r w:rsidRPr="00EC42C3">
        <w:rPr>
          <w:rFonts w:ascii="Times New Roman" w:hAnsi="Times New Roman" w:cs="Times New Roman"/>
          <w:sz w:val="28"/>
          <w:szCs w:val="28"/>
        </w:rPr>
        <w:t xml:space="preserve"> constitucional particularmente fuerte, la cual no se presenta en el caso analizado.</w:t>
      </w:r>
    </w:p>
    <w:p w:rsidR="00504D1D" w:rsidRPr="00EC42C3" w:rsidRDefault="00EC42C3" w:rsidP="00504D1D">
      <w:pPr>
        <w:pStyle w:val="Prrafodelista"/>
        <w:rPr>
          <w:rFonts w:ascii="Times New Roman" w:hAnsi="Times New Roman" w:cs="Times New Roman"/>
          <w:sz w:val="28"/>
          <w:szCs w:val="28"/>
        </w:rPr>
      </w:pPr>
    </w:p>
    <w:p w:rsidR="00504D1D" w:rsidRPr="00EC42C3" w:rsidRDefault="00EC42C3" w:rsidP="002C0A26">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El contexto histórico de expedición de la norma, esto es, en 1873, cuando el matrimonio era la única forma jurídicamente válida reconocida de familia, permite explicar la</w:t>
      </w:r>
      <w:r w:rsidRPr="00EC42C3">
        <w:rPr>
          <w:rFonts w:ascii="Times New Roman" w:hAnsi="Times New Roman" w:cs="Times New Roman"/>
          <w:sz w:val="28"/>
          <w:szCs w:val="28"/>
        </w:rPr>
        <w:t xml:space="preserve"> omisión, pero no constituye una razón constitucionalmente válida para mantenerla en el ordenamiento jurídico vigente. Tal como lo ha reiterado esta Corporación, la preconstitucionalidad de una norma jurídica no exonera al legislador de su deber de adecuar</w:t>
      </w:r>
      <w:r w:rsidRPr="00EC42C3">
        <w:rPr>
          <w:rFonts w:ascii="Times New Roman" w:hAnsi="Times New Roman" w:cs="Times New Roman"/>
          <w:sz w:val="28"/>
          <w:szCs w:val="28"/>
        </w:rPr>
        <w:t>la a los principios, valores y mandatos de la Constitución de 1991.</w:t>
      </w:r>
    </w:p>
    <w:p w:rsidR="00504D1D" w:rsidRPr="00EC42C3" w:rsidRDefault="00EC42C3" w:rsidP="00504D1D">
      <w:pPr>
        <w:pStyle w:val="Prrafodelista"/>
        <w:rPr>
          <w:rFonts w:ascii="Times New Roman" w:hAnsi="Times New Roman" w:cs="Times New Roman"/>
          <w:sz w:val="28"/>
          <w:szCs w:val="28"/>
        </w:rPr>
      </w:pPr>
    </w:p>
    <w:p w:rsidR="00504D1D" w:rsidRPr="00EC42C3" w:rsidRDefault="00EC42C3" w:rsidP="002C0A26">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 xml:space="preserve">Por consiguiente, la Sala concluye que la omisión legislativa relativa no </w:t>
      </w:r>
      <w:r w:rsidRPr="00EC42C3">
        <w:rPr>
          <w:rFonts w:ascii="Times New Roman" w:hAnsi="Times New Roman" w:cs="Times New Roman"/>
          <w:sz w:val="28"/>
          <w:szCs w:val="28"/>
        </w:rPr>
        <w:t xml:space="preserve">     </w:t>
      </w:r>
      <w:r w:rsidRPr="00EC42C3">
        <w:rPr>
          <w:rFonts w:ascii="Times New Roman" w:hAnsi="Times New Roman" w:cs="Times New Roman"/>
          <w:sz w:val="28"/>
          <w:szCs w:val="28"/>
        </w:rPr>
        <w:t>persigue</w:t>
      </w:r>
      <w:r w:rsidRPr="00EC42C3">
        <w:rPr>
          <w:rFonts w:ascii="Times New Roman" w:hAnsi="Times New Roman" w:cs="Times New Roman"/>
          <w:sz w:val="28"/>
          <w:szCs w:val="28"/>
        </w:rPr>
        <w:t xml:space="preserve"> ni puede adscribirse a</w:t>
      </w:r>
      <w:r w:rsidRPr="00EC42C3">
        <w:rPr>
          <w:rFonts w:ascii="Times New Roman" w:hAnsi="Times New Roman" w:cs="Times New Roman"/>
          <w:sz w:val="28"/>
          <w:szCs w:val="28"/>
        </w:rPr>
        <w:t xml:space="preserve"> un fin constitucional imperioso y, por tanto, no supera el primer nivel de e</w:t>
      </w:r>
      <w:r w:rsidRPr="00EC42C3">
        <w:rPr>
          <w:rFonts w:ascii="Times New Roman" w:hAnsi="Times New Roman" w:cs="Times New Roman"/>
          <w:sz w:val="28"/>
          <w:szCs w:val="28"/>
        </w:rPr>
        <w:t>xigencia del juicio de igualdad de intensidad estricta. Esta constatación resulta suficiente para declarar la incompatibilidad constitucional de la exclusión de los compañeros y compañeras permanentes, sin que sea necesario avanzar en el análisis de los pa</w:t>
      </w:r>
      <w:r w:rsidRPr="00EC42C3">
        <w:rPr>
          <w:rFonts w:ascii="Times New Roman" w:hAnsi="Times New Roman" w:cs="Times New Roman"/>
          <w:sz w:val="28"/>
          <w:szCs w:val="28"/>
        </w:rPr>
        <w:t>sos subsiguientes del test.</w:t>
      </w:r>
    </w:p>
    <w:p w:rsidR="00504D1D" w:rsidRPr="00EC42C3" w:rsidRDefault="00EC42C3" w:rsidP="00504D1D">
      <w:pPr>
        <w:pStyle w:val="Prrafodelista"/>
        <w:rPr>
          <w:rFonts w:ascii="Times New Roman" w:hAnsi="Times New Roman" w:cs="Times New Roman"/>
          <w:sz w:val="28"/>
          <w:szCs w:val="28"/>
        </w:rPr>
      </w:pPr>
    </w:p>
    <w:p w:rsidR="00504D1D" w:rsidRPr="00EC42C3" w:rsidRDefault="00EC42C3" w:rsidP="005A4B03">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En efecto, una vez corroborado</w:t>
      </w:r>
      <w:r w:rsidRPr="00EC42C3">
        <w:rPr>
          <w:rFonts w:ascii="Times New Roman" w:hAnsi="Times New Roman" w:cs="Times New Roman"/>
          <w:sz w:val="28"/>
          <w:szCs w:val="28"/>
        </w:rPr>
        <w:t xml:space="preserve"> el trato diferenciado carece de una finalidad constitucional que lo respalde, resulta </w:t>
      </w:r>
      <w:r w:rsidRPr="00EC42C3">
        <w:rPr>
          <w:rFonts w:ascii="Times New Roman" w:hAnsi="Times New Roman" w:cs="Times New Roman"/>
          <w:sz w:val="28"/>
          <w:szCs w:val="28"/>
        </w:rPr>
        <w:t>in</w:t>
      </w:r>
      <w:r w:rsidRPr="00EC42C3">
        <w:rPr>
          <w:rFonts w:ascii="Times New Roman" w:hAnsi="Times New Roman" w:cs="Times New Roman"/>
          <w:sz w:val="28"/>
          <w:szCs w:val="28"/>
        </w:rPr>
        <w:t xml:space="preserve">oficioso examinar la conducencia, necesidad o proporcionalidad en sentido estricto de la medida, </w:t>
      </w:r>
      <w:r w:rsidRPr="00EC42C3">
        <w:rPr>
          <w:rFonts w:ascii="Times New Roman" w:hAnsi="Times New Roman" w:cs="Times New Roman"/>
          <w:sz w:val="28"/>
          <w:szCs w:val="28"/>
        </w:rPr>
        <w:t xml:space="preserve">ni efectuar consideraciones sobre su idoneidad, </w:t>
      </w:r>
      <w:r w:rsidRPr="00EC42C3">
        <w:rPr>
          <w:rFonts w:ascii="Times New Roman" w:hAnsi="Times New Roman" w:cs="Times New Roman"/>
          <w:sz w:val="28"/>
          <w:szCs w:val="28"/>
        </w:rPr>
        <w:t>pues la ausencia de un fin imperioso impide, desde el inicio, justificar la restricción al principio de igualdad  y al mandato de protección integral de la familia.</w:t>
      </w:r>
    </w:p>
    <w:p w:rsidR="00FB4953" w:rsidRPr="00EC42C3" w:rsidRDefault="00EC42C3" w:rsidP="00FB4953">
      <w:pPr>
        <w:pStyle w:val="Prrafodelista"/>
        <w:rPr>
          <w:rFonts w:ascii="Times New Roman" w:hAnsi="Times New Roman" w:cs="Times New Roman"/>
          <w:sz w:val="28"/>
          <w:szCs w:val="28"/>
        </w:rPr>
      </w:pPr>
    </w:p>
    <w:p w:rsidR="00810464" w:rsidRPr="00EC42C3" w:rsidRDefault="00EC42C3" w:rsidP="00810464">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Así las cosas, la Sala constata que la exc</w:t>
      </w:r>
      <w:r w:rsidRPr="00EC42C3">
        <w:rPr>
          <w:rFonts w:ascii="Times New Roman" w:hAnsi="Times New Roman" w:cs="Times New Roman"/>
          <w:sz w:val="28"/>
          <w:szCs w:val="28"/>
        </w:rPr>
        <w:t>lusión de los compañeros y compañeras permanentes del ámbito de protección del artículo 108 del Código Civil constituye una omisión legislativa relativa contraria a los artículos 5, 13 y 42 de la Constitución Política</w:t>
      </w:r>
      <w:r w:rsidRPr="00EC42C3">
        <w:rPr>
          <w:rFonts w:ascii="Times New Roman" w:hAnsi="Times New Roman" w:cs="Times New Roman"/>
          <w:sz w:val="28"/>
          <w:szCs w:val="28"/>
        </w:rPr>
        <w:t xml:space="preserve">. </w:t>
      </w:r>
    </w:p>
    <w:p w:rsidR="00810464" w:rsidRPr="00EC42C3" w:rsidRDefault="00EC42C3" w:rsidP="00810464">
      <w:pPr>
        <w:pStyle w:val="Prrafodelista"/>
        <w:rPr>
          <w:rFonts w:ascii="Times New Roman" w:hAnsi="Times New Roman" w:cs="Times New Roman"/>
          <w:sz w:val="28"/>
          <w:szCs w:val="28"/>
          <w:shd w:val="clear" w:color="auto" w:fill="FFFFFF"/>
        </w:rPr>
      </w:pPr>
    </w:p>
    <w:p w:rsidR="00436E22" w:rsidRPr="00EC42C3" w:rsidRDefault="00EC42C3" w:rsidP="00810464">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shd w:val="clear" w:color="auto" w:fill="FFFFFF"/>
        </w:rPr>
        <w:t>Aunado a lo anterior, la Sala estim</w:t>
      </w:r>
      <w:r w:rsidRPr="00EC42C3">
        <w:rPr>
          <w:rFonts w:ascii="Times New Roman" w:hAnsi="Times New Roman" w:cs="Times New Roman"/>
          <w:sz w:val="28"/>
          <w:szCs w:val="28"/>
          <w:shd w:val="clear" w:color="auto" w:fill="FFFFFF"/>
        </w:rPr>
        <w:t>a que la diferencia de trato  prevista en la norma demandada carece de justificación a la luz de lo previsto en los artículos 2º y 26 del Pacto Internacional de Derechos Civiles y Políticos, así como en los artículos 1º y 24 de la Convención Americana de D</w:t>
      </w:r>
      <w:r w:rsidRPr="00EC42C3">
        <w:rPr>
          <w:rFonts w:ascii="Times New Roman" w:hAnsi="Times New Roman" w:cs="Times New Roman"/>
          <w:sz w:val="28"/>
          <w:szCs w:val="28"/>
          <w:shd w:val="clear" w:color="auto" w:fill="FFFFFF"/>
        </w:rPr>
        <w:t xml:space="preserve">erechos Humanos. En estas normas se prohíbe la discriminación y se reconoce el derecho a la igualdad ante la ley de todas las personas. </w:t>
      </w:r>
    </w:p>
    <w:p w:rsidR="002A537E" w:rsidRPr="00EC42C3" w:rsidRDefault="00EC42C3" w:rsidP="008D4AAF">
      <w:pPr>
        <w:pStyle w:val="Prrafodelista"/>
        <w:rPr>
          <w:rFonts w:ascii="Times New Roman" w:hAnsi="Times New Roman" w:cs="Times New Roman"/>
          <w:b/>
          <w:bCs/>
          <w:sz w:val="28"/>
          <w:szCs w:val="28"/>
        </w:rPr>
      </w:pPr>
    </w:p>
    <w:p w:rsidR="00F540CA" w:rsidRPr="00EC42C3" w:rsidRDefault="00EC42C3" w:rsidP="00AD186C">
      <w:pPr>
        <w:pStyle w:val="Prrafodelista"/>
        <w:numPr>
          <w:ilvl w:val="0"/>
          <w:numId w:val="1"/>
        </w:numPr>
        <w:tabs>
          <w:tab w:val="left" w:pos="426"/>
        </w:tabs>
        <w:spacing w:before="10"/>
        <w:ind w:left="0" w:firstLine="0"/>
        <w:contextualSpacing w:val="0"/>
        <w:jc w:val="both"/>
        <w:rPr>
          <w:rFonts w:ascii="Times New Roman" w:hAnsi="Times New Roman" w:cs="Times New Roman"/>
          <w:sz w:val="28"/>
          <w:szCs w:val="28"/>
        </w:rPr>
      </w:pPr>
      <w:r w:rsidRPr="00EC42C3">
        <w:rPr>
          <w:rFonts w:ascii="Times New Roman" w:hAnsi="Times New Roman" w:cs="Times New Roman"/>
          <w:b/>
          <w:bCs/>
          <w:sz w:val="28"/>
          <w:szCs w:val="28"/>
        </w:rPr>
        <w:t xml:space="preserve">En </w:t>
      </w:r>
      <w:r w:rsidRPr="00EC42C3">
        <w:rPr>
          <w:rFonts w:ascii="Times New Roman" w:hAnsi="Times New Roman" w:cs="Times New Roman"/>
          <w:b/>
          <w:bCs/>
          <w:sz w:val="28"/>
          <w:szCs w:val="28"/>
        </w:rPr>
        <w:t>cuart</w:t>
      </w:r>
      <w:r w:rsidRPr="00EC42C3">
        <w:rPr>
          <w:rFonts w:ascii="Times New Roman" w:hAnsi="Times New Roman" w:cs="Times New Roman"/>
          <w:b/>
          <w:bCs/>
          <w:sz w:val="28"/>
          <w:szCs w:val="28"/>
        </w:rPr>
        <w:t xml:space="preserve">o lugar, </w:t>
      </w:r>
      <w:r w:rsidRPr="00EC42C3">
        <w:rPr>
          <w:rFonts w:ascii="Times New Roman" w:hAnsi="Times New Roman" w:cs="Times New Roman"/>
          <w:sz w:val="28"/>
          <w:szCs w:val="28"/>
        </w:rPr>
        <w:t>a la luz de las consideraciones expuestas</w:t>
      </w:r>
      <w:r w:rsidRPr="00EC42C3">
        <w:rPr>
          <w:rFonts w:ascii="Times New Roman" w:hAnsi="Times New Roman" w:cs="Times New Roman"/>
          <w:sz w:val="28"/>
          <w:szCs w:val="28"/>
        </w:rPr>
        <w:t xml:space="preserve">, la Sala concluye que la diferencia de trato entre cónyuges y compañeros permanentes carece de justificación constitucional. </w:t>
      </w:r>
      <w:r w:rsidRPr="00EC42C3">
        <w:rPr>
          <w:rFonts w:ascii="Times New Roman" w:hAnsi="Times New Roman" w:cs="Times New Roman"/>
          <w:sz w:val="28"/>
          <w:szCs w:val="28"/>
        </w:rPr>
        <w:t>Por ende</w:t>
      </w:r>
      <w:r w:rsidRPr="00EC42C3">
        <w:rPr>
          <w:rFonts w:ascii="Times New Roman" w:hAnsi="Times New Roman" w:cs="Times New Roman"/>
          <w:sz w:val="28"/>
          <w:szCs w:val="28"/>
        </w:rPr>
        <w:t xml:space="preserve">, </w:t>
      </w:r>
      <w:r w:rsidRPr="00EC42C3">
        <w:rPr>
          <w:rFonts w:ascii="Times New Roman" w:hAnsi="Times New Roman" w:cs="Times New Roman"/>
          <w:sz w:val="28"/>
          <w:szCs w:val="28"/>
        </w:rPr>
        <w:t>corresponde determinar</w:t>
      </w:r>
      <w:r w:rsidRPr="00EC42C3">
        <w:rPr>
          <w:rFonts w:ascii="Times New Roman" w:hAnsi="Times New Roman" w:cs="Times New Roman"/>
          <w:sz w:val="28"/>
          <w:szCs w:val="28"/>
        </w:rPr>
        <w:t xml:space="preserve"> el remedio adecuado </w:t>
      </w:r>
      <w:r w:rsidRPr="00EC42C3">
        <w:rPr>
          <w:rFonts w:ascii="Times New Roman" w:hAnsi="Times New Roman" w:cs="Times New Roman"/>
          <w:sz w:val="28"/>
          <w:szCs w:val="28"/>
        </w:rPr>
        <w:t>para subsanar la omisión legislativa advertida</w:t>
      </w:r>
      <w:r w:rsidRPr="00EC42C3">
        <w:rPr>
          <w:rFonts w:ascii="Times New Roman" w:hAnsi="Times New Roman" w:cs="Times New Roman"/>
          <w:sz w:val="28"/>
          <w:szCs w:val="28"/>
        </w:rPr>
        <w:t>.</w:t>
      </w:r>
      <w:r w:rsidRPr="00EC42C3">
        <w:rPr>
          <w:rStyle w:val="Refdenotaalpie"/>
          <w:rFonts w:ascii="Times New Roman" w:hAnsi="Times New Roman" w:cs="Times New Roman"/>
          <w:sz w:val="28"/>
          <w:szCs w:val="28"/>
        </w:rPr>
        <w:footnoteReference w:id="30"/>
      </w:r>
    </w:p>
    <w:p w:rsidR="00F540CA" w:rsidRPr="00EC42C3" w:rsidRDefault="00EC42C3" w:rsidP="00F540CA">
      <w:pPr>
        <w:pStyle w:val="Prrafodelista"/>
        <w:rPr>
          <w:rFonts w:ascii="Times New Roman" w:hAnsi="Times New Roman" w:cs="Times New Roman"/>
          <w:sz w:val="28"/>
          <w:szCs w:val="28"/>
        </w:rPr>
      </w:pPr>
    </w:p>
    <w:p w:rsidR="00660FC9" w:rsidRPr="00EC42C3" w:rsidRDefault="00EC42C3" w:rsidP="00660FC9">
      <w:pPr>
        <w:pStyle w:val="Prrafodelista"/>
        <w:numPr>
          <w:ilvl w:val="0"/>
          <w:numId w:val="1"/>
        </w:numPr>
        <w:tabs>
          <w:tab w:val="left" w:pos="426"/>
        </w:tabs>
        <w:spacing w:before="10"/>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Por</w:t>
      </w:r>
      <w:r w:rsidRPr="00EC42C3">
        <w:rPr>
          <w:rFonts w:ascii="Times New Roman" w:hAnsi="Times New Roman" w:cs="Times New Roman"/>
          <w:sz w:val="28"/>
          <w:szCs w:val="28"/>
        </w:rPr>
        <w:t xml:space="preserve"> </w:t>
      </w:r>
      <w:r w:rsidRPr="00EC42C3">
        <w:rPr>
          <w:rFonts w:ascii="Times New Roman" w:hAnsi="Times New Roman" w:cs="Times New Roman"/>
          <w:sz w:val="28"/>
          <w:szCs w:val="28"/>
        </w:rPr>
        <w:t>un lado</w:t>
      </w:r>
      <w:r w:rsidRPr="00EC42C3">
        <w:rPr>
          <w:rFonts w:ascii="Times New Roman" w:hAnsi="Times New Roman" w:cs="Times New Roman"/>
          <w:sz w:val="28"/>
          <w:szCs w:val="28"/>
        </w:rPr>
        <w:t>, la Sala descar</w:t>
      </w:r>
      <w:r w:rsidRPr="00EC42C3">
        <w:rPr>
          <w:rFonts w:ascii="Times New Roman" w:hAnsi="Times New Roman" w:cs="Times New Roman"/>
          <w:sz w:val="28"/>
          <w:szCs w:val="28"/>
        </w:rPr>
        <w:t xml:space="preserve">ta la </w:t>
      </w:r>
      <w:r w:rsidRPr="00EC42C3">
        <w:rPr>
          <w:rFonts w:ascii="Times New Roman" w:hAnsi="Times New Roman" w:cs="Times New Roman"/>
          <w:sz w:val="28"/>
          <w:szCs w:val="28"/>
        </w:rPr>
        <w:t>posibilidad de declarar la inexequibilidad pura y simple de la norma demandada, puesto que una decisión de esa naturaleza no solo dejaría sin efecto la protección actualmente reconocida a los cónyuges, sino que además no resolvería la desprotección d</w:t>
      </w:r>
      <w:r w:rsidRPr="00EC42C3">
        <w:rPr>
          <w:rFonts w:ascii="Times New Roman" w:hAnsi="Times New Roman" w:cs="Times New Roman"/>
          <w:sz w:val="28"/>
          <w:szCs w:val="28"/>
        </w:rPr>
        <w:t>e los compañeros permanentes. Tal decisión produciría un vacío normativo contrario al principio de conservación del derecho.</w:t>
      </w:r>
    </w:p>
    <w:p w:rsidR="00660FC9" w:rsidRPr="00EC42C3" w:rsidRDefault="00EC42C3" w:rsidP="00660FC9">
      <w:pPr>
        <w:pStyle w:val="Prrafodelista"/>
        <w:rPr>
          <w:rFonts w:ascii="Times New Roman" w:hAnsi="Times New Roman" w:cs="Times New Roman"/>
          <w:sz w:val="28"/>
          <w:szCs w:val="28"/>
        </w:rPr>
      </w:pPr>
    </w:p>
    <w:p w:rsidR="00660FC9" w:rsidRPr="00EC42C3" w:rsidRDefault="00EC42C3" w:rsidP="00660FC9">
      <w:pPr>
        <w:pStyle w:val="Prrafodelista"/>
        <w:numPr>
          <w:ilvl w:val="0"/>
          <w:numId w:val="1"/>
        </w:numPr>
        <w:tabs>
          <w:tab w:val="left" w:pos="426"/>
        </w:tabs>
        <w:spacing w:before="10"/>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Por el</w:t>
      </w:r>
      <w:r w:rsidRPr="00EC42C3">
        <w:rPr>
          <w:rFonts w:ascii="Times New Roman" w:hAnsi="Times New Roman" w:cs="Times New Roman"/>
          <w:sz w:val="28"/>
          <w:szCs w:val="28"/>
        </w:rPr>
        <w:t xml:space="preserve"> otro</w:t>
      </w:r>
      <w:r w:rsidRPr="00EC42C3">
        <w:rPr>
          <w:rFonts w:ascii="Times New Roman" w:hAnsi="Times New Roman" w:cs="Times New Roman"/>
          <w:sz w:val="28"/>
          <w:szCs w:val="28"/>
        </w:rPr>
        <w:t>,</w:t>
      </w:r>
      <w:r w:rsidRPr="00EC42C3">
        <w:rPr>
          <w:rFonts w:ascii="Times New Roman" w:hAnsi="Times New Roman" w:cs="Times New Roman"/>
          <w:sz w:val="28"/>
          <w:szCs w:val="28"/>
        </w:rPr>
        <w:t xml:space="preserve"> </w:t>
      </w:r>
      <w:r w:rsidRPr="00EC42C3">
        <w:rPr>
          <w:rFonts w:ascii="Times New Roman" w:hAnsi="Times New Roman" w:cs="Times New Roman"/>
          <w:sz w:val="28"/>
          <w:szCs w:val="28"/>
        </w:rPr>
        <w:t xml:space="preserve">como lo propone la acusación y lo señalan de manera unánime los intervinientes y el procurador, </w:t>
      </w:r>
      <w:r w:rsidRPr="00EC42C3">
        <w:rPr>
          <w:rFonts w:ascii="Times New Roman" w:hAnsi="Times New Roman" w:cs="Times New Roman"/>
          <w:sz w:val="28"/>
          <w:szCs w:val="28"/>
        </w:rPr>
        <w:t>resulta procedente ad</w:t>
      </w:r>
      <w:r w:rsidRPr="00EC42C3">
        <w:rPr>
          <w:rFonts w:ascii="Times New Roman" w:hAnsi="Times New Roman" w:cs="Times New Roman"/>
          <w:sz w:val="28"/>
          <w:szCs w:val="28"/>
        </w:rPr>
        <w:t xml:space="preserve">optar una decisión </w:t>
      </w:r>
      <w:r w:rsidRPr="00EC42C3">
        <w:rPr>
          <w:rFonts w:ascii="Times New Roman" w:hAnsi="Times New Roman" w:cs="Times New Roman"/>
          <w:sz w:val="28"/>
          <w:szCs w:val="28"/>
        </w:rPr>
        <w:t>integradora de carácter definitivo, modalidad de decisión propia del control constitucional frente a omisiones legislativas relativas</w:t>
      </w:r>
      <w:r w:rsidRPr="00EC42C3">
        <w:rPr>
          <w:rFonts w:ascii="Times New Roman" w:hAnsi="Times New Roman" w:cs="Times New Roman"/>
          <w:sz w:val="28"/>
          <w:szCs w:val="28"/>
        </w:rPr>
        <w:t>. Est</w:t>
      </w:r>
      <w:r w:rsidRPr="00EC42C3">
        <w:rPr>
          <w:rFonts w:ascii="Times New Roman" w:hAnsi="Times New Roman" w:cs="Times New Roman"/>
          <w:sz w:val="28"/>
          <w:szCs w:val="28"/>
        </w:rPr>
        <w:t>e</w:t>
      </w:r>
      <w:r w:rsidRPr="00EC42C3">
        <w:rPr>
          <w:rFonts w:ascii="Times New Roman" w:hAnsi="Times New Roman" w:cs="Times New Roman"/>
          <w:sz w:val="28"/>
          <w:szCs w:val="28"/>
        </w:rPr>
        <w:t xml:space="preserve"> </w:t>
      </w:r>
      <w:r w:rsidRPr="00EC42C3">
        <w:rPr>
          <w:rFonts w:ascii="Times New Roman" w:hAnsi="Times New Roman" w:cs="Times New Roman"/>
          <w:sz w:val="28"/>
          <w:szCs w:val="28"/>
        </w:rPr>
        <w:t xml:space="preserve">tipo </w:t>
      </w:r>
      <w:r w:rsidRPr="00EC42C3">
        <w:rPr>
          <w:rFonts w:ascii="Times New Roman" w:hAnsi="Times New Roman" w:cs="Times New Roman"/>
          <w:sz w:val="28"/>
          <w:szCs w:val="28"/>
        </w:rPr>
        <w:t xml:space="preserve">de fallo permite mantener la vigencia del precepto acusado, garantizando al mismo tiempo la </w:t>
      </w:r>
      <w:r w:rsidRPr="00EC42C3">
        <w:rPr>
          <w:rFonts w:ascii="Times New Roman" w:hAnsi="Times New Roman" w:cs="Times New Roman"/>
          <w:sz w:val="28"/>
          <w:szCs w:val="28"/>
        </w:rPr>
        <w:t>superación de la exclusión injustificada de los compañeros y compañeras permanentes. Dicha alternativa es propia del control constitucional frente a las omisiones legislativas relativas, cuando la exclusión afecta la igualdad material y la protección integ</w:t>
      </w:r>
      <w:r w:rsidRPr="00EC42C3">
        <w:rPr>
          <w:rFonts w:ascii="Times New Roman" w:hAnsi="Times New Roman" w:cs="Times New Roman"/>
          <w:sz w:val="28"/>
          <w:szCs w:val="28"/>
        </w:rPr>
        <w:t>ral de la familia, tal como ocurre en el presente caso.</w:t>
      </w:r>
    </w:p>
    <w:p w:rsidR="004D16D5" w:rsidRPr="00EC42C3" w:rsidRDefault="00EC42C3" w:rsidP="00660FC9">
      <w:pPr>
        <w:rPr>
          <w:rFonts w:ascii="Times New Roman" w:hAnsi="Times New Roman" w:cs="Times New Roman"/>
          <w:sz w:val="28"/>
          <w:szCs w:val="28"/>
        </w:rPr>
      </w:pPr>
    </w:p>
    <w:p w:rsidR="00660FC9" w:rsidRPr="00EC42C3" w:rsidRDefault="00EC42C3" w:rsidP="006E460C">
      <w:pPr>
        <w:pStyle w:val="Prrafodelista"/>
        <w:numPr>
          <w:ilvl w:val="0"/>
          <w:numId w:val="1"/>
        </w:numPr>
        <w:tabs>
          <w:tab w:val="left" w:pos="426"/>
        </w:tabs>
        <w:spacing w:before="10"/>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 xml:space="preserve">En este sentido, </w:t>
      </w:r>
      <w:r w:rsidRPr="00EC42C3">
        <w:rPr>
          <w:rFonts w:ascii="Times New Roman" w:hAnsi="Times New Roman" w:cs="Times New Roman"/>
          <w:sz w:val="28"/>
          <w:szCs w:val="28"/>
        </w:rPr>
        <w:t xml:space="preserve">al advertir que </w:t>
      </w:r>
      <w:r w:rsidRPr="00EC42C3">
        <w:rPr>
          <w:rFonts w:ascii="Times New Roman" w:hAnsi="Times New Roman" w:cs="Times New Roman"/>
          <w:sz w:val="28"/>
          <w:szCs w:val="28"/>
        </w:rPr>
        <w:t xml:space="preserve">la redacción actual del artículo 108 del Código Civil desconoce el principio de igualdad en las relaciones familiares, previsto en los artículos 13 y 42 de la Constitución, la Sala declarará la exequibilidad de la expresión </w:t>
      </w:r>
      <w:r w:rsidRPr="00EC42C3">
        <w:rPr>
          <w:rFonts w:ascii="Times New Roman" w:hAnsi="Times New Roman" w:cs="Times New Roman"/>
          <w:i/>
          <w:iCs/>
          <w:sz w:val="28"/>
          <w:szCs w:val="28"/>
        </w:rPr>
        <w:t>“o de su cónyuge, por matrimonio</w:t>
      </w:r>
      <w:r w:rsidRPr="00EC42C3">
        <w:rPr>
          <w:rFonts w:ascii="Times New Roman" w:hAnsi="Times New Roman" w:cs="Times New Roman"/>
          <w:i/>
          <w:iCs/>
          <w:sz w:val="28"/>
          <w:szCs w:val="28"/>
        </w:rPr>
        <w:t xml:space="preserve"> contraído en la misma época”, </w:t>
      </w:r>
      <w:r w:rsidRPr="00EC42C3">
        <w:rPr>
          <w:rFonts w:ascii="Times New Roman" w:hAnsi="Times New Roman" w:cs="Times New Roman"/>
          <w:sz w:val="28"/>
          <w:szCs w:val="28"/>
        </w:rPr>
        <w:t>en el marco de una sentencia integradora de carácter aditivo</w:t>
      </w:r>
      <w:r w:rsidRPr="00EC42C3">
        <w:rPr>
          <w:rFonts w:ascii="Times New Roman" w:hAnsi="Times New Roman" w:cs="Times New Roman"/>
          <w:sz w:val="28"/>
          <w:szCs w:val="28"/>
        </w:rPr>
        <w:t xml:space="preserve">, mediante la cual se extiende su alcance </w:t>
      </w:r>
      <w:r w:rsidRPr="00EC42C3">
        <w:rPr>
          <w:rFonts w:ascii="Times New Roman" w:hAnsi="Times New Roman" w:cs="Times New Roman"/>
          <w:sz w:val="28"/>
          <w:szCs w:val="28"/>
        </w:rPr>
        <w:t xml:space="preserve">al compañero o a la compañera permanente, siempre que la unión marital de hecho se hubiere conformado durante el mismo </w:t>
      </w:r>
      <w:r w:rsidRPr="00EC42C3">
        <w:rPr>
          <w:rFonts w:ascii="Times New Roman" w:hAnsi="Times New Roman" w:cs="Times New Roman"/>
          <w:sz w:val="28"/>
          <w:szCs w:val="28"/>
        </w:rPr>
        <w:t>período de desaparecimiento.</w:t>
      </w:r>
    </w:p>
    <w:p w:rsidR="005D224E" w:rsidRPr="00EC42C3" w:rsidRDefault="00EC42C3" w:rsidP="005D224E">
      <w:pPr>
        <w:pStyle w:val="Prrafodelista"/>
        <w:tabs>
          <w:tab w:val="left" w:pos="426"/>
        </w:tabs>
        <w:spacing w:before="10"/>
        <w:ind w:left="0"/>
        <w:contextualSpacing w:val="0"/>
        <w:jc w:val="both"/>
        <w:rPr>
          <w:rFonts w:ascii="Times New Roman" w:hAnsi="Times New Roman" w:cs="Times New Roman"/>
          <w:sz w:val="28"/>
          <w:szCs w:val="28"/>
        </w:rPr>
      </w:pPr>
    </w:p>
    <w:p w:rsidR="00120DDD" w:rsidRPr="00EC42C3" w:rsidRDefault="00EC42C3" w:rsidP="00B23C81">
      <w:pPr>
        <w:pStyle w:val="Prrafodelista"/>
        <w:numPr>
          <w:ilvl w:val="0"/>
          <w:numId w:val="1"/>
        </w:numPr>
        <w:tabs>
          <w:tab w:val="left" w:pos="426"/>
        </w:tabs>
        <w:spacing w:before="10"/>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La Corte precisa que est</w:t>
      </w:r>
      <w:r w:rsidRPr="00EC42C3">
        <w:rPr>
          <w:rFonts w:ascii="Times New Roman" w:hAnsi="Times New Roman" w:cs="Times New Roman"/>
          <w:sz w:val="28"/>
          <w:szCs w:val="28"/>
        </w:rPr>
        <w:t xml:space="preserve">a integración normativa tiene un alcance estrictamente interpretativo </w:t>
      </w:r>
      <w:r w:rsidRPr="00EC42C3">
        <w:rPr>
          <w:rFonts w:ascii="Times New Roman" w:hAnsi="Times New Roman" w:cs="Times New Roman"/>
          <w:sz w:val="28"/>
          <w:szCs w:val="28"/>
        </w:rPr>
        <w:t xml:space="preserve">y no implica pronunciamiento alguno sobre los efectos patrimoniales derivados de la unión marital de hecho. Tales efectos continúan </w:t>
      </w:r>
      <w:r w:rsidRPr="00EC42C3">
        <w:rPr>
          <w:rFonts w:ascii="Times New Roman" w:hAnsi="Times New Roman" w:cs="Times New Roman"/>
          <w:sz w:val="28"/>
          <w:szCs w:val="28"/>
        </w:rPr>
        <w:t>rigiéndose por las disposiciones legales aplicables -en particular, la Ley 54 de 1990, modificada por la Ley 979 de 2005- y por la jurisprudencia civil y constitucional que las desarrolla. En consecuencia, corresponde a las autoridades judiciales competent</w:t>
      </w:r>
      <w:r w:rsidRPr="00EC42C3">
        <w:rPr>
          <w:rFonts w:ascii="Times New Roman" w:hAnsi="Times New Roman" w:cs="Times New Roman"/>
          <w:sz w:val="28"/>
          <w:szCs w:val="28"/>
        </w:rPr>
        <w:t>es determinar, en cada caso concreto, el alcance de los derechos que puedan derivarse de la legitimación reconocida en virtud de esta sentencia, conforme a los principios de igualdad y protección integral de la familia.</w:t>
      </w:r>
    </w:p>
    <w:p w:rsidR="003F06E6" w:rsidRPr="00EC42C3" w:rsidRDefault="00EC42C3" w:rsidP="003F06E6">
      <w:pPr>
        <w:pStyle w:val="Prrafodelista"/>
        <w:tabs>
          <w:tab w:val="left" w:pos="426"/>
        </w:tabs>
        <w:spacing w:before="10"/>
        <w:ind w:left="0"/>
        <w:contextualSpacing w:val="0"/>
        <w:jc w:val="both"/>
        <w:rPr>
          <w:rFonts w:ascii="Times New Roman" w:hAnsi="Times New Roman" w:cs="Times New Roman"/>
          <w:sz w:val="28"/>
          <w:szCs w:val="28"/>
        </w:rPr>
      </w:pPr>
    </w:p>
    <w:p w:rsidR="00A06D4F" w:rsidRPr="00EC42C3" w:rsidRDefault="00EC42C3" w:rsidP="00A06D4F">
      <w:pPr>
        <w:pStyle w:val="Prrafodelista"/>
        <w:numPr>
          <w:ilvl w:val="0"/>
          <w:numId w:val="1"/>
        </w:numPr>
        <w:tabs>
          <w:tab w:val="left" w:pos="426"/>
        </w:tabs>
        <w:spacing w:before="10"/>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Por último, la Sala advierte que el</w:t>
      </w:r>
      <w:r w:rsidRPr="00EC42C3">
        <w:rPr>
          <w:rFonts w:ascii="Times New Roman" w:hAnsi="Times New Roman" w:cs="Times New Roman"/>
          <w:sz w:val="28"/>
          <w:szCs w:val="28"/>
        </w:rPr>
        <w:t xml:space="preserve"> Ministerio de Relaciones Exteriores solicitó declarar la exequibilidad condicionada del artículo 108 del Código Civil. La entidad fundamentó su solicitud en el principio de retrospectividad de la ley, conforme al cual las disposiciones posteriores pueden </w:t>
      </w:r>
      <w:r w:rsidRPr="00EC42C3">
        <w:rPr>
          <w:rFonts w:ascii="Times New Roman" w:hAnsi="Times New Roman" w:cs="Times New Roman"/>
          <w:sz w:val="28"/>
          <w:szCs w:val="28"/>
        </w:rPr>
        <w:t>aplicarse a hechos anteriores a su entrada en vigencia, siempre que no se trate de situaciones jurídicas consolidadas. En sustento de su posición, citó jurisprudencia de la Corte Constitucional y de la Corte Suprema de Justicia que ha reconocido la validez</w:t>
      </w:r>
      <w:r w:rsidRPr="00EC42C3">
        <w:rPr>
          <w:rFonts w:ascii="Times New Roman" w:hAnsi="Times New Roman" w:cs="Times New Roman"/>
          <w:sz w:val="28"/>
          <w:szCs w:val="28"/>
        </w:rPr>
        <w:t xml:space="preserve"> jurídica de las uniones maritales de hecho constituidas antes de la Ley 54 de 1990, cuando tales vínculos no hubiesen sido objeto de pronunciamiento judicial definitivo.</w:t>
      </w:r>
    </w:p>
    <w:p w:rsidR="00805DE7" w:rsidRPr="00EC42C3" w:rsidRDefault="00EC42C3" w:rsidP="00805DE7">
      <w:pPr>
        <w:pStyle w:val="Prrafodelista"/>
        <w:tabs>
          <w:tab w:val="left" w:pos="426"/>
        </w:tabs>
        <w:spacing w:before="10"/>
        <w:ind w:left="0"/>
        <w:contextualSpacing w:val="0"/>
        <w:jc w:val="both"/>
        <w:rPr>
          <w:rFonts w:ascii="Times New Roman" w:hAnsi="Times New Roman" w:cs="Times New Roman"/>
          <w:sz w:val="28"/>
          <w:szCs w:val="28"/>
        </w:rPr>
      </w:pPr>
    </w:p>
    <w:p w:rsidR="00660FC9" w:rsidRPr="00EC42C3" w:rsidRDefault="00EC42C3" w:rsidP="007E45CE">
      <w:pPr>
        <w:pStyle w:val="Prrafodelista"/>
        <w:numPr>
          <w:ilvl w:val="0"/>
          <w:numId w:val="1"/>
        </w:numPr>
        <w:tabs>
          <w:tab w:val="left" w:pos="426"/>
        </w:tabs>
        <w:spacing w:before="10"/>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La</w:t>
      </w:r>
      <w:r w:rsidRPr="00EC42C3">
        <w:rPr>
          <w:rFonts w:ascii="Times New Roman" w:hAnsi="Times New Roman" w:cs="Times New Roman"/>
          <w:sz w:val="28"/>
          <w:szCs w:val="28"/>
        </w:rPr>
        <w:t xml:space="preserve"> Sala</w:t>
      </w:r>
      <w:r w:rsidRPr="00EC42C3">
        <w:rPr>
          <w:rFonts w:ascii="Times New Roman" w:hAnsi="Times New Roman" w:cs="Times New Roman"/>
          <w:sz w:val="28"/>
          <w:szCs w:val="28"/>
        </w:rPr>
        <w:t xml:space="preserve"> reconoce que la intervención del Ministerio se orienta a reforzar los mandat</w:t>
      </w:r>
      <w:r w:rsidRPr="00EC42C3">
        <w:rPr>
          <w:rFonts w:ascii="Times New Roman" w:hAnsi="Times New Roman" w:cs="Times New Roman"/>
          <w:sz w:val="28"/>
          <w:szCs w:val="28"/>
        </w:rPr>
        <w:t xml:space="preserve">os de igualdad y protección integral de la familia consagrados en los artículos 5, 13 y 42 de la Constitución. No obstante, </w:t>
      </w:r>
      <w:r w:rsidRPr="00EC42C3">
        <w:rPr>
          <w:rFonts w:ascii="Times New Roman" w:hAnsi="Times New Roman" w:cs="Times New Roman"/>
          <w:sz w:val="28"/>
          <w:szCs w:val="28"/>
        </w:rPr>
        <w:t xml:space="preserve">precisa que la decisión adoptada en esta providencia no comporta una aplicación retrospectiva de la norma, sino que produce efectos </w:t>
      </w:r>
      <w:r w:rsidRPr="00EC42C3">
        <w:rPr>
          <w:rFonts w:ascii="Times New Roman" w:hAnsi="Times New Roman" w:cs="Times New Roman"/>
          <w:sz w:val="28"/>
          <w:szCs w:val="28"/>
        </w:rPr>
        <w:t>hacia el futuro (ex nunc), conforme a la regla general establecida en el artículo 45 de la Ley 270 de 1996 y en la jurisprudencia constitucional.</w:t>
      </w:r>
    </w:p>
    <w:p w:rsidR="00660FC9" w:rsidRPr="00EC42C3" w:rsidRDefault="00EC42C3" w:rsidP="00660FC9">
      <w:pPr>
        <w:pStyle w:val="Prrafodelista"/>
        <w:rPr>
          <w:rFonts w:ascii="Times New Roman" w:hAnsi="Times New Roman" w:cs="Times New Roman"/>
          <w:sz w:val="28"/>
          <w:szCs w:val="28"/>
        </w:rPr>
      </w:pPr>
    </w:p>
    <w:p w:rsidR="00660FC9" w:rsidRPr="00EC42C3" w:rsidRDefault="00EC42C3" w:rsidP="00660FC9">
      <w:pPr>
        <w:pStyle w:val="Prrafodelista"/>
        <w:numPr>
          <w:ilvl w:val="0"/>
          <w:numId w:val="1"/>
        </w:numPr>
        <w:tabs>
          <w:tab w:val="left" w:pos="426"/>
        </w:tabs>
        <w:spacing w:before="10"/>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 xml:space="preserve">En efecto, la Corte ha sostenido de manera reiterada que la modulación de los efectos de sus sentencias, </w:t>
      </w:r>
      <w:r w:rsidRPr="00EC42C3">
        <w:rPr>
          <w:rFonts w:ascii="Times New Roman" w:hAnsi="Times New Roman" w:cs="Times New Roman"/>
          <w:sz w:val="28"/>
          <w:szCs w:val="28"/>
        </w:rPr>
        <w:t>tanto desde el punto de vista del contenido como de su vigencia temporal, es un instrumento para asegurar la integridad del texto constitucional. Por regla general, las decisiones de este Tribunal tienen efectos hacia el futuro, pues ello favorece los prin</w:t>
      </w:r>
      <w:r w:rsidRPr="00EC42C3">
        <w:rPr>
          <w:rFonts w:ascii="Times New Roman" w:hAnsi="Times New Roman" w:cs="Times New Roman"/>
          <w:sz w:val="28"/>
          <w:szCs w:val="28"/>
        </w:rPr>
        <w:t>cipios de seguridad jurídica y buena fe</w:t>
      </w:r>
      <w:r w:rsidRPr="00EC42C3">
        <w:rPr>
          <w:rStyle w:val="Refdenotaalpie"/>
          <w:rFonts w:ascii="Times New Roman" w:hAnsi="Times New Roman" w:cs="Times New Roman"/>
          <w:sz w:val="28"/>
          <w:szCs w:val="28"/>
        </w:rPr>
        <w:footnoteReference w:id="31"/>
      </w:r>
      <w:r w:rsidRPr="00EC42C3">
        <w:rPr>
          <w:rFonts w:ascii="Times New Roman" w:hAnsi="Times New Roman" w:cs="Times New Roman"/>
          <w:sz w:val="28"/>
          <w:szCs w:val="28"/>
        </w:rPr>
        <w:t>.</w:t>
      </w:r>
    </w:p>
    <w:p w:rsidR="00660FC9" w:rsidRPr="00EC42C3" w:rsidRDefault="00EC42C3" w:rsidP="00660FC9">
      <w:pPr>
        <w:pStyle w:val="Prrafodelista"/>
        <w:rPr>
          <w:rFonts w:ascii="Times New Roman" w:hAnsi="Times New Roman" w:cs="Times New Roman"/>
          <w:sz w:val="28"/>
          <w:szCs w:val="28"/>
        </w:rPr>
      </w:pPr>
    </w:p>
    <w:p w:rsidR="008E6F50" w:rsidRPr="00EC42C3" w:rsidRDefault="00EC42C3" w:rsidP="00660FC9">
      <w:pPr>
        <w:pStyle w:val="Prrafodelista"/>
        <w:numPr>
          <w:ilvl w:val="0"/>
          <w:numId w:val="1"/>
        </w:numPr>
        <w:tabs>
          <w:tab w:val="left" w:pos="426"/>
        </w:tabs>
        <w:spacing w:before="10"/>
        <w:ind w:left="0" w:firstLine="0"/>
        <w:contextualSpacing w:val="0"/>
        <w:jc w:val="both"/>
        <w:rPr>
          <w:rFonts w:ascii="Times New Roman" w:hAnsi="Times New Roman" w:cs="Times New Roman"/>
          <w:sz w:val="28"/>
          <w:szCs w:val="28"/>
        </w:rPr>
      </w:pPr>
      <w:r w:rsidRPr="00EC42C3">
        <w:rPr>
          <w:rFonts w:ascii="Times New Roman" w:hAnsi="Times New Roman" w:cs="Times New Roman"/>
          <w:sz w:val="28"/>
          <w:szCs w:val="28"/>
        </w:rPr>
        <w:t xml:space="preserve">Sin embargo, </w:t>
      </w:r>
      <w:r w:rsidRPr="00EC42C3">
        <w:rPr>
          <w:rFonts w:ascii="Times New Roman" w:hAnsi="Times New Roman" w:cs="Times New Roman"/>
          <w:sz w:val="28"/>
          <w:szCs w:val="28"/>
        </w:rPr>
        <w:t xml:space="preserve">la Sala aclara que la presente decisión no altera la regla general de los efectos hacia el futuro (ex nunc). Sin embargo, ello no obsta para que las autoridades judiciales, en los procesos en curso y </w:t>
      </w:r>
      <w:r w:rsidRPr="00EC42C3">
        <w:rPr>
          <w:rFonts w:ascii="Times New Roman" w:hAnsi="Times New Roman" w:cs="Times New Roman"/>
          <w:sz w:val="28"/>
          <w:szCs w:val="28"/>
        </w:rPr>
        <w:t>aún no concluidos, apliquen la interpretación constitucional aquí fijada, cuando resulte necesario para garantizar el principio de igualdad y la protección integral de familia, conforme a las reglas generales del control constitucional.</w:t>
      </w:r>
    </w:p>
    <w:p w:rsidR="003F06E6" w:rsidRPr="00EC42C3" w:rsidRDefault="00EC42C3" w:rsidP="00071542">
      <w:pPr>
        <w:pStyle w:val="Prrafodelista"/>
        <w:tabs>
          <w:tab w:val="left" w:pos="426"/>
        </w:tabs>
        <w:spacing w:before="10"/>
        <w:ind w:left="0"/>
        <w:contextualSpacing w:val="0"/>
        <w:jc w:val="both"/>
        <w:rPr>
          <w:rFonts w:ascii="Times New Roman" w:hAnsi="Times New Roman" w:cs="Times New Roman"/>
          <w:sz w:val="28"/>
          <w:szCs w:val="28"/>
        </w:rPr>
      </w:pPr>
    </w:p>
    <w:p w:rsidR="008E6F50" w:rsidRPr="00EC42C3" w:rsidRDefault="00EC42C3" w:rsidP="00071542">
      <w:pPr>
        <w:pStyle w:val="Prrafodelista"/>
        <w:tabs>
          <w:tab w:val="left" w:pos="426"/>
        </w:tabs>
        <w:spacing w:before="10"/>
        <w:ind w:left="0"/>
        <w:contextualSpacing w:val="0"/>
        <w:jc w:val="both"/>
        <w:rPr>
          <w:rFonts w:ascii="Times New Roman" w:hAnsi="Times New Roman" w:cs="Times New Roman"/>
          <w:sz w:val="28"/>
          <w:szCs w:val="28"/>
        </w:rPr>
      </w:pPr>
    </w:p>
    <w:p w:rsidR="008E6F50" w:rsidRPr="00EC42C3" w:rsidRDefault="00EC42C3" w:rsidP="00071542">
      <w:pPr>
        <w:pStyle w:val="Prrafodelista"/>
        <w:tabs>
          <w:tab w:val="left" w:pos="426"/>
        </w:tabs>
        <w:spacing w:before="10"/>
        <w:ind w:left="0"/>
        <w:contextualSpacing w:val="0"/>
        <w:jc w:val="both"/>
        <w:rPr>
          <w:rFonts w:ascii="Times New Roman" w:hAnsi="Times New Roman" w:cs="Times New Roman"/>
          <w:sz w:val="28"/>
          <w:szCs w:val="28"/>
        </w:rPr>
      </w:pPr>
    </w:p>
    <w:p w:rsidR="007111D9" w:rsidRPr="00EC42C3" w:rsidRDefault="00EC42C3" w:rsidP="007111D9">
      <w:pPr>
        <w:pStyle w:val="Textoindependiente"/>
        <w:spacing w:before="10"/>
        <w:rPr>
          <w:rFonts w:ascii="Times New Roman" w:hAnsi="Times New Roman" w:cs="Times New Roman"/>
          <w:b/>
          <w:bCs/>
        </w:rPr>
      </w:pPr>
      <w:r w:rsidRPr="00EC42C3">
        <w:rPr>
          <w:rFonts w:ascii="Times New Roman" w:hAnsi="Times New Roman" w:cs="Times New Roman"/>
          <w:b/>
          <w:bCs/>
        </w:rPr>
        <w:t xml:space="preserve">III. </w:t>
      </w:r>
      <w:r w:rsidRPr="00EC42C3">
        <w:rPr>
          <w:rFonts w:ascii="Times New Roman" w:hAnsi="Times New Roman" w:cs="Times New Roman"/>
          <w:b/>
          <w:bCs/>
        </w:rPr>
        <w:tab/>
      </w:r>
      <w:r w:rsidRPr="00EC42C3">
        <w:rPr>
          <w:rFonts w:ascii="Times New Roman" w:hAnsi="Times New Roman" w:cs="Times New Roman"/>
          <w:b/>
          <w:bCs/>
        </w:rPr>
        <w:t>DECISIÓN</w:t>
      </w:r>
    </w:p>
    <w:p w:rsidR="005B22B4" w:rsidRPr="00EC42C3" w:rsidRDefault="00EC42C3" w:rsidP="007111D9">
      <w:pPr>
        <w:pStyle w:val="Textoindependiente"/>
        <w:spacing w:before="10"/>
        <w:rPr>
          <w:rFonts w:ascii="Times New Roman" w:hAnsi="Times New Roman" w:cs="Times New Roman"/>
          <w:b/>
          <w:bCs/>
        </w:rPr>
      </w:pPr>
    </w:p>
    <w:p w:rsidR="005B22B4" w:rsidRPr="00EC42C3" w:rsidRDefault="00EC42C3" w:rsidP="003A366B">
      <w:pPr>
        <w:pStyle w:val="Textoindependiente"/>
        <w:spacing w:before="10"/>
        <w:jc w:val="both"/>
        <w:rPr>
          <w:rFonts w:ascii="Times New Roman" w:hAnsi="Times New Roman" w:cs="Times New Roman"/>
          <w:b/>
          <w:bCs/>
        </w:rPr>
      </w:pPr>
      <w:r w:rsidRPr="00EC42C3">
        <w:rPr>
          <w:rFonts w:ascii="Times New Roman" w:hAnsi="Times New Roman" w:cs="Times New Roman"/>
          <w:shd w:val="clear" w:color="auto" w:fill="FFFFFF"/>
        </w:rPr>
        <w:t>En mérito de lo expuesto, l</w:t>
      </w:r>
      <w:r w:rsidRPr="00EC42C3">
        <w:rPr>
          <w:rFonts w:ascii="Times New Roman" w:hAnsi="Times New Roman" w:cs="Times New Roman"/>
          <w:shd w:val="clear" w:color="auto" w:fill="FFFFFF"/>
        </w:rPr>
        <w:t xml:space="preserve">a Corte Constitucional de </w:t>
      </w:r>
      <w:r w:rsidRPr="00EC42C3">
        <w:rPr>
          <w:rFonts w:ascii="Times New Roman" w:hAnsi="Times New Roman" w:cs="Times New Roman"/>
          <w:shd w:val="clear" w:color="auto" w:fill="FFFFFF"/>
        </w:rPr>
        <w:t xml:space="preserve">la República de </w:t>
      </w:r>
      <w:r w:rsidRPr="00EC42C3">
        <w:rPr>
          <w:rFonts w:ascii="Times New Roman" w:hAnsi="Times New Roman" w:cs="Times New Roman"/>
          <w:shd w:val="clear" w:color="auto" w:fill="FFFFFF"/>
        </w:rPr>
        <w:t>Colombia, administrando justicia en nombre del pueblo y por mandato de la Constitución,</w:t>
      </w:r>
    </w:p>
    <w:p w:rsidR="00071542" w:rsidRPr="00EC42C3" w:rsidRDefault="00EC42C3" w:rsidP="00F12961">
      <w:pPr>
        <w:pStyle w:val="Textoindependiente"/>
        <w:spacing w:before="4"/>
        <w:rPr>
          <w:rFonts w:ascii="Times New Roman" w:hAnsi="Times New Roman" w:cs="Times New Roman"/>
          <w:b/>
        </w:rPr>
      </w:pPr>
    </w:p>
    <w:p w:rsidR="004D16D5" w:rsidRPr="00EC42C3" w:rsidRDefault="00EC42C3" w:rsidP="00660FC9">
      <w:pPr>
        <w:pStyle w:val="Textoindependiente"/>
        <w:spacing w:before="4"/>
        <w:rPr>
          <w:rFonts w:ascii="Times New Roman" w:hAnsi="Times New Roman" w:cs="Times New Roman"/>
          <w:b/>
        </w:rPr>
      </w:pPr>
    </w:p>
    <w:p w:rsidR="0028399D" w:rsidRPr="00EC42C3" w:rsidRDefault="00EC42C3" w:rsidP="00660FC9">
      <w:pPr>
        <w:pStyle w:val="Textoindependiente"/>
        <w:spacing w:before="4"/>
        <w:rPr>
          <w:rFonts w:ascii="Times New Roman" w:hAnsi="Times New Roman" w:cs="Times New Roman"/>
          <w:b/>
        </w:rPr>
      </w:pPr>
    </w:p>
    <w:p w:rsidR="0040725E" w:rsidRPr="00EC42C3" w:rsidRDefault="00EC42C3" w:rsidP="0040725E">
      <w:pPr>
        <w:autoSpaceDE w:val="0"/>
        <w:autoSpaceDN w:val="0"/>
        <w:adjustRightInd w:val="0"/>
        <w:rPr>
          <w:rFonts w:ascii="Times New Roman" w:hAnsi="Times New Roman" w:cs="Times New Roman"/>
          <w:b/>
          <w:sz w:val="28"/>
          <w:szCs w:val="28"/>
          <w:lang w:val="es-ES"/>
        </w:rPr>
      </w:pPr>
    </w:p>
    <w:p w:rsidR="00AF0F2A" w:rsidRPr="00EC42C3" w:rsidRDefault="00EC42C3" w:rsidP="0040725E">
      <w:pPr>
        <w:autoSpaceDE w:val="0"/>
        <w:autoSpaceDN w:val="0"/>
        <w:adjustRightInd w:val="0"/>
        <w:jc w:val="center"/>
        <w:rPr>
          <w:rFonts w:ascii="Times New Roman" w:hAnsi="Times New Roman" w:cs="Times New Roman"/>
          <w:b/>
          <w:sz w:val="28"/>
          <w:szCs w:val="28"/>
          <w:lang w:val="es-ES"/>
        </w:rPr>
      </w:pPr>
      <w:r w:rsidRPr="00EC42C3">
        <w:rPr>
          <w:rFonts w:ascii="Times New Roman" w:hAnsi="Times New Roman" w:cs="Times New Roman"/>
          <w:b/>
          <w:sz w:val="28"/>
          <w:szCs w:val="28"/>
          <w:lang w:val="es-ES"/>
        </w:rPr>
        <w:t>RESUELVE:</w:t>
      </w:r>
    </w:p>
    <w:p w:rsidR="00AF0F2A" w:rsidRPr="00EC42C3" w:rsidRDefault="00EC42C3" w:rsidP="0040725E">
      <w:pPr>
        <w:autoSpaceDE w:val="0"/>
        <w:autoSpaceDN w:val="0"/>
        <w:adjustRightInd w:val="0"/>
        <w:jc w:val="both"/>
        <w:rPr>
          <w:rFonts w:ascii="Times New Roman" w:hAnsi="Times New Roman" w:cs="Times New Roman"/>
          <w:sz w:val="28"/>
          <w:szCs w:val="28"/>
          <w:lang w:val="es-ES"/>
        </w:rPr>
      </w:pPr>
    </w:p>
    <w:p w:rsidR="00AF0F2A" w:rsidRPr="00EC42C3" w:rsidRDefault="00EC42C3" w:rsidP="0040725E">
      <w:pPr>
        <w:autoSpaceDE w:val="0"/>
        <w:autoSpaceDN w:val="0"/>
        <w:adjustRightInd w:val="0"/>
        <w:jc w:val="both"/>
        <w:rPr>
          <w:rFonts w:ascii="Times New Roman" w:hAnsi="Times New Roman" w:cs="Times New Roman"/>
          <w:sz w:val="28"/>
          <w:szCs w:val="28"/>
          <w:lang w:val="es-ES"/>
        </w:rPr>
      </w:pPr>
    </w:p>
    <w:p w:rsidR="00AF0F2A" w:rsidRPr="00EC42C3" w:rsidRDefault="00EC42C3" w:rsidP="0040725E">
      <w:pPr>
        <w:autoSpaceDE w:val="0"/>
        <w:autoSpaceDN w:val="0"/>
        <w:adjustRightInd w:val="0"/>
        <w:jc w:val="both"/>
        <w:rPr>
          <w:rFonts w:ascii="Times New Roman" w:hAnsi="Times New Roman" w:cs="Times New Roman"/>
          <w:sz w:val="28"/>
          <w:szCs w:val="28"/>
          <w:lang w:val="es"/>
        </w:rPr>
      </w:pPr>
      <w:r w:rsidRPr="00EC42C3">
        <w:rPr>
          <w:rFonts w:ascii="Times New Roman" w:hAnsi="Times New Roman" w:cs="Times New Roman"/>
          <w:b/>
          <w:bCs/>
          <w:sz w:val="28"/>
          <w:szCs w:val="28"/>
          <w:lang w:val="es-ES_tradnl"/>
        </w:rPr>
        <w:t xml:space="preserve">ÚNICO. </w:t>
      </w:r>
      <w:r w:rsidRPr="00EC42C3">
        <w:rPr>
          <w:rFonts w:ascii="Times New Roman" w:hAnsi="Times New Roman" w:cs="Times New Roman"/>
          <w:b/>
          <w:bCs/>
          <w:sz w:val="28"/>
          <w:szCs w:val="28"/>
        </w:rPr>
        <w:t>Declarar EXEQUIBLE</w:t>
      </w:r>
      <w:r w:rsidRPr="00EC42C3">
        <w:rPr>
          <w:rFonts w:ascii="Times New Roman" w:hAnsi="Times New Roman" w:cs="Times New Roman"/>
          <w:sz w:val="28"/>
          <w:szCs w:val="28"/>
        </w:rPr>
        <w:t xml:space="preserve">, por los cargos examinados, la norma enunciada en la </w:t>
      </w:r>
      <w:r w:rsidRPr="00EC42C3">
        <w:rPr>
          <w:rFonts w:ascii="Times New Roman" w:hAnsi="Times New Roman" w:cs="Times New Roman"/>
          <w:sz w:val="28"/>
          <w:szCs w:val="28"/>
        </w:rPr>
        <w:t xml:space="preserve">expresión: “o de su cónyuge, por matrimonio contraído en la misma época.”, contenida en el artículo 108 del Código Civil, en el entendido de que </w:t>
      </w:r>
      <w:r w:rsidRPr="00EC42C3">
        <w:rPr>
          <w:rFonts w:ascii="Times New Roman" w:hAnsi="Times New Roman" w:cs="Times New Roman"/>
          <w:i/>
          <w:iCs/>
          <w:sz w:val="28"/>
          <w:szCs w:val="28"/>
        </w:rPr>
        <w:t xml:space="preserve">(i) </w:t>
      </w:r>
      <w:r w:rsidRPr="00EC42C3">
        <w:rPr>
          <w:rFonts w:ascii="Times New Roman" w:hAnsi="Times New Roman" w:cs="Times New Roman"/>
          <w:sz w:val="28"/>
          <w:szCs w:val="28"/>
        </w:rPr>
        <w:t>ella comprende, en igualdad de derechos y deberes, tanto a los cónyuges como a los compañeros perma</w:t>
      </w:r>
      <w:r w:rsidRPr="00EC42C3">
        <w:rPr>
          <w:rFonts w:ascii="Times New Roman" w:hAnsi="Times New Roman" w:cs="Times New Roman"/>
          <w:sz w:val="28"/>
          <w:szCs w:val="28"/>
        </w:rPr>
        <w:t xml:space="preserve">nentes en unión marital de hecho, de parejas de distinto sexo o de parejas del mismo sexo, y de que </w:t>
      </w:r>
      <w:r w:rsidRPr="00EC42C3">
        <w:rPr>
          <w:rFonts w:ascii="Times New Roman" w:hAnsi="Times New Roman" w:cs="Times New Roman"/>
          <w:i/>
          <w:iCs/>
          <w:sz w:val="28"/>
          <w:szCs w:val="28"/>
        </w:rPr>
        <w:t xml:space="preserve">(ii) </w:t>
      </w:r>
      <w:r w:rsidRPr="00EC42C3">
        <w:rPr>
          <w:rFonts w:ascii="Times New Roman" w:hAnsi="Times New Roman" w:cs="Times New Roman"/>
          <w:sz w:val="28"/>
          <w:szCs w:val="28"/>
        </w:rPr>
        <w:t>en el caso de los compañeros permanentes la unión marital de hecho debe haberse conformado en la misma época, tal y como se exige en el caso del ma</w:t>
      </w:r>
      <w:r w:rsidRPr="00EC42C3">
        <w:rPr>
          <w:rFonts w:ascii="Times New Roman" w:hAnsi="Times New Roman" w:cs="Times New Roman"/>
          <w:sz w:val="28"/>
          <w:szCs w:val="28"/>
        </w:rPr>
        <w:t>trimonio.</w:t>
      </w:r>
    </w:p>
    <w:p w:rsidR="00AF0F2A" w:rsidRPr="00EC42C3" w:rsidRDefault="00EC42C3" w:rsidP="0040725E">
      <w:pPr>
        <w:autoSpaceDE w:val="0"/>
        <w:autoSpaceDN w:val="0"/>
        <w:adjustRightInd w:val="0"/>
        <w:jc w:val="both"/>
        <w:rPr>
          <w:rFonts w:ascii="Times New Roman" w:hAnsi="Times New Roman" w:cs="Times New Roman"/>
          <w:sz w:val="28"/>
          <w:szCs w:val="28"/>
        </w:rPr>
      </w:pPr>
    </w:p>
    <w:p w:rsidR="00AF0F2A" w:rsidRPr="00EC42C3" w:rsidRDefault="00EC42C3" w:rsidP="0040725E">
      <w:pPr>
        <w:autoSpaceDE w:val="0"/>
        <w:autoSpaceDN w:val="0"/>
        <w:adjustRightInd w:val="0"/>
        <w:jc w:val="both"/>
        <w:rPr>
          <w:rFonts w:ascii="Times New Roman" w:hAnsi="Times New Roman" w:cs="Times New Roman"/>
          <w:sz w:val="28"/>
          <w:szCs w:val="28"/>
          <w:lang w:val="es-MX"/>
        </w:rPr>
      </w:pPr>
      <w:r w:rsidRPr="00EC42C3">
        <w:rPr>
          <w:rFonts w:ascii="Times New Roman" w:hAnsi="Times New Roman" w:cs="Times New Roman"/>
          <w:sz w:val="28"/>
          <w:szCs w:val="28"/>
          <w:lang w:val="es-MX"/>
        </w:rPr>
        <w:t>Notifíquese, comuníquese y cúmplase,</w:t>
      </w:r>
    </w:p>
    <w:p w:rsidR="007111D9" w:rsidRPr="00EC42C3" w:rsidRDefault="00EC42C3" w:rsidP="0040725E">
      <w:pPr>
        <w:autoSpaceDE w:val="0"/>
        <w:autoSpaceDN w:val="0"/>
        <w:adjustRightInd w:val="0"/>
        <w:jc w:val="both"/>
        <w:rPr>
          <w:rFonts w:ascii="Times New Roman" w:hAnsi="Times New Roman" w:cs="Times New Roman"/>
          <w:sz w:val="28"/>
          <w:szCs w:val="28"/>
          <w:lang w:val="es-MX"/>
        </w:rPr>
      </w:pPr>
    </w:p>
    <w:p w:rsidR="007111D9" w:rsidRPr="00EC42C3" w:rsidRDefault="00EC42C3" w:rsidP="0040725E">
      <w:pPr>
        <w:pStyle w:val="Textoindependiente"/>
        <w:ind w:right="2565"/>
        <w:jc w:val="both"/>
        <w:rPr>
          <w:rFonts w:ascii="Times New Roman" w:eastAsiaTheme="minorHAnsi" w:hAnsi="Times New Roman" w:cs="Times New Roman"/>
          <w:lang w:val="es-MX"/>
        </w:rPr>
      </w:pPr>
    </w:p>
    <w:p w:rsidR="00481F8E" w:rsidRPr="00EC42C3" w:rsidRDefault="00EC42C3" w:rsidP="0040725E">
      <w:pPr>
        <w:pStyle w:val="Textoindependiente"/>
        <w:ind w:right="2565"/>
        <w:jc w:val="both"/>
        <w:rPr>
          <w:rFonts w:ascii="Times New Roman" w:eastAsiaTheme="minorHAnsi" w:hAnsi="Times New Roman" w:cs="Times New Roman"/>
          <w:lang w:val="es-MX"/>
        </w:rPr>
      </w:pP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JORGE ENRIQUE IBÁÑEZ NAJAR</w:t>
      </w: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Presidente</w:t>
      </w:r>
    </w:p>
    <w:p w:rsidR="00481F8E" w:rsidRPr="00EC42C3" w:rsidRDefault="00EC42C3" w:rsidP="00187402">
      <w:pPr>
        <w:jc w:val="center"/>
        <w:rPr>
          <w:rFonts w:ascii="Times New Roman" w:hAnsi="Times New Roman" w:cs="Times New Roman"/>
          <w:sz w:val="28"/>
        </w:rPr>
      </w:pPr>
    </w:p>
    <w:p w:rsidR="00481F8E" w:rsidRPr="00EC42C3" w:rsidRDefault="00EC42C3" w:rsidP="00187402">
      <w:pPr>
        <w:jc w:val="center"/>
        <w:rPr>
          <w:rFonts w:ascii="Times New Roman" w:hAnsi="Times New Roman" w:cs="Times New Roman"/>
          <w:sz w:val="28"/>
        </w:rPr>
      </w:pPr>
    </w:p>
    <w:p w:rsidR="00481F8E" w:rsidRPr="00EC42C3" w:rsidRDefault="00EC42C3" w:rsidP="00187402">
      <w:pPr>
        <w:jc w:val="center"/>
        <w:rPr>
          <w:rFonts w:ascii="Times New Roman" w:hAnsi="Times New Roman" w:cs="Times New Roman"/>
          <w:sz w:val="28"/>
        </w:rPr>
      </w:pP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NATALIA ÁNGEL CABO</w:t>
      </w: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Magistrada</w:t>
      </w:r>
    </w:p>
    <w:p w:rsidR="00481F8E" w:rsidRPr="00EC42C3" w:rsidRDefault="00EC42C3" w:rsidP="00187402">
      <w:pPr>
        <w:jc w:val="center"/>
        <w:rPr>
          <w:rFonts w:ascii="Times New Roman" w:hAnsi="Times New Roman" w:cs="Times New Roman"/>
          <w:sz w:val="28"/>
        </w:rPr>
      </w:pPr>
    </w:p>
    <w:p w:rsidR="00481F8E" w:rsidRPr="00EC42C3" w:rsidRDefault="00EC42C3" w:rsidP="00187402">
      <w:pPr>
        <w:jc w:val="center"/>
        <w:rPr>
          <w:rFonts w:ascii="Times New Roman" w:hAnsi="Times New Roman" w:cs="Times New Roman"/>
          <w:sz w:val="28"/>
        </w:rPr>
      </w:pPr>
    </w:p>
    <w:p w:rsidR="00481F8E" w:rsidRPr="00EC42C3" w:rsidRDefault="00EC42C3" w:rsidP="00187402">
      <w:pPr>
        <w:jc w:val="center"/>
        <w:rPr>
          <w:rFonts w:ascii="Times New Roman" w:hAnsi="Times New Roman" w:cs="Times New Roman"/>
          <w:sz w:val="28"/>
        </w:rPr>
      </w:pP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CARLOS CAMARGO ASSIS</w:t>
      </w: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Magistrado</w:t>
      </w:r>
    </w:p>
    <w:p w:rsidR="00481F8E" w:rsidRPr="00EC42C3" w:rsidRDefault="00EC42C3" w:rsidP="00187402">
      <w:pPr>
        <w:jc w:val="center"/>
        <w:rPr>
          <w:rFonts w:ascii="Times New Roman" w:hAnsi="Times New Roman" w:cs="Times New Roman"/>
          <w:sz w:val="28"/>
        </w:rPr>
      </w:pPr>
    </w:p>
    <w:p w:rsidR="00481F8E" w:rsidRPr="00EC42C3" w:rsidRDefault="00EC42C3" w:rsidP="00187402">
      <w:pPr>
        <w:jc w:val="center"/>
        <w:rPr>
          <w:rFonts w:ascii="Times New Roman" w:hAnsi="Times New Roman" w:cs="Times New Roman"/>
          <w:sz w:val="28"/>
        </w:rPr>
      </w:pPr>
    </w:p>
    <w:p w:rsidR="00481F8E" w:rsidRPr="00EC42C3" w:rsidRDefault="00EC42C3" w:rsidP="00187402">
      <w:pPr>
        <w:jc w:val="center"/>
        <w:rPr>
          <w:rFonts w:ascii="Times New Roman" w:hAnsi="Times New Roman" w:cs="Times New Roman"/>
          <w:sz w:val="28"/>
        </w:rPr>
      </w:pP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HECTOR ALFONSO CARVAJAL LONDOÑO</w:t>
      </w: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Magistrado</w:t>
      </w:r>
    </w:p>
    <w:p w:rsidR="00481F8E" w:rsidRPr="00EC42C3" w:rsidRDefault="00EC42C3" w:rsidP="00187402">
      <w:pPr>
        <w:jc w:val="center"/>
        <w:rPr>
          <w:rFonts w:ascii="Times New Roman" w:hAnsi="Times New Roman" w:cs="Times New Roman"/>
          <w:sz w:val="28"/>
        </w:rPr>
      </w:pPr>
    </w:p>
    <w:p w:rsidR="00481F8E" w:rsidRPr="00EC42C3" w:rsidRDefault="00EC42C3" w:rsidP="00187402">
      <w:pPr>
        <w:jc w:val="center"/>
        <w:rPr>
          <w:rFonts w:ascii="Times New Roman" w:hAnsi="Times New Roman" w:cs="Times New Roman"/>
          <w:sz w:val="28"/>
        </w:rPr>
      </w:pPr>
    </w:p>
    <w:p w:rsidR="00481F8E" w:rsidRPr="00EC42C3" w:rsidRDefault="00EC42C3" w:rsidP="00187402">
      <w:pPr>
        <w:jc w:val="center"/>
        <w:rPr>
          <w:rFonts w:ascii="Times New Roman" w:hAnsi="Times New Roman" w:cs="Times New Roman"/>
          <w:sz w:val="28"/>
        </w:rPr>
      </w:pP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JUAN CARLOS CORTÉS GONZÁLEZ</w:t>
      </w: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Magistrado</w:t>
      </w:r>
    </w:p>
    <w:p w:rsidR="00481F8E" w:rsidRPr="00EC42C3" w:rsidRDefault="00EC42C3" w:rsidP="00187402">
      <w:pPr>
        <w:jc w:val="center"/>
        <w:rPr>
          <w:rFonts w:ascii="Times New Roman" w:hAnsi="Times New Roman" w:cs="Times New Roman"/>
          <w:sz w:val="28"/>
        </w:rPr>
      </w:pPr>
    </w:p>
    <w:p w:rsidR="00481F8E" w:rsidRPr="00EC42C3" w:rsidRDefault="00EC42C3" w:rsidP="00187402">
      <w:pPr>
        <w:jc w:val="center"/>
        <w:rPr>
          <w:rFonts w:ascii="Times New Roman" w:hAnsi="Times New Roman" w:cs="Times New Roman"/>
          <w:sz w:val="28"/>
        </w:rPr>
      </w:pPr>
    </w:p>
    <w:p w:rsidR="00481F8E" w:rsidRPr="00EC42C3" w:rsidRDefault="00EC42C3" w:rsidP="00187402">
      <w:pPr>
        <w:jc w:val="center"/>
        <w:rPr>
          <w:rFonts w:ascii="Times New Roman" w:hAnsi="Times New Roman" w:cs="Times New Roman"/>
          <w:sz w:val="28"/>
        </w:rPr>
      </w:pP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 xml:space="preserve">LINA </w:t>
      </w:r>
      <w:r w:rsidRPr="00EC42C3">
        <w:rPr>
          <w:rFonts w:ascii="Times New Roman" w:hAnsi="Times New Roman" w:cs="Times New Roman"/>
          <w:sz w:val="28"/>
        </w:rPr>
        <w:t>MARCELA ESCOBAR MARTÍNEZ</w:t>
      </w: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Magistrada</w:t>
      </w:r>
    </w:p>
    <w:p w:rsidR="00481F8E" w:rsidRPr="00EC42C3" w:rsidRDefault="00EC42C3" w:rsidP="00187402">
      <w:pPr>
        <w:jc w:val="center"/>
        <w:rPr>
          <w:rFonts w:ascii="Times New Roman" w:hAnsi="Times New Roman" w:cs="Times New Roman"/>
          <w:sz w:val="28"/>
        </w:rPr>
      </w:pPr>
    </w:p>
    <w:p w:rsidR="00481F8E" w:rsidRPr="00EC42C3" w:rsidRDefault="00EC42C3" w:rsidP="00187402">
      <w:pPr>
        <w:jc w:val="center"/>
        <w:rPr>
          <w:rFonts w:ascii="Times New Roman" w:hAnsi="Times New Roman" w:cs="Times New Roman"/>
          <w:sz w:val="28"/>
        </w:rPr>
      </w:pPr>
    </w:p>
    <w:p w:rsidR="00481F8E" w:rsidRPr="00EC42C3" w:rsidRDefault="00EC42C3" w:rsidP="00187402">
      <w:pPr>
        <w:jc w:val="center"/>
        <w:rPr>
          <w:rFonts w:ascii="Times New Roman" w:hAnsi="Times New Roman" w:cs="Times New Roman"/>
          <w:sz w:val="28"/>
        </w:rPr>
      </w:pP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VLADIMIR FERNÁNDEZ ANDRADE</w:t>
      </w: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Magistrado</w:t>
      </w:r>
    </w:p>
    <w:p w:rsidR="00481F8E" w:rsidRPr="00EC42C3" w:rsidRDefault="00EC42C3" w:rsidP="00187402">
      <w:pPr>
        <w:jc w:val="center"/>
        <w:rPr>
          <w:rFonts w:ascii="Times New Roman" w:hAnsi="Times New Roman" w:cs="Times New Roman"/>
          <w:sz w:val="28"/>
        </w:rPr>
      </w:pPr>
    </w:p>
    <w:p w:rsidR="00481F8E" w:rsidRPr="00EC42C3" w:rsidRDefault="00EC42C3" w:rsidP="00187402">
      <w:pPr>
        <w:jc w:val="center"/>
        <w:rPr>
          <w:rFonts w:ascii="Times New Roman" w:hAnsi="Times New Roman" w:cs="Times New Roman"/>
          <w:sz w:val="28"/>
        </w:rPr>
      </w:pPr>
    </w:p>
    <w:p w:rsidR="00481F8E" w:rsidRPr="00EC42C3" w:rsidRDefault="00EC42C3" w:rsidP="00187402">
      <w:pPr>
        <w:jc w:val="center"/>
        <w:rPr>
          <w:rFonts w:ascii="Times New Roman" w:hAnsi="Times New Roman" w:cs="Times New Roman"/>
          <w:sz w:val="28"/>
        </w:rPr>
      </w:pP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PAOLA ANDREA MENESES MOSQUERA</w:t>
      </w: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Magistrada</w:t>
      </w:r>
    </w:p>
    <w:p w:rsidR="00481F8E" w:rsidRPr="00EC42C3" w:rsidRDefault="00EC42C3" w:rsidP="00187402">
      <w:pPr>
        <w:jc w:val="center"/>
        <w:rPr>
          <w:rFonts w:ascii="Times New Roman" w:hAnsi="Times New Roman" w:cs="Times New Roman"/>
          <w:sz w:val="28"/>
        </w:rPr>
      </w:pPr>
    </w:p>
    <w:p w:rsidR="00481F8E" w:rsidRPr="00EC42C3" w:rsidRDefault="00EC42C3" w:rsidP="00187402">
      <w:pPr>
        <w:jc w:val="center"/>
        <w:rPr>
          <w:rFonts w:ascii="Times New Roman" w:hAnsi="Times New Roman" w:cs="Times New Roman"/>
          <w:sz w:val="28"/>
        </w:rPr>
      </w:pPr>
    </w:p>
    <w:p w:rsidR="00481F8E" w:rsidRPr="00EC42C3" w:rsidRDefault="00EC42C3" w:rsidP="00187402">
      <w:pPr>
        <w:jc w:val="center"/>
        <w:rPr>
          <w:rFonts w:ascii="Times New Roman" w:hAnsi="Times New Roman" w:cs="Times New Roman"/>
          <w:sz w:val="28"/>
        </w:rPr>
      </w:pP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MIGUEL POLO ROSERO</w:t>
      </w: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Magistrado</w:t>
      </w: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Ausente con comisión</w:t>
      </w:r>
    </w:p>
    <w:p w:rsidR="00481F8E" w:rsidRPr="00EC42C3" w:rsidRDefault="00EC42C3" w:rsidP="00187402">
      <w:pPr>
        <w:jc w:val="center"/>
        <w:rPr>
          <w:rFonts w:ascii="Times New Roman" w:hAnsi="Times New Roman" w:cs="Times New Roman"/>
          <w:sz w:val="28"/>
        </w:rPr>
      </w:pPr>
    </w:p>
    <w:p w:rsidR="00481F8E" w:rsidRPr="00EC42C3" w:rsidRDefault="00EC42C3" w:rsidP="00187402">
      <w:pPr>
        <w:jc w:val="center"/>
        <w:rPr>
          <w:rFonts w:ascii="Times New Roman" w:hAnsi="Times New Roman" w:cs="Times New Roman"/>
          <w:sz w:val="28"/>
        </w:rPr>
      </w:pPr>
    </w:p>
    <w:p w:rsidR="00481F8E" w:rsidRPr="00EC42C3" w:rsidRDefault="00EC42C3" w:rsidP="00187402">
      <w:pPr>
        <w:jc w:val="center"/>
        <w:rPr>
          <w:rFonts w:ascii="Times New Roman" w:hAnsi="Times New Roman" w:cs="Times New Roman"/>
          <w:sz w:val="28"/>
        </w:rPr>
      </w:pP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ANDREA LILIANA ROMERO LOPEZ</w:t>
      </w:r>
    </w:p>
    <w:p w:rsidR="00187402" w:rsidRPr="00EC42C3" w:rsidRDefault="00EC42C3" w:rsidP="00187402">
      <w:pPr>
        <w:jc w:val="center"/>
        <w:rPr>
          <w:rFonts w:ascii="Times New Roman" w:hAnsi="Times New Roman" w:cs="Times New Roman"/>
          <w:sz w:val="28"/>
        </w:rPr>
      </w:pPr>
      <w:r w:rsidRPr="00EC42C3">
        <w:rPr>
          <w:rFonts w:ascii="Times New Roman" w:hAnsi="Times New Roman" w:cs="Times New Roman"/>
          <w:sz w:val="28"/>
        </w:rPr>
        <w:t>Secretaria General</w:t>
      </w:r>
    </w:p>
    <w:sectPr w:rsidR="00187402" w:rsidRPr="00EC42C3">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EC42C3">
      <w:pPr>
        <w:spacing w:after="0" w:line="240" w:lineRule="auto"/>
      </w:pPr>
      <w:r>
        <w:separator/>
      </w:r>
    </w:p>
  </w:endnote>
  <w:endnote w:type="continuationSeparator" w:id="0">
    <w:p w:rsidR="00000000" w:rsidRDefault="00EC4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EC42C3">
      <w:pPr>
        <w:spacing w:after="0" w:line="240" w:lineRule="auto"/>
      </w:pPr>
      <w:r>
        <w:separator/>
      </w:r>
    </w:p>
  </w:footnote>
  <w:footnote w:type="continuationSeparator" w:id="0">
    <w:p w:rsidR="00000000" w:rsidRDefault="00EC42C3">
      <w:pPr>
        <w:spacing w:after="0" w:line="240" w:lineRule="auto"/>
      </w:pPr>
      <w:r>
        <w:continuationSeparator/>
      </w:r>
    </w:p>
  </w:footnote>
  <w:footnote w:id="1">
    <w:p w:rsidR="00FD1C18" w:rsidRPr="00661EA0" w:rsidRDefault="00EC42C3" w:rsidP="00FD1C18">
      <w:pPr>
        <w:pStyle w:val="Textonotapie"/>
        <w:jc w:val="both"/>
        <w:rPr>
          <w:lang w:val="es-ES_tradnl"/>
        </w:rPr>
      </w:pPr>
      <w:r w:rsidRPr="00661EA0">
        <w:rPr>
          <w:rStyle w:val="Refdenotaalpie"/>
          <w:rFonts w:eastAsiaTheme="majorEastAsia"/>
        </w:rPr>
        <w:footnoteRef/>
      </w:r>
      <w:r w:rsidRPr="00661EA0">
        <w:t xml:space="preserve"> </w:t>
      </w:r>
      <w:r w:rsidRPr="00661EA0">
        <w:rPr>
          <w:lang w:val="es-ES_tradnl"/>
        </w:rPr>
        <w:t xml:space="preserve">Esta demanda, según lo consignado en el oficio remisorio de la secretaría general de esta Corporación, fue repartida por la Sala Plena de la Corte en sesión del 23 de abril de 2025 y enviada al despacho del magistrado sustanciador el 25 de abril de 2025. </w:t>
      </w:r>
    </w:p>
  </w:footnote>
  <w:footnote w:id="2">
    <w:p w:rsidR="00FD1C18" w:rsidRPr="00661EA0" w:rsidRDefault="00EC42C3" w:rsidP="00FD1C18">
      <w:pPr>
        <w:spacing w:line="275" w:lineRule="exact"/>
        <w:ind w:right="1946"/>
        <w:jc w:val="both"/>
      </w:pPr>
      <w:r w:rsidRPr="00661EA0">
        <w:rPr>
          <w:rStyle w:val="Refdenotaalpie"/>
          <w:rFonts w:eastAsiaTheme="majorEastAsia"/>
          <w:sz w:val="20"/>
          <w:szCs w:val="20"/>
        </w:rPr>
        <w:footnoteRef/>
      </w:r>
      <w:r w:rsidRPr="00661EA0">
        <w:rPr>
          <w:sz w:val="20"/>
          <w:szCs w:val="20"/>
        </w:rPr>
        <w:t xml:space="preserve"> Diario Oficial No. 2.867 de 31 de mayo de 1873.</w:t>
      </w:r>
    </w:p>
  </w:footnote>
  <w:footnote w:id="3">
    <w:p w:rsidR="007A50D3" w:rsidRPr="00661EA0" w:rsidRDefault="00EC42C3" w:rsidP="00C14E43">
      <w:pPr>
        <w:pStyle w:val="Textonotapie"/>
        <w:jc w:val="both"/>
      </w:pPr>
      <w:r w:rsidRPr="00661EA0">
        <w:rPr>
          <w:rStyle w:val="Refdenotaalpie"/>
        </w:rPr>
        <w:footnoteRef/>
      </w:r>
      <w:r w:rsidRPr="00661EA0">
        <w:t xml:space="preserve"> </w:t>
      </w:r>
      <w:r w:rsidRPr="00661EA0">
        <w:rPr>
          <w:shd w:val="clear" w:color="auto" w:fill="FFFFFF"/>
        </w:rPr>
        <w:t>Corte Constitucional, Sentencias C-623 de 2008, C-894 de 2009, C-055 de 2013, C-281 de 2013, y C-269 de 2022.</w:t>
      </w:r>
    </w:p>
  </w:footnote>
  <w:footnote w:id="4">
    <w:p w:rsidR="007A50D3" w:rsidRPr="00661EA0" w:rsidRDefault="00EC42C3" w:rsidP="00C14E43">
      <w:pPr>
        <w:pStyle w:val="Textonotapie"/>
        <w:jc w:val="both"/>
      </w:pPr>
      <w:r w:rsidRPr="00661EA0">
        <w:rPr>
          <w:rStyle w:val="Refdenotaalpie"/>
        </w:rPr>
        <w:footnoteRef/>
      </w:r>
      <w:r w:rsidRPr="00661EA0">
        <w:t xml:space="preserve"> </w:t>
      </w:r>
      <w:r w:rsidRPr="00661EA0">
        <w:rPr>
          <w:shd w:val="clear" w:color="auto" w:fill="FFFFFF"/>
        </w:rPr>
        <w:t>Corte Constitucional, Sentencias C-509 de 1996, C-447 de 1997, C-236 de 1997, y C-269 de 202</w:t>
      </w:r>
      <w:r w:rsidRPr="00661EA0">
        <w:rPr>
          <w:shd w:val="clear" w:color="auto" w:fill="FFFFFF"/>
        </w:rPr>
        <w:t>2.</w:t>
      </w:r>
    </w:p>
  </w:footnote>
  <w:footnote w:id="5">
    <w:p w:rsidR="007A4CFE" w:rsidRPr="00661EA0" w:rsidRDefault="00EC42C3" w:rsidP="00C14E43">
      <w:pPr>
        <w:pStyle w:val="Textonotapie"/>
        <w:jc w:val="both"/>
      </w:pPr>
      <w:r w:rsidRPr="00661EA0">
        <w:rPr>
          <w:rStyle w:val="Refdenotaalpie"/>
        </w:rPr>
        <w:footnoteRef/>
      </w:r>
      <w:r w:rsidRPr="00661EA0">
        <w:t xml:space="preserve"> </w:t>
      </w:r>
      <w:r w:rsidRPr="00661EA0">
        <w:rPr>
          <w:lang w:val="pt-BR"/>
        </w:rPr>
        <w:t>Corte Constitucional, Sentencias C-1052 de 2001,</w:t>
      </w:r>
      <w:r w:rsidRPr="00661EA0">
        <w:t> </w:t>
      </w:r>
      <w:r w:rsidRPr="00661EA0">
        <w:rPr>
          <w:lang w:val="pt-BR"/>
        </w:rPr>
        <w:t>C-236 de 1997, C-447 de 1997, C-426 de 2002, C-170 de 2004 y C-586 de 2016, entre otras.</w:t>
      </w:r>
    </w:p>
  </w:footnote>
  <w:footnote w:id="6">
    <w:p w:rsidR="00C14E43" w:rsidRPr="00661EA0" w:rsidRDefault="00EC42C3" w:rsidP="00C14E43">
      <w:pPr>
        <w:pStyle w:val="Textonotapie"/>
        <w:jc w:val="both"/>
        <w:rPr>
          <w:lang w:val="es-ES_tradnl"/>
        </w:rPr>
      </w:pPr>
      <w:r w:rsidRPr="00661EA0">
        <w:rPr>
          <w:rStyle w:val="Refdenotaalpie"/>
        </w:rPr>
        <w:footnoteRef/>
      </w:r>
      <w:r w:rsidRPr="00661EA0">
        <w:t xml:space="preserve"> </w:t>
      </w:r>
      <w:r w:rsidRPr="00661EA0">
        <w:rPr>
          <w:shd w:val="clear" w:color="auto" w:fill="FFFFFF"/>
        </w:rPr>
        <w:t>Corte Constitucional, Sentencias C-942 de 2010, C-185 de 2002, C-533 de 2012, C-522 de 2009, C-427 de 2000, C-8</w:t>
      </w:r>
      <w:r w:rsidRPr="00661EA0">
        <w:rPr>
          <w:shd w:val="clear" w:color="auto" w:fill="FFFFFF"/>
        </w:rPr>
        <w:t>33 de 2013, C-497 de 2015, C-583 de 2015, C-533 de 2012, C-1009 de 2005, C-351 de 2013, C-221 de 2017 y C-352 de 2017, entre otras.</w:t>
      </w:r>
    </w:p>
  </w:footnote>
  <w:footnote w:id="7">
    <w:p w:rsidR="00C14E43" w:rsidRPr="00661EA0" w:rsidRDefault="00EC42C3" w:rsidP="00484460">
      <w:pPr>
        <w:pStyle w:val="Textonotapie"/>
        <w:contextualSpacing/>
        <w:rPr>
          <w:lang w:val="es-ES_tradnl"/>
        </w:rPr>
      </w:pPr>
      <w:r w:rsidRPr="00661EA0">
        <w:rPr>
          <w:rStyle w:val="Refdenotaalpie"/>
        </w:rPr>
        <w:footnoteRef/>
      </w:r>
      <w:r w:rsidRPr="00661EA0">
        <w:t xml:space="preserve"> </w:t>
      </w:r>
      <w:r w:rsidRPr="00661EA0">
        <w:rPr>
          <w:shd w:val="clear" w:color="auto" w:fill="FFFFFF"/>
        </w:rPr>
        <w:t>Corte Constitucional, Sentencia C-031 de 2018.</w:t>
      </w:r>
    </w:p>
  </w:footnote>
  <w:footnote w:id="8">
    <w:p w:rsidR="00484460" w:rsidRPr="00661EA0" w:rsidRDefault="00EC42C3" w:rsidP="00484460">
      <w:pPr>
        <w:pStyle w:val="Textonotapie"/>
        <w:contextualSpacing/>
        <w:rPr>
          <w:lang w:val="es-ES_tradnl"/>
        </w:rPr>
      </w:pPr>
      <w:r w:rsidRPr="00661EA0">
        <w:rPr>
          <w:rStyle w:val="Refdenotaalpie"/>
        </w:rPr>
        <w:footnoteRef/>
      </w:r>
      <w:r w:rsidRPr="00661EA0">
        <w:t xml:space="preserve"> </w:t>
      </w:r>
      <w:r w:rsidRPr="00661EA0">
        <w:rPr>
          <w:shd w:val="clear" w:color="auto" w:fill="FFFFFF"/>
        </w:rPr>
        <w:t>Corte Constitucional, Sentencia C-329 de 2019.</w:t>
      </w:r>
    </w:p>
  </w:footnote>
  <w:footnote w:id="9">
    <w:p w:rsidR="00484460" w:rsidRPr="00661EA0" w:rsidRDefault="00EC42C3" w:rsidP="00484460">
      <w:pPr>
        <w:pStyle w:val="Textonotapie"/>
        <w:contextualSpacing/>
        <w:rPr>
          <w:lang w:val="es-ES_tradnl"/>
        </w:rPr>
      </w:pPr>
      <w:r w:rsidRPr="00661EA0">
        <w:rPr>
          <w:rStyle w:val="Refdenotaalpie"/>
        </w:rPr>
        <w:footnoteRef/>
      </w:r>
      <w:r w:rsidRPr="00661EA0">
        <w:t xml:space="preserve"> </w:t>
      </w:r>
      <w:r w:rsidRPr="00661EA0">
        <w:rPr>
          <w:shd w:val="clear" w:color="auto" w:fill="FFFFFF"/>
        </w:rPr>
        <w:t xml:space="preserve">Corte Constitucional, </w:t>
      </w:r>
      <w:r w:rsidRPr="00661EA0">
        <w:rPr>
          <w:shd w:val="clear" w:color="auto" w:fill="FFFFFF"/>
        </w:rPr>
        <w:t>Sentencias C-121 de 2018 y C-188 de 2019.</w:t>
      </w:r>
    </w:p>
  </w:footnote>
  <w:footnote w:id="10">
    <w:p w:rsidR="00484460" w:rsidRPr="00661EA0" w:rsidRDefault="00EC42C3" w:rsidP="00484460">
      <w:pPr>
        <w:pStyle w:val="Textonotapie"/>
        <w:contextualSpacing/>
        <w:jc w:val="both"/>
        <w:textAlignment w:val="baseline"/>
        <w:rPr>
          <w:rFonts w:ascii="Aptos" w:hAnsi="Aptos"/>
        </w:rPr>
      </w:pPr>
      <w:r w:rsidRPr="00661EA0">
        <w:rPr>
          <w:rStyle w:val="Refdenotaalpie"/>
        </w:rPr>
        <w:footnoteRef/>
      </w:r>
      <w:r w:rsidRPr="00661EA0">
        <w:t xml:space="preserve"> </w:t>
      </w:r>
      <w:r w:rsidRPr="00661EA0">
        <w:rPr>
          <w:lang w:val="es-ES_tradnl"/>
        </w:rPr>
        <w:t>Corte Constitucional, Sentencia C-027 de 2020.</w:t>
      </w:r>
    </w:p>
  </w:footnote>
  <w:footnote w:id="11">
    <w:p w:rsidR="00484460" w:rsidRPr="00661EA0" w:rsidRDefault="00EC42C3">
      <w:pPr>
        <w:pStyle w:val="Textonotapie"/>
        <w:rPr>
          <w:lang w:val="es-ES_tradnl"/>
        </w:rPr>
      </w:pPr>
      <w:r w:rsidRPr="00661EA0">
        <w:rPr>
          <w:rStyle w:val="Refdenotaalpie"/>
        </w:rPr>
        <w:footnoteRef/>
      </w:r>
      <w:r w:rsidRPr="00661EA0">
        <w:t xml:space="preserve"> </w:t>
      </w:r>
      <w:r w:rsidRPr="00661EA0">
        <w:rPr>
          <w:shd w:val="clear" w:color="auto" w:fill="FFFFFF"/>
        </w:rPr>
        <w:t>Corte Constitucional, Sentencias C-185 de 2002 y C-221 de 2017.</w:t>
      </w:r>
    </w:p>
  </w:footnote>
  <w:footnote w:id="12">
    <w:p w:rsidR="00484460" w:rsidRPr="00661EA0" w:rsidRDefault="00EC42C3">
      <w:pPr>
        <w:pStyle w:val="Textonotapie"/>
        <w:rPr>
          <w:lang w:val="es-ES_tradnl"/>
        </w:rPr>
      </w:pPr>
      <w:r w:rsidRPr="00661EA0">
        <w:rPr>
          <w:rStyle w:val="Refdenotaalpie"/>
        </w:rPr>
        <w:footnoteRef/>
      </w:r>
      <w:r w:rsidRPr="00661EA0">
        <w:t xml:space="preserve"> </w:t>
      </w:r>
      <w:r w:rsidRPr="00661EA0">
        <w:rPr>
          <w:shd w:val="clear" w:color="auto" w:fill="FFFFFF"/>
        </w:rPr>
        <w:t>Corte Constitucional,</w:t>
      </w:r>
      <w:r w:rsidRPr="00661EA0">
        <w:rPr>
          <w:rStyle w:val="apple-converted-space"/>
          <w:rFonts w:eastAsiaTheme="majorEastAsia"/>
        </w:rPr>
        <w:t> </w:t>
      </w:r>
      <w:r w:rsidRPr="00661EA0">
        <w:rPr>
          <w:shd w:val="clear" w:color="auto" w:fill="FFFFFF"/>
        </w:rPr>
        <w:t>Sentencias C-494 de 2016, C-572 de 2019 y C-027 de 2020.</w:t>
      </w:r>
    </w:p>
  </w:footnote>
  <w:footnote w:id="13">
    <w:p w:rsidR="00743C5C" w:rsidRPr="00661EA0" w:rsidRDefault="00EC42C3" w:rsidP="00743C5C">
      <w:pPr>
        <w:pStyle w:val="Textonotapie"/>
        <w:contextualSpacing/>
        <w:jc w:val="both"/>
        <w:rPr>
          <w:lang w:val="es-ES_tradnl"/>
        </w:rPr>
      </w:pPr>
      <w:r w:rsidRPr="00661EA0">
        <w:rPr>
          <w:rStyle w:val="Refdenotaalpie"/>
        </w:rPr>
        <w:footnoteRef/>
      </w:r>
      <w:r w:rsidRPr="00661EA0">
        <w:t xml:space="preserve"> </w:t>
      </w:r>
      <w:r w:rsidRPr="00661EA0">
        <w:rPr>
          <w:shd w:val="clear" w:color="auto" w:fill="FFFFFF"/>
        </w:rPr>
        <w:t>Corte Constituci</w:t>
      </w:r>
      <w:r w:rsidRPr="00661EA0">
        <w:rPr>
          <w:shd w:val="clear" w:color="auto" w:fill="FFFFFF"/>
        </w:rPr>
        <w:t>onal, Sentencias C-014 de 1993, C-571 de 2004, C-094 de 2015, C-247 de 2017, C-537 de 2019 y C-029 de 2020.</w:t>
      </w:r>
    </w:p>
  </w:footnote>
  <w:footnote w:id="14">
    <w:p w:rsidR="00903FB1" w:rsidRPr="00661EA0" w:rsidRDefault="00EC42C3" w:rsidP="001076D9">
      <w:pPr>
        <w:pStyle w:val="Textonotapie"/>
        <w:contextualSpacing/>
        <w:rPr>
          <w:lang w:val="es-ES_tradnl"/>
        </w:rPr>
      </w:pPr>
      <w:r w:rsidRPr="00661EA0">
        <w:rPr>
          <w:rStyle w:val="Refdenotaalpie"/>
        </w:rPr>
        <w:footnoteRef/>
      </w:r>
      <w:r w:rsidRPr="00661EA0">
        <w:t xml:space="preserve"> </w:t>
      </w:r>
      <w:r w:rsidRPr="00661EA0">
        <w:rPr>
          <w:shd w:val="clear" w:color="auto" w:fill="FFFFFF"/>
        </w:rPr>
        <w:t>Corte Constitucional, Sentencias C-486 de 1993, C-247 de 2017 y C-029 de 2020.</w:t>
      </w:r>
    </w:p>
  </w:footnote>
  <w:footnote w:id="15">
    <w:p w:rsidR="00903FB1" w:rsidRPr="00661EA0" w:rsidRDefault="00EC42C3" w:rsidP="00661EA0">
      <w:pPr>
        <w:pStyle w:val="Textonotapie"/>
        <w:contextualSpacing/>
        <w:jc w:val="both"/>
        <w:textAlignment w:val="baseline"/>
      </w:pPr>
      <w:r w:rsidRPr="00661EA0">
        <w:rPr>
          <w:rStyle w:val="Refdenotaalpie"/>
        </w:rPr>
        <w:footnoteRef/>
      </w:r>
      <w:r w:rsidRPr="00661EA0">
        <w:t xml:space="preserve"> Corte Constitucional, Sentencia C-571 de 2004.</w:t>
      </w:r>
    </w:p>
  </w:footnote>
  <w:footnote w:id="16">
    <w:p w:rsidR="004220B8" w:rsidRPr="00661EA0" w:rsidRDefault="00EC42C3" w:rsidP="004220B8">
      <w:pPr>
        <w:pStyle w:val="Textonotapie"/>
        <w:jc w:val="both"/>
        <w:rPr>
          <w:lang w:val="es-ES_tradnl"/>
        </w:rPr>
      </w:pPr>
      <w:r w:rsidRPr="00661EA0">
        <w:rPr>
          <w:rStyle w:val="Refdenotaalpie"/>
        </w:rPr>
        <w:footnoteRef/>
      </w:r>
      <w:r w:rsidRPr="00661EA0">
        <w:t xml:space="preserve"> </w:t>
      </w:r>
      <w:r w:rsidRPr="00661EA0">
        <w:rPr>
          <w:shd w:val="clear" w:color="auto" w:fill="FFFFFF"/>
        </w:rPr>
        <w:t xml:space="preserve">Corte </w:t>
      </w:r>
      <w:r w:rsidRPr="00661EA0">
        <w:rPr>
          <w:shd w:val="clear" w:color="auto" w:fill="FFFFFF"/>
        </w:rPr>
        <w:t>Constitucional, Sentencias C-014 de 1993, C-571 de 2004, C-094 de 2015, C-247 de 2017, C-537 de 2019 y C-029 de 2020.</w:t>
      </w:r>
    </w:p>
  </w:footnote>
  <w:footnote w:id="17">
    <w:p w:rsidR="003120BD" w:rsidRPr="00B82C54" w:rsidRDefault="00EC42C3" w:rsidP="00B82C54">
      <w:pPr>
        <w:pStyle w:val="NormalWeb"/>
        <w:spacing w:before="0" w:beforeAutospacing="0" w:after="0" w:afterAutospacing="0"/>
        <w:contextualSpacing/>
        <w:jc w:val="both"/>
        <w:rPr>
          <w:i/>
          <w:iCs/>
          <w:sz w:val="20"/>
          <w:szCs w:val="20"/>
        </w:rPr>
      </w:pPr>
      <w:r w:rsidRPr="00B82C54">
        <w:rPr>
          <w:rStyle w:val="Refdenotaalpie"/>
          <w:sz w:val="20"/>
          <w:szCs w:val="20"/>
        </w:rPr>
        <w:footnoteRef/>
      </w:r>
      <w:r w:rsidRPr="00B82C54">
        <w:rPr>
          <w:sz w:val="20"/>
          <w:szCs w:val="20"/>
        </w:rPr>
        <w:t xml:space="preserve"> </w:t>
      </w:r>
      <w:r w:rsidRPr="00B82C54">
        <w:rPr>
          <w:sz w:val="20"/>
          <w:szCs w:val="20"/>
          <w:lang w:val="es-ES_tradnl"/>
        </w:rPr>
        <w:t xml:space="preserve">Artículo 583 del CGP. Declaración de ausencia. </w:t>
      </w:r>
      <w:r w:rsidRPr="00B82C54">
        <w:rPr>
          <w:i/>
          <w:iCs/>
          <w:sz w:val="20"/>
          <w:szCs w:val="20"/>
          <w:lang w:val="es-ES_tradnl"/>
        </w:rPr>
        <w:t>“</w:t>
      </w:r>
      <w:r w:rsidRPr="00B82C54">
        <w:rPr>
          <w:i/>
          <w:iCs/>
          <w:sz w:val="20"/>
          <w:szCs w:val="20"/>
        </w:rPr>
        <w:t>Para la declaración de ausencia de una persona se observarán las siguientes reglas: 1. E</w:t>
      </w:r>
      <w:r w:rsidRPr="00B82C54">
        <w:rPr>
          <w:i/>
          <w:iCs/>
          <w:sz w:val="20"/>
          <w:szCs w:val="20"/>
        </w:rPr>
        <w:t>n la demanda deberá hacerse una relación de los bienes y deudas del ausente.  2. En el auto admisorio, el juez designará administrador provisorio, quien una vez posesionado asumirá la administración de los bienes. Igualmente, ordenará hacer una publicación</w:t>
      </w:r>
      <w:r w:rsidRPr="00B82C54">
        <w:rPr>
          <w:i/>
          <w:iCs/>
          <w:sz w:val="20"/>
          <w:szCs w:val="20"/>
        </w:rPr>
        <w:t xml:space="preserve"> un (1) día domingo en uno de los periódicos de mayor circulación en la capital de la República, y en un periódico de amplia circulación en el último domicilio conocido del ausente y en una radiodifusora con sintonía en ese lugar, que contenga: a) La ident</w:t>
      </w:r>
      <w:r w:rsidRPr="00B82C54">
        <w:rPr>
          <w:i/>
          <w:iCs/>
          <w:sz w:val="20"/>
          <w:szCs w:val="20"/>
        </w:rPr>
        <w:t>ificación de la persona cuya declaración de ausencia se persigue, el lugar de su último domicilio conocido y el nombre de la parte demandante. b) La prevención a quienes tengan noticias del ausente para que lo informen al juzgado. 3. Recibidas noticias sob</w:t>
      </w:r>
      <w:r w:rsidRPr="00B82C54">
        <w:rPr>
          <w:i/>
          <w:iCs/>
          <w:sz w:val="20"/>
          <w:szCs w:val="20"/>
        </w:rPr>
        <w:t>re el paradero del ausente, el juez hará las averiguaciones que estime necesarias a fin de esclarecer el hecho, para lo cual empleará todos los medios de información que considere convenientes. En caso contrario designará curador</w:t>
      </w:r>
      <w:r w:rsidRPr="00B82C54">
        <w:rPr>
          <w:rStyle w:val="apple-converted-space"/>
          <w:rFonts w:eastAsiaTheme="majorEastAsia"/>
          <w:i/>
          <w:iCs/>
          <w:sz w:val="20"/>
          <w:szCs w:val="20"/>
        </w:rPr>
        <w:t> </w:t>
      </w:r>
      <w:r w:rsidRPr="00B82C54">
        <w:rPr>
          <w:rStyle w:val="iaj"/>
          <w:rFonts w:eastAsiaTheme="majorEastAsia"/>
          <w:i/>
          <w:iCs/>
          <w:sz w:val="20"/>
          <w:szCs w:val="20"/>
        </w:rPr>
        <w:t>ad litem</w:t>
      </w:r>
      <w:r w:rsidRPr="00B82C54">
        <w:rPr>
          <w:rStyle w:val="apple-converted-space"/>
          <w:rFonts w:eastAsiaTheme="majorEastAsia"/>
          <w:i/>
          <w:iCs/>
          <w:sz w:val="20"/>
          <w:szCs w:val="20"/>
        </w:rPr>
        <w:t> </w:t>
      </w:r>
      <w:r w:rsidRPr="00B82C54">
        <w:rPr>
          <w:i/>
          <w:iCs/>
          <w:sz w:val="20"/>
          <w:szCs w:val="20"/>
        </w:rPr>
        <w:t>al ausente. 4. Cu</w:t>
      </w:r>
      <w:r w:rsidRPr="00B82C54">
        <w:rPr>
          <w:i/>
          <w:iCs/>
          <w:sz w:val="20"/>
          <w:szCs w:val="20"/>
        </w:rPr>
        <w:t>mplidos los trámites anteriores el juez convocará a audiencia en la que practicará las pruebas necesarias y dictará sentencia. Si esta fuere favorable a lo pedido, en ella nombrará administrador legítimo o dativo. A esta administración se aplicará lo dispu</w:t>
      </w:r>
      <w:r w:rsidRPr="00B82C54">
        <w:rPr>
          <w:i/>
          <w:iCs/>
          <w:sz w:val="20"/>
          <w:szCs w:val="20"/>
        </w:rPr>
        <w:t>esto en los numerales 2 y 3 del artículo precedente y, en lo pertinente, las normas sobre administración de bienes previstas en la Ley</w:t>
      </w:r>
      <w:r w:rsidRPr="00B82C54">
        <w:rPr>
          <w:rStyle w:val="apple-converted-space"/>
          <w:rFonts w:eastAsiaTheme="majorEastAsia"/>
          <w:i/>
          <w:iCs/>
          <w:sz w:val="20"/>
          <w:szCs w:val="20"/>
        </w:rPr>
        <w:t> </w:t>
      </w:r>
      <w:hyperlink r:id="rId1" w:anchor="Inicio" w:history="1">
        <w:r w:rsidRPr="00B82C54">
          <w:rPr>
            <w:rStyle w:val="Hipervnculo"/>
            <w:rFonts w:eastAsiaTheme="majorEastAsia"/>
            <w:i/>
            <w:iCs/>
            <w:color w:val="auto"/>
            <w:sz w:val="20"/>
            <w:szCs w:val="20"/>
            <w:u w:val="none"/>
          </w:rPr>
          <w:t>1306</w:t>
        </w:r>
      </w:hyperlink>
      <w:r w:rsidRPr="00B82C54">
        <w:rPr>
          <w:rStyle w:val="apple-converted-space"/>
          <w:rFonts w:eastAsiaTheme="majorEastAsia"/>
          <w:i/>
          <w:iCs/>
          <w:sz w:val="20"/>
          <w:szCs w:val="20"/>
        </w:rPr>
        <w:t> </w:t>
      </w:r>
      <w:r w:rsidRPr="00B82C54">
        <w:rPr>
          <w:i/>
          <w:iCs/>
          <w:sz w:val="20"/>
          <w:szCs w:val="20"/>
        </w:rPr>
        <w:t>de 2009. 5. Se decr</w:t>
      </w:r>
      <w:r w:rsidRPr="00B82C54">
        <w:rPr>
          <w:i/>
          <w:iCs/>
          <w:sz w:val="20"/>
          <w:szCs w:val="20"/>
        </w:rPr>
        <w:t>etará la terminación de la administración de bienes del ausente en los casos del artículo</w:t>
      </w:r>
      <w:r w:rsidRPr="00B82C54">
        <w:rPr>
          <w:rStyle w:val="apple-converted-space"/>
          <w:rFonts w:eastAsiaTheme="majorEastAsia"/>
          <w:i/>
          <w:iCs/>
          <w:sz w:val="20"/>
          <w:szCs w:val="20"/>
        </w:rPr>
        <w:t> </w:t>
      </w:r>
      <w:hyperlink r:id="rId2" w:anchor="115" w:history="1">
        <w:r w:rsidRPr="00B82C54">
          <w:rPr>
            <w:rStyle w:val="Hipervnculo"/>
            <w:rFonts w:eastAsiaTheme="majorEastAsia"/>
            <w:i/>
            <w:iCs/>
            <w:color w:val="auto"/>
            <w:sz w:val="20"/>
            <w:szCs w:val="20"/>
            <w:u w:val="none"/>
          </w:rPr>
          <w:t>115</w:t>
        </w:r>
      </w:hyperlink>
      <w:r w:rsidRPr="00B82C54">
        <w:rPr>
          <w:i/>
          <w:iCs/>
          <w:sz w:val="20"/>
          <w:szCs w:val="20"/>
        </w:rPr>
        <w:t>, numeral 5, de la Ley 1306 de 2009. La solicitud podrá formula</w:t>
      </w:r>
      <w:r w:rsidRPr="00B82C54">
        <w:rPr>
          <w:i/>
          <w:iCs/>
          <w:sz w:val="20"/>
          <w:szCs w:val="20"/>
        </w:rPr>
        <w:t>rla cualquier interesado o el Ministerio Público. Cuando haya lugar a la entrega de bienes, el juez la efectuará</w:t>
      </w:r>
      <w:r w:rsidRPr="00B82C54">
        <w:rPr>
          <w:i/>
          <w:iCs/>
          <w:sz w:val="20"/>
          <w:szCs w:val="20"/>
        </w:rPr>
        <w:t>.</w:t>
      </w:r>
      <w:r w:rsidRPr="00B82C54">
        <w:rPr>
          <w:i/>
          <w:iCs/>
          <w:sz w:val="20"/>
          <w:szCs w:val="20"/>
        </w:rPr>
        <w:t>”</w:t>
      </w:r>
    </w:p>
    <w:p w:rsidR="003120BD" w:rsidRPr="00B82C54" w:rsidRDefault="00EC42C3" w:rsidP="00B82C54">
      <w:pPr>
        <w:pStyle w:val="Textonotapie"/>
        <w:contextualSpacing/>
        <w:rPr>
          <w:i/>
          <w:iCs/>
        </w:rPr>
      </w:pPr>
    </w:p>
  </w:footnote>
  <w:footnote w:id="18">
    <w:p w:rsidR="00B9334F" w:rsidRPr="00661EA0" w:rsidRDefault="00EC42C3" w:rsidP="00A90B10">
      <w:pPr>
        <w:pStyle w:val="Textonotapie"/>
        <w:jc w:val="both"/>
        <w:rPr>
          <w:lang w:val="es-ES_tradnl"/>
        </w:rPr>
      </w:pPr>
      <w:r w:rsidRPr="00661EA0">
        <w:rPr>
          <w:rStyle w:val="Refdenotaalpie"/>
        </w:rPr>
        <w:footnoteRef/>
      </w:r>
      <w:r w:rsidRPr="00661EA0">
        <w:t xml:space="preserve"> </w:t>
      </w:r>
      <w:r w:rsidRPr="00661EA0">
        <w:t>Constitución Política. Artículo 42.</w:t>
      </w:r>
      <w:r w:rsidRPr="00661EA0">
        <w:rPr>
          <w:rStyle w:val="apple-converted-space"/>
          <w:rFonts w:eastAsiaTheme="majorEastAsia"/>
        </w:rPr>
        <w:t> </w:t>
      </w:r>
      <w:r w:rsidRPr="00661EA0">
        <w:rPr>
          <w:i/>
          <w:iCs/>
        </w:rPr>
        <w:t>“La familia es el núcleo fundamental de la sociedad. Se constituye por vínculos naturales o jurídicos,</w:t>
      </w:r>
      <w:r w:rsidRPr="00661EA0">
        <w:rPr>
          <w:i/>
          <w:iCs/>
        </w:rPr>
        <w:t xml:space="preserve"> por la decisión libre de un hombre y una mujer de contraer matrimonio o por la voluntad responsable de conformarla. El Estado y la sociedad garantizan la protección integral de la familia. La ley podrá determinar el patrimonio familiar inalienable e inemb</w:t>
      </w:r>
      <w:r w:rsidRPr="00661EA0">
        <w:rPr>
          <w:i/>
          <w:iCs/>
        </w:rPr>
        <w:t>argable.</w:t>
      </w:r>
      <w:r w:rsidRPr="00661EA0">
        <w:rPr>
          <w:rStyle w:val="apple-converted-space"/>
          <w:rFonts w:eastAsiaTheme="majorEastAsia"/>
          <w:i/>
          <w:iCs/>
        </w:rPr>
        <w:t> </w:t>
      </w:r>
      <w:r w:rsidRPr="00661EA0">
        <w:rPr>
          <w:i/>
          <w:iCs/>
        </w:rPr>
        <w:t>La honra, la dignidad y la intimidad de la familia son inviolables. Las relaciones familiares se basan en la igualdad de derechos y deberes de la pareja y en el respeto recíproco entre todos sus integrantes. Cualquier forma de violencia en la fami</w:t>
      </w:r>
      <w:r w:rsidRPr="00661EA0">
        <w:rPr>
          <w:i/>
          <w:iCs/>
        </w:rPr>
        <w:t>lia se considera destructiva de su armonía y unidad, y será sancionada conforme a la ley. Los hijos habidos en el matrimonio o fuera de él, adoptados o procreados naturalmente o con asistencia científica, tienen iguales derechos y deberes. La ley reglament</w:t>
      </w:r>
      <w:r w:rsidRPr="00661EA0">
        <w:rPr>
          <w:i/>
          <w:iCs/>
        </w:rPr>
        <w:t>ará la progenitura responsable.</w:t>
      </w:r>
      <w:r w:rsidRPr="00661EA0">
        <w:rPr>
          <w:rStyle w:val="apple-converted-space"/>
          <w:rFonts w:eastAsiaTheme="majorEastAsia"/>
          <w:i/>
          <w:iCs/>
        </w:rPr>
        <w:t> </w:t>
      </w:r>
      <w:r w:rsidRPr="00661EA0">
        <w:rPr>
          <w:i/>
          <w:iCs/>
        </w:rPr>
        <w:t>La pareja tiene derecho a decidir libre y responsablemente el número de sus hijos, y deberá sostenerlos y educarlos mientras sean menores o impedidos.</w:t>
      </w:r>
      <w:r w:rsidRPr="00661EA0">
        <w:rPr>
          <w:rStyle w:val="apple-converted-space"/>
          <w:rFonts w:eastAsiaTheme="majorEastAsia"/>
          <w:i/>
          <w:iCs/>
        </w:rPr>
        <w:t> </w:t>
      </w:r>
      <w:r w:rsidRPr="00661EA0">
        <w:rPr>
          <w:i/>
          <w:iCs/>
        </w:rPr>
        <w:t>Las formas del matrimonio, la edad y capacidad para contraerlo, los deber</w:t>
      </w:r>
      <w:r w:rsidRPr="00661EA0">
        <w:rPr>
          <w:i/>
          <w:iCs/>
        </w:rPr>
        <w:t>es y derechos de los cónyuges, su separación y la disolución del vínculo, se rigen por la ley civil. Los matrimonios religiosos tendrán efectos civiles en los términos que establezca la ley. Los efectos civiles de todo matrimonio cesarán por divorcio con a</w:t>
      </w:r>
      <w:r w:rsidRPr="00661EA0">
        <w:rPr>
          <w:i/>
          <w:iCs/>
        </w:rPr>
        <w:t xml:space="preserve">rreglo a la ley civil. También tendrán efectos civiles las sentencias de nulidad de los matrimonios religiosos dictadas por las autoridades de la respectiva religión, en los términos que establezca la ley. La ley determinará lo relativo al estado civil de </w:t>
      </w:r>
      <w:r w:rsidRPr="00661EA0">
        <w:rPr>
          <w:i/>
          <w:iCs/>
        </w:rPr>
        <w:t>las personas y los consiguientes derechos y deberes.”</w:t>
      </w:r>
    </w:p>
  </w:footnote>
  <w:footnote w:id="19">
    <w:p w:rsidR="00A3637F" w:rsidRPr="00661EA0" w:rsidRDefault="00EC42C3" w:rsidP="00E87D6D">
      <w:pPr>
        <w:pStyle w:val="Textonotapie"/>
        <w:spacing w:line="289" w:lineRule="atLeast"/>
        <w:jc w:val="both"/>
        <w:textAlignment w:val="baseline"/>
      </w:pPr>
      <w:r w:rsidRPr="00661EA0">
        <w:rPr>
          <w:rStyle w:val="Refdenotaalpie"/>
        </w:rPr>
        <w:footnoteRef/>
      </w:r>
      <w:r w:rsidRPr="00661EA0">
        <w:t xml:space="preserve"> Corte Constitucional, Sentencia C-456 de 2020. </w:t>
      </w:r>
    </w:p>
  </w:footnote>
  <w:footnote w:id="20">
    <w:p w:rsidR="000A5B22" w:rsidRPr="00661EA0" w:rsidRDefault="00EC42C3" w:rsidP="00E87D6D">
      <w:pPr>
        <w:pStyle w:val="Textonotapie"/>
        <w:contextualSpacing/>
        <w:rPr>
          <w:lang w:val="es-ES_tradnl"/>
        </w:rPr>
      </w:pPr>
      <w:r w:rsidRPr="00661EA0">
        <w:rPr>
          <w:rStyle w:val="Refdenotaalpie"/>
        </w:rPr>
        <w:footnoteRef/>
      </w:r>
      <w:r w:rsidRPr="00661EA0">
        <w:t xml:space="preserve"> </w:t>
      </w:r>
      <w:r w:rsidRPr="00661EA0">
        <w:rPr>
          <w:shd w:val="clear" w:color="auto" w:fill="FFFFFF"/>
        </w:rPr>
        <w:t>Corte Constitucional,</w:t>
      </w:r>
      <w:r w:rsidRPr="00661EA0">
        <w:rPr>
          <w:rStyle w:val="apple-converted-space"/>
          <w:rFonts w:eastAsiaTheme="majorEastAsia"/>
          <w:shd w:val="clear" w:color="auto" w:fill="FFFFFF"/>
        </w:rPr>
        <w:t> </w:t>
      </w:r>
      <w:r w:rsidRPr="00661EA0">
        <w:rPr>
          <w:shd w:val="clear" w:color="auto" w:fill="FFFFFF"/>
        </w:rPr>
        <w:t>Sentencia C-1033 de 2022.</w:t>
      </w:r>
    </w:p>
  </w:footnote>
  <w:footnote w:id="21">
    <w:p w:rsidR="000A5B22" w:rsidRPr="00661EA0" w:rsidRDefault="00EC42C3" w:rsidP="006C1553">
      <w:pPr>
        <w:pStyle w:val="Textonotapie"/>
        <w:contextualSpacing/>
        <w:rPr>
          <w:lang w:val="es-ES_tradnl"/>
        </w:rPr>
      </w:pPr>
      <w:r w:rsidRPr="00661EA0">
        <w:rPr>
          <w:rStyle w:val="Refdenotaalpie"/>
        </w:rPr>
        <w:footnoteRef/>
      </w:r>
      <w:r w:rsidRPr="00661EA0">
        <w:t xml:space="preserve"> </w:t>
      </w:r>
      <w:r w:rsidRPr="00661EA0">
        <w:rPr>
          <w:shd w:val="clear" w:color="auto" w:fill="FFFFFF"/>
        </w:rPr>
        <w:t>Corte Constitucional,</w:t>
      </w:r>
      <w:r w:rsidRPr="00661EA0">
        <w:rPr>
          <w:rStyle w:val="apple-converted-space"/>
          <w:rFonts w:eastAsiaTheme="majorEastAsia"/>
          <w:shd w:val="clear" w:color="auto" w:fill="FFFFFF"/>
        </w:rPr>
        <w:t> </w:t>
      </w:r>
      <w:r w:rsidRPr="00661EA0">
        <w:rPr>
          <w:shd w:val="clear" w:color="auto" w:fill="FFFFFF"/>
        </w:rPr>
        <w:t>Sentencia C-283 de 2011.</w:t>
      </w:r>
    </w:p>
  </w:footnote>
  <w:footnote w:id="22">
    <w:p w:rsidR="000A5B22" w:rsidRPr="00661EA0" w:rsidRDefault="00EC42C3" w:rsidP="006C1553">
      <w:pPr>
        <w:pStyle w:val="Textonotapie"/>
        <w:contextualSpacing/>
        <w:rPr>
          <w:lang w:val="es-ES_tradnl"/>
        </w:rPr>
      </w:pPr>
      <w:r w:rsidRPr="00661EA0">
        <w:rPr>
          <w:rStyle w:val="Refdenotaalpie"/>
        </w:rPr>
        <w:footnoteRef/>
      </w:r>
      <w:r w:rsidRPr="00661EA0">
        <w:t xml:space="preserve"> </w:t>
      </w:r>
      <w:r w:rsidRPr="00661EA0">
        <w:rPr>
          <w:shd w:val="clear" w:color="auto" w:fill="FFFFFF"/>
        </w:rPr>
        <w:t>Corte Constitucional,</w:t>
      </w:r>
      <w:r w:rsidRPr="00661EA0">
        <w:rPr>
          <w:rStyle w:val="apple-converted-space"/>
          <w:rFonts w:eastAsiaTheme="majorEastAsia"/>
          <w:shd w:val="clear" w:color="auto" w:fill="FFFFFF"/>
        </w:rPr>
        <w:t> </w:t>
      </w:r>
      <w:r w:rsidRPr="00661EA0">
        <w:rPr>
          <w:shd w:val="clear" w:color="auto" w:fill="FFFFFF"/>
        </w:rPr>
        <w:t>Sentencia C-238 de 2012.</w:t>
      </w:r>
    </w:p>
  </w:footnote>
  <w:footnote w:id="23">
    <w:p w:rsidR="00783FF0" w:rsidRPr="00661EA0" w:rsidRDefault="00EC42C3" w:rsidP="006C1553">
      <w:pPr>
        <w:pStyle w:val="Textonotapie"/>
        <w:contextualSpacing/>
        <w:rPr>
          <w:lang w:val="es-ES_tradnl"/>
        </w:rPr>
      </w:pPr>
      <w:r w:rsidRPr="00661EA0">
        <w:rPr>
          <w:rStyle w:val="Refdenotaalpie"/>
        </w:rPr>
        <w:footnoteRef/>
      </w:r>
      <w:r w:rsidRPr="00661EA0">
        <w:t xml:space="preserve"> </w:t>
      </w:r>
      <w:r w:rsidRPr="00661EA0">
        <w:rPr>
          <w:shd w:val="clear" w:color="auto" w:fill="FFFFFF"/>
        </w:rPr>
        <w:t>Corte Constitucional,</w:t>
      </w:r>
      <w:r w:rsidRPr="00661EA0">
        <w:rPr>
          <w:rStyle w:val="apple-converted-space"/>
          <w:rFonts w:eastAsiaTheme="majorEastAsia"/>
          <w:shd w:val="clear" w:color="auto" w:fill="FFFFFF"/>
        </w:rPr>
        <w:t> </w:t>
      </w:r>
      <w:r w:rsidRPr="00661EA0">
        <w:rPr>
          <w:shd w:val="clear" w:color="auto" w:fill="FFFFFF"/>
        </w:rPr>
        <w:t>Sentencias C-533 de 2000 y C-281 de 2005.</w:t>
      </w:r>
    </w:p>
  </w:footnote>
  <w:footnote w:id="24">
    <w:p w:rsidR="006C1553" w:rsidRPr="00661EA0" w:rsidRDefault="00EC42C3" w:rsidP="006C1553">
      <w:pPr>
        <w:pStyle w:val="Textonotapie"/>
        <w:contextualSpacing/>
        <w:jc w:val="both"/>
        <w:textAlignment w:val="baseline"/>
      </w:pPr>
      <w:r w:rsidRPr="00661EA0">
        <w:rPr>
          <w:rStyle w:val="Refdenotaalpie"/>
        </w:rPr>
        <w:footnoteRef/>
      </w:r>
      <w:r w:rsidRPr="00661EA0">
        <w:t xml:space="preserve"> </w:t>
      </w:r>
      <w:r w:rsidRPr="00661EA0">
        <w:rPr>
          <w:shd w:val="clear" w:color="auto" w:fill="FFFFFF"/>
        </w:rPr>
        <w:t>Corte Constitucional, </w:t>
      </w:r>
      <w:r w:rsidRPr="00661EA0">
        <w:t>Sentencia C-257 de 2015. </w:t>
      </w:r>
    </w:p>
  </w:footnote>
  <w:footnote w:id="25">
    <w:p w:rsidR="006C1553" w:rsidRPr="00661EA0" w:rsidRDefault="00EC42C3" w:rsidP="006C1553">
      <w:pPr>
        <w:pStyle w:val="Textonotapie"/>
        <w:contextualSpacing/>
        <w:rPr>
          <w:lang w:val="es-ES_tradnl"/>
        </w:rPr>
      </w:pPr>
      <w:r w:rsidRPr="00661EA0">
        <w:rPr>
          <w:rStyle w:val="Refdenotaalpie"/>
        </w:rPr>
        <w:footnoteRef/>
      </w:r>
      <w:r w:rsidRPr="00661EA0">
        <w:t xml:space="preserve"> </w:t>
      </w:r>
      <w:r w:rsidRPr="00661EA0">
        <w:rPr>
          <w:shd w:val="clear" w:color="auto" w:fill="FFFFFF"/>
        </w:rPr>
        <w:t>Corte Constitucional, Sentencias C-840 de 2010 y C-521 de 2007.</w:t>
      </w:r>
    </w:p>
  </w:footnote>
  <w:footnote w:id="26">
    <w:p w:rsidR="00365DAB" w:rsidRPr="00661EA0" w:rsidRDefault="00EC42C3">
      <w:pPr>
        <w:pStyle w:val="Textonotapie"/>
      </w:pPr>
      <w:r w:rsidRPr="00661EA0">
        <w:rPr>
          <w:rStyle w:val="Refdenotaalpie"/>
        </w:rPr>
        <w:footnoteRef/>
      </w:r>
      <w:r w:rsidRPr="00661EA0">
        <w:t xml:space="preserve"> </w:t>
      </w:r>
      <w:r w:rsidRPr="00661EA0">
        <w:rPr>
          <w:shd w:val="clear" w:color="auto" w:fill="FFFFFF"/>
        </w:rPr>
        <w:t>Corte Constitucional,</w:t>
      </w:r>
      <w:r w:rsidRPr="00661EA0">
        <w:rPr>
          <w:rStyle w:val="apple-converted-space"/>
          <w:rFonts w:eastAsiaTheme="majorEastAsia"/>
          <w:shd w:val="clear" w:color="auto" w:fill="FFFFFF"/>
        </w:rPr>
        <w:t> </w:t>
      </w:r>
      <w:r w:rsidRPr="00661EA0">
        <w:rPr>
          <w:shd w:val="clear" w:color="auto" w:fill="FFFFFF"/>
        </w:rPr>
        <w:t>Sentencia C-456 de 2020.</w:t>
      </w:r>
    </w:p>
  </w:footnote>
  <w:footnote w:id="27">
    <w:p w:rsidR="005A6051" w:rsidRPr="00661EA0" w:rsidRDefault="00EC42C3">
      <w:pPr>
        <w:pStyle w:val="Textonotapie"/>
        <w:rPr>
          <w:lang w:val="es-ES_tradnl"/>
        </w:rPr>
      </w:pPr>
      <w:r w:rsidRPr="00661EA0">
        <w:rPr>
          <w:rStyle w:val="Refdenotaalpie"/>
        </w:rPr>
        <w:footnoteRef/>
      </w:r>
      <w:r w:rsidRPr="00661EA0">
        <w:t xml:space="preserve"> </w:t>
      </w:r>
      <w:r w:rsidRPr="00661EA0">
        <w:rPr>
          <w:shd w:val="clear" w:color="auto" w:fill="FFFFFF"/>
        </w:rPr>
        <w:t>Corte Constitucional, Sen</w:t>
      </w:r>
      <w:r w:rsidRPr="00661EA0">
        <w:rPr>
          <w:shd w:val="clear" w:color="auto" w:fill="FFFFFF"/>
        </w:rPr>
        <w:t>tencia C-1033 de 2002.</w:t>
      </w:r>
    </w:p>
  </w:footnote>
  <w:footnote w:id="28">
    <w:p w:rsidR="00444892" w:rsidRPr="00661EA0" w:rsidRDefault="00EC42C3">
      <w:pPr>
        <w:pStyle w:val="Textonotapie"/>
      </w:pPr>
      <w:r w:rsidRPr="00661EA0">
        <w:rPr>
          <w:rStyle w:val="Refdenotaalpie"/>
        </w:rPr>
        <w:footnoteRef/>
      </w:r>
      <w:r w:rsidRPr="00661EA0">
        <w:t xml:space="preserve"> Corte Constitucional, Sentencia C-315 de 2023.</w:t>
      </w:r>
    </w:p>
  </w:footnote>
  <w:footnote w:id="29">
    <w:p w:rsidR="005D3BC1" w:rsidRPr="00661EA0" w:rsidRDefault="00EC42C3">
      <w:pPr>
        <w:pStyle w:val="Textonotapie"/>
        <w:rPr>
          <w:lang w:val="es-ES_tradnl"/>
        </w:rPr>
      </w:pPr>
      <w:r w:rsidRPr="00661EA0">
        <w:rPr>
          <w:rStyle w:val="Refdenotaalpie"/>
        </w:rPr>
        <w:footnoteRef/>
      </w:r>
      <w:r w:rsidRPr="00661EA0">
        <w:t xml:space="preserve"> </w:t>
      </w:r>
      <w:r w:rsidRPr="00661EA0">
        <w:rPr>
          <w:shd w:val="clear" w:color="auto" w:fill="FFFFFF"/>
        </w:rPr>
        <w:t>Corte Constitucional, Sentencias C-225 de 1995, C-191 de 1998, C-582 de 1999 y C-067 de 2003, entre otras.</w:t>
      </w:r>
    </w:p>
  </w:footnote>
  <w:footnote w:id="30">
    <w:p w:rsidR="00F540CA" w:rsidRPr="00661EA0" w:rsidRDefault="00EC42C3" w:rsidP="00F540CA">
      <w:pPr>
        <w:pStyle w:val="Textonotapie"/>
        <w:rPr>
          <w:lang w:val="es-ES_tradnl"/>
        </w:rPr>
      </w:pPr>
      <w:r w:rsidRPr="00661EA0">
        <w:rPr>
          <w:rStyle w:val="Refdenotaalpie"/>
        </w:rPr>
        <w:footnoteRef/>
      </w:r>
      <w:r w:rsidRPr="00661EA0">
        <w:t xml:space="preserve"> </w:t>
      </w:r>
      <w:r w:rsidRPr="00661EA0">
        <w:rPr>
          <w:shd w:val="clear" w:color="auto" w:fill="FFFFFF"/>
        </w:rPr>
        <w:t>Corte Constitucional, Sentencias C-113 de 1993 y C-037 de 1996.</w:t>
      </w:r>
    </w:p>
  </w:footnote>
  <w:footnote w:id="31">
    <w:p w:rsidR="007B3199" w:rsidRPr="007B3199" w:rsidRDefault="00EC42C3">
      <w:pPr>
        <w:pStyle w:val="Textonotapie"/>
        <w:rPr>
          <w:lang w:val="es-ES_tradnl"/>
        </w:rPr>
      </w:pPr>
      <w:r>
        <w:rPr>
          <w:rStyle w:val="Refdenotaalpie"/>
        </w:rPr>
        <w:footnoteRef/>
      </w:r>
      <w:r>
        <w:t xml:space="preserve"> </w:t>
      </w:r>
      <w:r>
        <w:rPr>
          <w:lang w:val="es-ES_tradnl"/>
        </w:rPr>
        <w:t xml:space="preserve">Corte Constitucional, Sentencia C-507 de 2020.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352FEA"/>
    <w:multiLevelType w:val="multilevel"/>
    <w:tmpl w:val="1BE0AB84"/>
    <w:lvl w:ilvl="0">
      <w:start w:val="1"/>
      <w:numFmt w:val="decimal"/>
      <w:lvlText w:val="%1."/>
      <w:lvlJc w:val="left"/>
      <w:pPr>
        <w:ind w:left="360" w:hanging="360"/>
      </w:pPr>
      <w:rPr>
        <w:rFonts w:hint="default"/>
        <w:b/>
        <w:bCs/>
        <w:i w:val="0"/>
        <w:iCs w:val="0"/>
        <w:sz w:val="28"/>
        <w:szCs w:val="28"/>
        <w:lang w:val="es-CO"/>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0328D3"/>
    <w:rsid w:val="000328D3"/>
    <w:rsid w:val="00A60729"/>
    <w:rsid w:val="00EC4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184AE88B-6D0D-4CCA-8276-E0C77E71E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11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111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111D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111D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111D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111D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111D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111D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111D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111D9"/>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111D9"/>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111D9"/>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111D9"/>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111D9"/>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111D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111D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111D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111D9"/>
    <w:rPr>
      <w:rFonts w:eastAsiaTheme="majorEastAsia" w:cstheme="majorBidi"/>
      <w:color w:val="272727" w:themeColor="text1" w:themeTint="D8"/>
    </w:rPr>
  </w:style>
  <w:style w:type="paragraph" w:styleId="Ttulo">
    <w:name w:val="Title"/>
    <w:basedOn w:val="Normal"/>
    <w:next w:val="Normal"/>
    <w:link w:val="TtuloCar"/>
    <w:uiPriority w:val="10"/>
    <w:qFormat/>
    <w:rsid w:val="007111D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111D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111D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111D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111D9"/>
    <w:pPr>
      <w:spacing w:before="160"/>
      <w:jc w:val="center"/>
    </w:pPr>
    <w:rPr>
      <w:i/>
      <w:iCs/>
      <w:color w:val="404040" w:themeColor="text1" w:themeTint="BF"/>
    </w:rPr>
  </w:style>
  <w:style w:type="character" w:customStyle="1" w:styleId="CitaCar">
    <w:name w:val="Cita Car"/>
    <w:basedOn w:val="Fuentedeprrafopredeter"/>
    <w:link w:val="Cita"/>
    <w:uiPriority w:val="29"/>
    <w:rsid w:val="007111D9"/>
    <w:rPr>
      <w:i/>
      <w:iCs/>
      <w:color w:val="404040" w:themeColor="text1" w:themeTint="BF"/>
    </w:rPr>
  </w:style>
  <w:style w:type="paragraph" w:styleId="Prrafodelista">
    <w:name w:val="List Paragraph"/>
    <w:aliases w:val="Colorful List - Accent 11,Ha,List Paragraph1,lp1"/>
    <w:basedOn w:val="Normal"/>
    <w:link w:val="PrrafodelistaCar"/>
    <w:uiPriority w:val="34"/>
    <w:qFormat/>
    <w:rsid w:val="007111D9"/>
    <w:pPr>
      <w:ind w:left="720"/>
      <w:contextualSpacing/>
    </w:pPr>
  </w:style>
  <w:style w:type="character" w:styleId="nfasisintenso">
    <w:name w:val="Intense Emphasis"/>
    <w:basedOn w:val="Fuentedeprrafopredeter"/>
    <w:uiPriority w:val="21"/>
    <w:qFormat/>
    <w:rsid w:val="007111D9"/>
    <w:rPr>
      <w:i/>
      <w:iCs/>
      <w:color w:val="2F5496" w:themeColor="accent1" w:themeShade="BF"/>
    </w:rPr>
  </w:style>
  <w:style w:type="paragraph" w:styleId="Citadestacada">
    <w:name w:val="Intense Quote"/>
    <w:basedOn w:val="Normal"/>
    <w:next w:val="Normal"/>
    <w:link w:val="CitadestacadaCar"/>
    <w:uiPriority w:val="30"/>
    <w:qFormat/>
    <w:rsid w:val="007111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111D9"/>
    <w:rPr>
      <w:i/>
      <w:iCs/>
      <w:color w:val="2F5496" w:themeColor="accent1" w:themeShade="BF"/>
    </w:rPr>
  </w:style>
  <w:style w:type="character" w:styleId="Referenciaintensa">
    <w:name w:val="Intense Reference"/>
    <w:basedOn w:val="Fuentedeprrafopredeter"/>
    <w:uiPriority w:val="32"/>
    <w:qFormat/>
    <w:rsid w:val="007111D9"/>
    <w:rPr>
      <w:b/>
      <w:bCs/>
      <w:smallCaps/>
      <w:color w:val="2F5496" w:themeColor="accent1" w:themeShade="BF"/>
      <w:spacing w:val="5"/>
    </w:rPr>
  </w:style>
  <w:style w:type="character" w:customStyle="1" w:styleId="PrrafodelistaCar">
    <w:name w:val="Párrafo de lista Car"/>
    <w:aliases w:val="Colorful List - Accent 11 Car,Ha Car,List Paragraph1 Car,lp1 Car"/>
    <w:link w:val="Prrafodelista"/>
    <w:uiPriority w:val="34"/>
    <w:locked/>
    <w:rsid w:val="007111D9"/>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Footnote Text Cha"/>
    <w:basedOn w:val="Normal"/>
    <w:link w:val="TextonotapieCar"/>
    <w:uiPriority w:val="99"/>
    <w:unhideWhenUsed/>
    <w:qFormat/>
    <w:rsid w:val="007111D9"/>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
    <w:basedOn w:val="Fuentedeprrafopredeter"/>
    <w:link w:val="Textonotapie"/>
    <w:uiPriority w:val="99"/>
    <w:qFormat/>
    <w:rsid w:val="007111D9"/>
    <w:rPr>
      <w:rFonts w:ascii="Times New Roman" w:eastAsia="Times New Roman" w:hAnsi="Times New Roman" w:cs="Times New Roman"/>
      <w:kern w:val="0"/>
      <w:sz w:val="20"/>
      <w:szCs w:val="20"/>
      <w:lang w:eastAsia="es-MX"/>
    </w:rPr>
  </w:style>
  <w:style w:type="character" w:styleId="Refdenotaalpie">
    <w:name w:val="footnote reference"/>
    <w:aliases w:val="Texto de nota al pie,referencia nota al pie,Footnotes refss,Ref. de nota al pie 2,Fago Fußnotenzeichen,Appel note de bas de page,Texto nota pie Car2,Footnote Text Char Char Char Char Char Car1,Footnote Text Char Char Char Char Car1,f"/>
    <w:basedOn w:val="Fuentedeprrafopredeter"/>
    <w:link w:val="4GChar"/>
    <w:uiPriority w:val="99"/>
    <w:unhideWhenUsed/>
    <w:qFormat/>
    <w:rsid w:val="007111D9"/>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7111D9"/>
    <w:pPr>
      <w:jc w:val="both"/>
    </w:pPr>
    <w:rPr>
      <w:rFonts w:eastAsiaTheme="minorHAnsi"/>
      <w:kern w:val="2"/>
      <w:vertAlign w:val="superscript"/>
      <w:lang w:eastAsia="en-US"/>
    </w:rPr>
  </w:style>
  <w:style w:type="paragraph" w:styleId="Encabezado">
    <w:name w:val="header"/>
    <w:basedOn w:val="Normal"/>
    <w:link w:val="EncabezadoCar"/>
    <w:uiPriority w:val="99"/>
    <w:unhideWhenUsed/>
    <w:rsid w:val="007111D9"/>
    <w:pPr>
      <w:tabs>
        <w:tab w:val="center" w:pos="4680"/>
        <w:tab w:val="right" w:pos="9360"/>
      </w:tabs>
    </w:pPr>
  </w:style>
  <w:style w:type="character" w:customStyle="1" w:styleId="EncabezadoCar">
    <w:name w:val="Encabezado Car"/>
    <w:basedOn w:val="Fuentedeprrafopredeter"/>
    <w:link w:val="Encabezado"/>
    <w:uiPriority w:val="99"/>
    <w:rsid w:val="007111D9"/>
    <w:rPr>
      <w:rFonts w:ascii="Times New Roman" w:eastAsia="Times New Roman" w:hAnsi="Times New Roman" w:cs="Times New Roman"/>
      <w:kern w:val="0"/>
      <w:lang w:eastAsia="es-MX"/>
    </w:rPr>
  </w:style>
  <w:style w:type="paragraph" w:styleId="Piedepgina">
    <w:name w:val="footer"/>
    <w:basedOn w:val="Normal"/>
    <w:link w:val="PiedepginaCar"/>
    <w:uiPriority w:val="99"/>
    <w:unhideWhenUsed/>
    <w:rsid w:val="007111D9"/>
    <w:pPr>
      <w:tabs>
        <w:tab w:val="center" w:pos="4680"/>
        <w:tab w:val="right" w:pos="9360"/>
      </w:tabs>
    </w:pPr>
  </w:style>
  <w:style w:type="character" w:customStyle="1" w:styleId="PiedepginaCar">
    <w:name w:val="Pie de página Car"/>
    <w:basedOn w:val="Fuentedeprrafopredeter"/>
    <w:link w:val="Piedepgina"/>
    <w:uiPriority w:val="99"/>
    <w:rsid w:val="007111D9"/>
    <w:rPr>
      <w:rFonts w:ascii="Times New Roman" w:eastAsia="Times New Roman" w:hAnsi="Times New Roman" w:cs="Times New Roman"/>
      <w:kern w:val="0"/>
      <w:lang w:eastAsia="es-MX"/>
    </w:rPr>
  </w:style>
  <w:style w:type="paragraph" w:customStyle="1" w:styleId="Sinespaciado1">
    <w:name w:val="Sin espaciado1"/>
    <w:rsid w:val="007111D9"/>
    <w:pPr>
      <w:overflowPunct w:val="0"/>
      <w:autoSpaceDE w:val="0"/>
      <w:autoSpaceDN w:val="0"/>
      <w:adjustRightInd w:val="0"/>
      <w:spacing w:after="0" w:line="240" w:lineRule="auto"/>
      <w:textAlignment w:val="baseline"/>
    </w:pPr>
    <w:rPr>
      <w:rFonts w:ascii="Times New Roman" w:eastAsia="Calibri" w:hAnsi="Times New Roman" w:cs="Times New Roman"/>
      <w:lang w:val="es-ES_tradnl" w:eastAsia="es-ES"/>
    </w:rPr>
  </w:style>
  <w:style w:type="paragraph" w:customStyle="1" w:styleId="TimesNewRoman">
    <w:name w:val="Times New Roman"/>
    <w:basedOn w:val="Normal"/>
    <w:rsid w:val="007111D9"/>
    <w:pPr>
      <w:jc w:val="center"/>
    </w:pPr>
    <w:rPr>
      <w:rFonts w:ascii="Arial" w:hAnsi="Arial"/>
      <w:b/>
      <w:sz w:val="28"/>
      <w:szCs w:val="20"/>
      <w:lang w:val="es-ES_tradnl" w:eastAsia="es-ES"/>
    </w:rPr>
  </w:style>
  <w:style w:type="character" w:customStyle="1" w:styleId="baj">
    <w:name w:val="b_aj"/>
    <w:basedOn w:val="Fuentedeprrafopredeter"/>
    <w:rsid w:val="007111D9"/>
  </w:style>
  <w:style w:type="paragraph" w:styleId="Sinespaciado">
    <w:name w:val="No Spacing"/>
    <w:uiPriority w:val="1"/>
    <w:qFormat/>
    <w:rsid w:val="007111D9"/>
    <w:pPr>
      <w:spacing w:after="0" w:line="240" w:lineRule="auto"/>
    </w:pPr>
  </w:style>
  <w:style w:type="paragraph" w:styleId="Textoindependiente">
    <w:name w:val="Body Text"/>
    <w:basedOn w:val="Normal"/>
    <w:link w:val="TextoindependienteCar"/>
    <w:uiPriority w:val="1"/>
    <w:qFormat/>
    <w:rsid w:val="007111D9"/>
    <w:pPr>
      <w:widowControl w:val="0"/>
      <w:autoSpaceDE w:val="0"/>
      <w:autoSpaceDN w:val="0"/>
    </w:pPr>
    <w:rPr>
      <w:sz w:val="28"/>
      <w:szCs w:val="28"/>
      <w:lang w:val="es-ES" w:eastAsia="en-US"/>
    </w:rPr>
  </w:style>
  <w:style w:type="character" w:customStyle="1" w:styleId="TextoindependienteCar">
    <w:name w:val="Texto independiente Car"/>
    <w:basedOn w:val="Fuentedeprrafopredeter"/>
    <w:link w:val="Textoindependiente"/>
    <w:uiPriority w:val="1"/>
    <w:rsid w:val="007111D9"/>
    <w:rPr>
      <w:rFonts w:ascii="Times New Roman" w:eastAsia="Times New Roman" w:hAnsi="Times New Roman" w:cs="Times New Roman"/>
      <w:kern w:val="0"/>
      <w:sz w:val="28"/>
      <w:szCs w:val="28"/>
      <w:lang w:val="es-ES"/>
    </w:rPr>
  </w:style>
  <w:style w:type="character" w:customStyle="1" w:styleId="apple-converted-space">
    <w:name w:val="apple-converted-space"/>
    <w:basedOn w:val="Fuentedeprrafopredeter"/>
    <w:rsid w:val="00B401E5"/>
  </w:style>
  <w:style w:type="table" w:styleId="Tablaconcuadrcula">
    <w:name w:val="Table Grid"/>
    <w:basedOn w:val="Tablanormal"/>
    <w:uiPriority w:val="39"/>
    <w:rsid w:val="00B603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F3FDE"/>
    <w:pPr>
      <w:spacing w:before="100" w:beforeAutospacing="1" w:after="100" w:afterAutospacing="1"/>
    </w:pPr>
  </w:style>
  <w:style w:type="character" w:styleId="Hipervnculo">
    <w:name w:val="Hyperlink"/>
    <w:basedOn w:val="Fuentedeprrafopredeter"/>
    <w:uiPriority w:val="99"/>
    <w:semiHidden/>
    <w:unhideWhenUsed/>
    <w:rsid w:val="0017491A"/>
    <w:rPr>
      <w:color w:val="0000FF"/>
      <w:u w:val="single"/>
    </w:rPr>
  </w:style>
  <w:style w:type="character" w:styleId="Textoennegrita">
    <w:name w:val="Strong"/>
    <w:basedOn w:val="Fuentedeprrafopredeter"/>
    <w:uiPriority w:val="22"/>
    <w:qFormat/>
    <w:rsid w:val="0091055E"/>
    <w:rPr>
      <w:b/>
      <w:bCs/>
    </w:rPr>
  </w:style>
  <w:style w:type="character" w:customStyle="1" w:styleId="iaj">
    <w:name w:val="i_aj"/>
    <w:basedOn w:val="Fuentedeprrafopredeter"/>
    <w:rsid w:val="003120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secretariasenado.gov.co/senado/basedoc/ley_1564_2012_pr004.html" TargetMode="External"/><Relationship Id="rId1" Type="http://schemas.openxmlformats.org/officeDocument/2006/relationships/hyperlink" Target="http://www.secretariasenado.gov.co/senado/basedoc/ley_1306_2009.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18133</Words>
  <Characters>99737</Characters>
  <Application>Microsoft Office Word</Application>
  <DocSecurity>0</DocSecurity>
  <Lines>831</Lines>
  <Paragraphs>235</Paragraphs>
  <ScaleCrop>false</ScaleCrop>
  <Company/>
  <LinksUpToDate>false</LinksUpToDate>
  <CharactersWithSpaces>117635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2026-04-28T15:02:00Z</dcterms:created>
  <dcterms:modified xsi:type="dcterms:W3CDTF">2026-04-28T15:02:00Z</dcterms:modified>
</cp:coreProperties>
</file>