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7B22" w:rsidRPr="00152C0F" w:rsidRDefault="0019230A">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152C0F">
        <w:rPr>
          <w:rFonts w:ascii="Times New Roman" w:hAnsi="Times New Roman" w:cs="Times New Roman"/>
          <w:sz w:val="28"/>
          <w:szCs w:val="24"/>
        </w:rPr>
        <w:t xml:space="preserve"> </w:t>
      </w:r>
    </w:p>
    <w:p w:rsidR="00F97B22" w:rsidRPr="00152C0F" w:rsidRDefault="00F97B22">
      <w:pPr>
        <w:widowControl w:val="0"/>
        <w:autoSpaceDE w:val="0"/>
        <w:autoSpaceDN w:val="0"/>
        <w:adjustRightInd w:val="0"/>
        <w:spacing w:after="0" w:line="240" w:lineRule="auto"/>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center"/>
        <w:rPr>
          <w:rFonts w:ascii="Times New Roman" w:hAnsi="Times New Roman" w:cs="Times New Roman"/>
          <w:b/>
          <w:bCs/>
          <w:sz w:val="28"/>
          <w:szCs w:val="28"/>
        </w:rPr>
      </w:pPr>
      <w:r w:rsidRPr="00152C0F">
        <w:rPr>
          <w:rFonts w:ascii="Times New Roman" w:hAnsi="Times New Roman" w:cs="Times New Roman"/>
          <w:b/>
          <w:bCs/>
          <w:sz w:val="28"/>
          <w:szCs w:val="28"/>
        </w:rPr>
        <w:t xml:space="preserve">TEMAS-SUBTEMAS </w:t>
      </w:r>
    </w:p>
    <w:p w:rsidR="00F97B22" w:rsidRPr="00152C0F" w:rsidRDefault="00F97B22">
      <w:pPr>
        <w:widowControl w:val="0"/>
        <w:autoSpaceDE w:val="0"/>
        <w:autoSpaceDN w:val="0"/>
        <w:adjustRightInd w:val="0"/>
        <w:spacing w:after="0" w:line="240" w:lineRule="auto"/>
        <w:jc w:val="center"/>
        <w:rPr>
          <w:rFonts w:ascii="Times New Roman" w:hAnsi="Times New Roman" w:cs="Times New Roman"/>
          <w:b/>
          <w:bCs/>
          <w:sz w:val="28"/>
          <w:szCs w:val="28"/>
        </w:rPr>
      </w:pPr>
    </w:p>
    <w:p w:rsidR="00F97B22" w:rsidRPr="00152C0F" w:rsidRDefault="0019230A">
      <w:pPr>
        <w:widowControl w:val="0"/>
        <w:autoSpaceDE w:val="0"/>
        <w:autoSpaceDN w:val="0"/>
        <w:adjustRightInd w:val="0"/>
        <w:spacing w:after="0" w:line="240" w:lineRule="auto"/>
        <w:jc w:val="center"/>
        <w:rPr>
          <w:rFonts w:ascii="Times New Roman" w:hAnsi="Times New Roman" w:cs="Times New Roman"/>
          <w:sz w:val="28"/>
          <w:szCs w:val="28"/>
        </w:rPr>
      </w:pPr>
      <w:r w:rsidRPr="00152C0F">
        <w:rPr>
          <w:rFonts w:ascii="Times New Roman" w:hAnsi="Times New Roman" w:cs="Times New Roman"/>
          <w:b/>
          <w:bCs/>
          <w:sz w:val="28"/>
          <w:szCs w:val="28"/>
        </w:rPr>
        <w:t xml:space="preserve">Sentencia C-430/24 </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PRINCIPIO DE UNIDAD DE MATERIA EN LEY DEL PLAN NACIONAL DE DESARROLLO</w:t>
      </w:r>
      <w:r w:rsidRPr="00152C0F">
        <w:rPr>
          <w:rFonts w:ascii="Times New Roman" w:hAnsi="Times New Roman" w:cs="Times New Roman"/>
          <w:sz w:val="28"/>
          <w:szCs w:val="28"/>
        </w:rPr>
        <w:t>-Vulneración por norma que introduce cambios estructurales y permanentes al régimen de extinción de dominio</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i/>
          <w:iCs/>
          <w:sz w:val="28"/>
          <w:szCs w:val="28"/>
        </w:rPr>
        <w:t>Las disposiciones son inconstitucionales por violar el principio de unidad de materia, ya que, si bien se trata de disposiciones formalmente instrumentales, no corresponden en estricto sentido a medidas instrumentales, si se valora su contenido sustantivo; introducen modificaciones estructurales y permanentes al régimen de extinción de dominio, sin que se puede acreditar una relación de conexidad directa e inmediata con las estrategias y políticas previstas en la parte general, ni con los programas y proyectos del plan de inversiones, y, finalmente, no se trata de medios de planificación ni son indispensables para impulsar la ejecución del plan nacional de desarrollo.</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PRINCIPIO DE UNIDAD DE MATERIA EN LEY DEL PLAN NACIONAL DE DESARROLLO</w:t>
      </w:r>
      <w:r w:rsidRPr="00152C0F">
        <w:rPr>
          <w:rFonts w:ascii="Times New Roman" w:hAnsi="Times New Roman" w:cs="Times New Roman"/>
          <w:sz w:val="28"/>
          <w:szCs w:val="28"/>
        </w:rPr>
        <w:t xml:space="preserve">-Inexistencia de conexidad directa </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PRINCIPIO DE UNIDAD DE MATERIA EN LEY DEL PLAN NACIONAL DE DESARROLLO</w:t>
      </w:r>
      <w:r w:rsidRPr="00152C0F">
        <w:rPr>
          <w:rFonts w:ascii="Times New Roman" w:hAnsi="Times New Roman" w:cs="Times New Roman"/>
          <w:sz w:val="28"/>
          <w:szCs w:val="28"/>
        </w:rPr>
        <w:t>-Se vulnera al despojar al Congreso de la República de su función natural, ordinaria y permanente</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i/>
          <w:iCs/>
          <w:sz w:val="28"/>
          <w:szCs w:val="28"/>
        </w:rPr>
        <w:t>Las disposiciones demandadas, al introducir modificaciones permanentes al régimen de extinción de dominio en una ley temporal, sin una finalidad planificadora, evaden el debate legislativo ordinario, necesario para la aprobación de cambios de tal intensidad, lo cual reduce la capacidad del Congreso de la República para deliberar sobre políticas de largo plazo.</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PLAN NACIONAL DE DESARROLLO</w:t>
      </w:r>
      <w:r w:rsidRPr="00152C0F">
        <w:rPr>
          <w:rFonts w:ascii="Times New Roman" w:hAnsi="Times New Roman" w:cs="Times New Roman"/>
          <w:sz w:val="28"/>
          <w:szCs w:val="28"/>
        </w:rPr>
        <w:t xml:space="preserve">-Parte general y plan de inversiones públicas </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LEY DEL PLAN NACIONAL DE DESARROLLO</w:t>
      </w:r>
      <w:r w:rsidRPr="00152C0F">
        <w:rPr>
          <w:rFonts w:ascii="Times New Roman" w:hAnsi="Times New Roman" w:cs="Times New Roman"/>
          <w:sz w:val="28"/>
          <w:szCs w:val="28"/>
        </w:rPr>
        <w:t xml:space="preserve">-Elaboración y trámite </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LEY DEL PLAN NACIONAL DE DESARROLLO</w:t>
      </w:r>
      <w:r w:rsidRPr="00152C0F">
        <w:rPr>
          <w:rFonts w:ascii="Times New Roman" w:hAnsi="Times New Roman" w:cs="Times New Roman"/>
          <w:sz w:val="28"/>
          <w:szCs w:val="28"/>
        </w:rPr>
        <w:t xml:space="preserve">-Características y contenido específicos </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PRINCIPIO DE UNIDAD DE MATERIA EN LEY APROBATORIA DEL PLAN NACIONAL DE DESARROLLO</w:t>
      </w:r>
      <w:r w:rsidRPr="00152C0F">
        <w:rPr>
          <w:rFonts w:ascii="Times New Roman" w:hAnsi="Times New Roman" w:cs="Times New Roman"/>
          <w:sz w:val="28"/>
          <w:szCs w:val="28"/>
        </w:rPr>
        <w:t xml:space="preserve">-Alcance </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PRINCIPIO DE UNIDAD DE MATERIA APLICADO EN LEY DEL PLAN NACIONAL DE DESARROLLO</w:t>
      </w:r>
      <w:r w:rsidRPr="00152C0F">
        <w:rPr>
          <w:rFonts w:ascii="Times New Roman" w:hAnsi="Times New Roman" w:cs="Times New Roman"/>
          <w:sz w:val="28"/>
          <w:szCs w:val="28"/>
        </w:rPr>
        <w:t xml:space="preserve">-Reglas jurisprudenciales </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PRINCIPIO DE UNIDAD DE MATERIA</w:t>
      </w:r>
      <w:r w:rsidRPr="00152C0F">
        <w:rPr>
          <w:rFonts w:ascii="Times New Roman" w:hAnsi="Times New Roman" w:cs="Times New Roman"/>
          <w:sz w:val="28"/>
          <w:szCs w:val="28"/>
        </w:rPr>
        <w:t>-Requisito de temporalidad</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i/>
          <w:iCs/>
          <w:sz w:val="28"/>
          <w:szCs w:val="28"/>
        </w:rPr>
        <w:t>(...) las medidas que se incorporan al plan y a su ley aprobatoria deben corresponder a procedimientos y mecanismos para alcanzar las metas de mediano y largo plazo de la acción estatal, a la apropiación de recursos para la ejecución del plan y a medidas para impulsar el cumplimiento tanto de la parte general como del plan de inversiones. Por tal razón las disposiciones que introducen regulaciones o modificaciones permanentes o estructurales con una vigencia superior al respectivo periodo cuatrienal de gobierno son, en principio, incompatibles con la naturaleza planificadora y temporal del plan y de su ley aprobatoria. Sin embargo, tal tipo de disposiciones, podrían entenderse compatibles con el principio constitucional de unidad de materia solo si cumplen las siguientes exigencias: (i) tienen carácter instrumental, en el sentido de que se trata de procedimientos, mecanismos, medidas para impulsar el cumplimiento del plan, o de apropiación de los recursos necesarios para su ejecución; (ii) tienen por objeto planificar la acción gubernamental, y (iii) guardan conexidad estrecha, directa e inmediata con las estrategias y políticas que orientan la acción del gobierno para alcanzar en el respectivo cuatrienio los objetivos y metas de la acción estatal de mediano y largo plazo señalados en la parte general, o con los programas y proyectos señalados en el plan de inversiones.</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CONTROL DE CONSTITUCIONALIDAD POR UNIDAD DE MATERIA EN LEY DEL PLAN NACIONAL DE DESARROLLO</w:t>
      </w:r>
      <w:r w:rsidRPr="00152C0F">
        <w:rPr>
          <w:rFonts w:ascii="Times New Roman" w:hAnsi="Times New Roman" w:cs="Times New Roman"/>
          <w:sz w:val="28"/>
          <w:szCs w:val="28"/>
        </w:rPr>
        <w:t xml:space="preserve">-Carácter más estricto </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CONTROL DE CONSTITUCIONALIDAD POR VULNERACION DEL PRINCIPIO DE UNIDAD DE MATERIA</w:t>
      </w:r>
      <w:r w:rsidRPr="00152C0F">
        <w:rPr>
          <w:rFonts w:ascii="Times New Roman" w:hAnsi="Times New Roman" w:cs="Times New Roman"/>
          <w:sz w:val="28"/>
          <w:szCs w:val="28"/>
        </w:rPr>
        <w:t>-Metodología</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i/>
          <w:iCs/>
          <w:sz w:val="28"/>
          <w:szCs w:val="28"/>
        </w:rPr>
        <w:t>La metodología general para valorar la compatibilidad de las medidas contenidas en la ley aprobatoria del plan nacional de desarrollo con el principio constitucional de unidad de materia exige verificar tres condiciones sucesivas. En caso de que alguna de estas no se acredite, se debe declarar la inexequibilidad de la medida de que se trate. En primer lugar, “se debe determinar la ubicación y alcance de las normas demandadas”, con la finalidad de establecer, prima facie, si es una disposición instrumental; en segundo lugar, se debe definir si las disposiciones acusadas pueden relacionarse con la parte general del plan y, en tercer lugar, se ha de constatar que exista conexidad estrecha, directa e inmediata entre las normas cuestionadas y los contenidos de la parte general del plan.</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SENTENCIA DE INEXEQUIBILIDAD</w:t>
      </w:r>
      <w:r w:rsidRPr="00152C0F">
        <w:rPr>
          <w:rFonts w:ascii="Times New Roman" w:hAnsi="Times New Roman" w:cs="Times New Roman"/>
          <w:sz w:val="28"/>
          <w:szCs w:val="28"/>
        </w:rPr>
        <w:t xml:space="preserve">-Modulación de efectos temporales </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9230A">
      <w:pPr>
        <w:widowControl w:val="0"/>
        <w:autoSpaceDE w:val="0"/>
        <w:autoSpaceDN w:val="0"/>
        <w:adjustRightInd w:val="0"/>
        <w:spacing w:after="0" w:line="240" w:lineRule="auto"/>
        <w:jc w:val="both"/>
        <w:rPr>
          <w:rFonts w:ascii="Times New Roman" w:hAnsi="Times New Roman" w:cs="Times New Roman"/>
          <w:sz w:val="28"/>
          <w:szCs w:val="28"/>
        </w:rPr>
      </w:pPr>
      <w:r w:rsidRPr="00152C0F">
        <w:rPr>
          <w:rFonts w:ascii="Times New Roman" w:hAnsi="Times New Roman" w:cs="Times New Roman"/>
          <w:b/>
          <w:bCs/>
          <w:sz w:val="28"/>
          <w:szCs w:val="28"/>
        </w:rPr>
        <w:t>SENTENCIA DE INEXEQUIBILIDAD DIFERIDA</w:t>
      </w:r>
      <w:r w:rsidRPr="00152C0F">
        <w:rPr>
          <w:rFonts w:ascii="Times New Roman" w:hAnsi="Times New Roman" w:cs="Times New Roman"/>
          <w:sz w:val="28"/>
          <w:szCs w:val="28"/>
        </w:rPr>
        <w:t xml:space="preserve">-Aplicación </w:t>
      </w:r>
    </w:p>
    <w:p w:rsidR="00F97B22" w:rsidRPr="00152C0F" w:rsidRDefault="00F97B22">
      <w:pPr>
        <w:widowControl w:val="0"/>
        <w:autoSpaceDE w:val="0"/>
        <w:autoSpaceDN w:val="0"/>
        <w:adjustRightInd w:val="0"/>
        <w:spacing w:after="0" w:line="240" w:lineRule="auto"/>
        <w:jc w:val="both"/>
        <w:rPr>
          <w:rFonts w:ascii="Times New Roman" w:hAnsi="Times New Roman" w:cs="Times New Roman"/>
          <w:sz w:val="28"/>
          <w:szCs w:val="28"/>
        </w:rPr>
      </w:pPr>
    </w:p>
    <w:p w:rsidR="00F97B22" w:rsidRPr="00152C0F" w:rsidRDefault="00152C0F">
      <w:pPr>
        <w:widowControl w:val="0"/>
        <w:autoSpaceDE w:val="0"/>
        <w:autoSpaceDN w:val="0"/>
        <w:adjustRightInd w:val="0"/>
        <w:spacing w:after="0" w:line="240" w:lineRule="auto"/>
        <w:jc w:val="both"/>
        <w:rPr>
          <w:rFonts w:ascii="Times New Roman" w:hAnsi="Times New Roman" w:cs="Times New Roman"/>
          <w:sz w:val="28"/>
        </w:rPr>
      </w:pPr>
      <w:r w:rsidRPr="00152C0F">
        <w:rPr>
          <w:rFonts w:ascii="Times New Roman" w:hAnsi="Times New Roman" w:cs="Times New Roman"/>
          <w:sz w:val="28"/>
          <w:szCs w:val="28"/>
        </w:rPr>
        <w:pict>
          <v:rect id="_x0000_i1025" style="width:0;height:1.5pt" o:hralign="center" o:hrstd="t" o:hr="t" fillcolor="#a0a0a0" stroked="f"/>
        </w:pict>
      </w:r>
    </w:p>
    <w:p w:rsidR="00CA505F" w:rsidRPr="00152C0F" w:rsidRDefault="00152C0F" w:rsidP="00A553C9">
      <w:pPr>
        <w:ind w:right="49"/>
        <w:jc w:val="center"/>
        <w:rPr>
          <w:rFonts w:ascii="Times New Roman" w:hAnsi="Times New Roman" w:cs="Times New Roman"/>
          <w:b/>
          <w:sz w:val="28"/>
          <w:szCs w:val="28"/>
          <w:lang w:eastAsia="es-ES"/>
        </w:rPr>
      </w:pPr>
      <w:r w:rsidRPr="00152C0F">
        <w:rPr>
          <w:rFonts w:ascii="Times New Roman" w:hAnsi="Times New Roman" w:cs="Times New Roman"/>
          <w:b/>
          <w:sz w:val="28"/>
          <w:szCs w:val="28"/>
          <w:lang w:eastAsia="es-ES"/>
        </w:rPr>
        <w:t>REPÚBLICA DE COLOMBIA</w:t>
      </w:r>
    </w:p>
    <w:p w:rsidR="00CA505F" w:rsidRPr="00152C0F" w:rsidRDefault="00152C0F" w:rsidP="00A553C9">
      <w:pPr>
        <w:ind w:right="11"/>
        <w:jc w:val="center"/>
        <w:rPr>
          <w:rFonts w:ascii="Times New Roman" w:hAnsi="Times New Roman" w:cs="Times New Roman"/>
          <w:b/>
          <w:sz w:val="28"/>
          <w:szCs w:val="28"/>
        </w:rPr>
      </w:pPr>
      <w:r w:rsidRPr="00152C0F">
        <w:rPr>
          <w:rFonts w:ascii="Times New Roman" w:hAnsi="Times New Roman" w:cs="Times New Roman"/>
          <w:b/>
          <w:noProof/>
          <w:sz w:val="28"/>
          <w:szCs w:val="28"/>
        </w:rPr>
        <w:drawing>
          <wp:inline distT="0" distB="0" distL="0" distR="0" wp14:anchorId="5ED1C6DA" wp14:editId="30C67236">
            <wp:extent cx="792000" cy="792000"/>
            <wp:effectExtent l="0" t="0" r="8255" b="8255"/>
            <wp:docPr id="1"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a:blip r:embed="rId7"/>
                    <a:stretch>
                      <a:fillRect/>
                    </a:stretch>
                  </pic:blipFill>
                  <pic:spPr>
                    <a:xfrm>
                      <a:off x="0" y="0"/>
                      <a:ext cx="792000" cy="792000"/>
                    </a:xfrm>
                    <a:prstGeom prst="rect">
                      <a:avLst/>
                    </a:prstGeom>
                  </pic:spPr>
                </pic:pic>
              </a:graphicData>
            </a:graphic>
          </wp:inline>
        </w:drawing>
      </w:r>
    </w:p>
    <w:p w:rsidR="00CA505F" w:rsidRPr="00152C0F" w:rsidRDefault="00152C0F" w:rsidP="00A553C9">
      <w:pPr>
        <w:ind w:right="11"/>
        <w:jc w:val="center"/>
        <w:rPr>
          <w:rFonts w:ascii="Times New Roman" w:hAnsi="Times New Roman" w:cs="Times New Roman"/>
          <w:b/>
          <w:sz w:val="28"/>
          <w:szCs w:val="28"/>
        </w:rPr>
      </w:pPr>
      <w:r w:rsidRPr="00152C0F">
        <w:rPr>
          <w:rFonts w:ascii="Times New Roman" w:hAnsi="Times New Roman" w:cs="Times New Roman"/>
          <w:b/>
          <w:sz w:val="28"/>
          <w:szCs w:val="28"/>
        </w:rPr>
        <w:t>CORTE CONSTITUCIONAL</w:t>
      </w:r>
    </w:p>
    <w:p w:rsidR="00CA505F" w:rsidRPr="00152C0F" w:rsidRDefault="00152C0F" w:rsidP="00A553C9">
      <w:pPr>
        <w:ind w:right="11"/>
        <w:jc w:val="center"/>
        <w:rPr>
          <w:rFonts w:ascii="Times New Roman" w:hAnsi="Times New Roman" w:cs="Times New Roman"/>
          <w:b/>
          <w:sz w:val="28"/>
          <w:szCs w:val="28"/>
        </w:rPr>
      </w:pPr>
      <w:r w:rsidRPr="00152C0F">
        <w:rPr>
          <w:rFonts w:ascii="Times New Roman" w:hAnsi="Times New Roman" w:cs="Times New Roman"/>
          <w:b/>
          <w:sz w:val="28"/>
          <w:szCs w:val="28"/>
        </w:rPr>
        <w:t>Sala Plena</w:t>
      </w:r>
    </w:p>
    <w:p w:rsidR="00601841" w:rsidRPr="00152C0F" w:rsidRDefault="00152C0F" w:rsidP="00A553C9">
      <w:pPr>
        <w:ind w:right="11"/>
        <w:jc w:val="center"/>
        <w:rPr>
          <w:rFonts w:ascii="Times New Roman" w:hAnsi="Times New Roman" w:cs="Times New Roman"/>
          <w:b/>
          <w:sz w:val="28"/>
          <w:szCs w:val="28"/>
        </w:rPr>
      </w:pPr>
    </w:p>
    <w:p w:rsidR="00601841" w:rsidRPr="00152C0F" w:rsidRDefault="00152C0F" w:rsidP="00A553C9">
      <w:pPr>
        <w:ind w:right="11"/>
        <w:jc w:val="center"/>
        <w:rPr>
          <w:rFonts w:ascii="Times New Roman" w:hAnsi="Times New Roman" w:cs="Times New Roman"/>
          <w:b/>
          <w:sz w:val="28"/>
          <w:szCs w:val="28"/>
        </w:rPr>
      </w:pPr>
      <w:r w:rsidRPr="00152C0F">
        <w:rPr>
          <w:rFonts w:ascii="Times New Roman" w:hAnsi="Times New Roman" w:cs="Times New Roman"/>
          <w:b/>
          <w:sz w:val="28"/>
          <w:szCs w:val="28"/>
        </w:rPr>
        <w:t>SENTENCIA C-</w:t>
      </w:r>
      <w:r w:rsidRPr="00152C0F">
        <w:rPr>
          <w:rFonts w:ascii="Times New Roman" w:hAnsi="Times New Roman" w:cs="Times New Roman"/>
          <w:b/>
          <w:sz w:val="28"/>
          <w:szCs w:val="28"/>
        </w:rPr>
        <w:t xml:space="preserve">430 </w:t>
      </w:r>
      <w:r w:rsidRPr="00152C0F">
        <w:rPr>
          <w:rFonts w:ascii="Times New Roman" w:hAnsi="Times New Roman" w:cs="Times New Roman"/>
          <w:b/>
          <w:sz w:val="28"/>
          <w:szCs w:val="28"/>
        </w:rPr>
        <w:t>de 202</w:t>
      </w:r>
      <w:r w:rsidRPr="00152C0F">
        <w:rPr>
          <w:rFonts w:ascii="Times New Roman" w:hAnsi="Times New Roman" w:cs="Times New Roman"/>
          <w:b/>
          <w:sz w:val="28"/>
          <w:szCs w:val="28"/>
        </w:rPr>
        <w:t>4</w:t>
      </w:r>
    </w:p>
    <w:p w:rsidR="006D4874" w:rsidRPr="00152C0F" w:rsidRDefault="00152C0F" w:rsidP="00A553C9">
      <w:pPr>
        <w:ind w:right="51"/>
        <w:jc w:val="both"/>
        <w:rPr>
          <w:rFonts w:ascii="Times New Roman" w:hAnsi="Times New Roman" w:cs="Times New Roman"/>
          <w:b/>
          <w:sz w:val="28"/>
          <w:szCs w:val="28"/>
        </w:rPr>
      </w:pPr>
    </w:p>
    <w:p w:rsidR="009B6FF4" w:rsidRPr="00152C0F" w:rsidRDefault="00152C0F" w:rsidP="00A553C9">
      <w:pPr>
        <w:ind w:right="51"/>
        <w:jc w:val="both"/>
        <w:rPr>
          <w:rFonts w:ascii="Times New Roman" w:hAnsi="Times New Roman" w:cs="Times New Roman"/>
          <w:b/>
          <w:sz w:val="28"/>
          <w:szCs w:val="28"/>
        </w:rPr>
      </w:pPr>
    </w:p>
    <w:p w:rsidR="006D4874" w:rsidRPr="00152C0F" w:rsidRDefault="00152C0F" w:rsidP="00A553C9">
      <w:pPr>
        <w:ind w:left="3828" w:right="51"/>
        <w:jc w:val="both"/>
        <w:rPr>
          <w:rFonts w:ascii="Times New Roman" w:hAnsi="Times New Roman" w:cs="Times New Roman"/>
          <w:sz w:val="28"/>
          <w:szCs w:val="28"/>
        </w:rPr>
      </w:pPr>
      <w:r w:rsidRPr="00152C0F">
        <w:rPr>
          <w:rFonts w:ascii="Times New Roman" w:hAnsi="Times New Roman" w:cs="Times New Roman"/>
          <w:b/>
          <w:bCs/>
          <w:sz w:val="28"/>
          <w:szCs w:val="28"/>
        </w:rPr>
        <w:t>Referencia</w:t>
      </w:r>
      <w:r w:rsidRPr="00152C0F">
        <w:rPr>
          <w:rFonts w:ascii="Times New Roman" w:hAnsi="Times New Roman" w:cs="Times New Roman"/>
          <w:sz w:val="28"/>
          <w:szCs w:val="28"/>
        </w:rPr>
        <w:t>: Expediente D-1</w:t>
      </w:r>
      <w:r w:rsidRPr="00152C0F">
        <w:rPr>
          <w:rFonts w:ascii="Times New Roman" w:hAnsi="Times New Roman" w:cs="Times New Roman"/>
          <w:sz w:val="28"/>
          <w:szCs w:val="28"/>
        </w:rPr>
        <w:t>5.</w:t>
      </w:r>
      <w:r w:rsidRPr="00152C0F">
        <w:rPr>
          <w:rFonts w:ascii="Times New Roman" w:hAnsi="Times New Roman" w:cs="Times New Roman"/>
          <w:sz w:val="28"/>
          <w:szCs w:val="28"/>
        </w:rPr>
        <w:t>682</w:t>
      </w:r>
    </w:p>
    <w:p w:rsidR="00AD0CAD" w:rsidRPr="00152C0F" w:rsidRDefault="00152C0F" w:rsidP="00A553C9">
      <w:pPr>
        <w:ind w:left="3828" w:right="51"/>
        <w:jc w:val="both"/>
        <w:rPr>
          <w:rFonts w:ascii="Times New Roman" w:hAnsi="Times New Roman" w:cs="Times New Roman"/>
          <w:sz w:val="28"/>
          <w:szCs w:val="28"/>
        </w:rPr>
      </w:pPr>
    </w:p>
    <w:p w:rsidR="006D4874" w:rsidRPr="00152C0F" w:rsidRDefault="00152C0F" w:rsidP="00A553C9">
      <w:pPr>
        <w:tabs>
          <w:tab w:val="left" w:pos="3969"/>
        </w:tabs>
        <w:ind w:left="3828" w:right="51"/>
        <w:jc w:val="both"/>
        <w:rPr>
          <w:rFonts w:ascii="Times New Roman" w:hAnsi="Times New Roman" w:cs="Times New Roman"/>
          <w:sz w:val="28"/>
          <w:szCs w:val="28"/>
          <w:lang w:val="es-ES_tradnl"/>
        </w:rPr>
      </w:pPr>
      <w:r w:rsidRPr="00152C0F">
        <w:rPr>
          <w:rFonts w:ascii="Times New Roman" w:hAnsi="Times New Roman" w:cs="Times New Roman"/>
          <w:b/>
          <w:bCs/>
          <w:sz w:val="28"/>
          <w:szCs w:val="28"/>
        </w:rPr>
        <w:t>Asunto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demanda de inconstitucionalidad contra los artículos 211 y 212 de la Ley 2294 de 2023</w:t>
      </w:r>
    </w:p>
    <w:p w:rsidR="00AD0CAD" w:rsidRPr="00152C0F" w:rsidRDefault="00152C0F" w:rsidP="00A553C9">
      <w:pPr>
        <w:tabs>
          <w:tab w:val="left" w:pos="3969"/>
        </w:tabs>
        <w:ind w:left="3828" w:right="51"/>
        <w:jc w:val="both"/>
        <w:rPr>
          <w:rFonts w:ascii="Times New Roman" w:hAnsi="Times New Roman" w:cs="Times New Roman"/>
          <w:sz w:val="28"/>
          <w:szCs w:val="28"/>
        </w:rPr>
      </w:pPr>
    </w:p>
    <w:p w:rsidR="006D4874" w:rsidRPr="00152C0F" w:rsidRDefault="00152C0F" w:rsidP="00A553C9">
      <w:pPr>
        <w:tabs>
          <w:tab w:val="left" w:pos="3969"/>
        </w:tabs>
        <w:ind w:left="3828" w:right="51"/>
        <w:jc w:val="both"/>
        <w:rPr>
          <w:rFonts w:ascii="Times New Roman" w:hAnsi="Times New Roman" w:cs="Times New Roman"/>
          <w:sz w:val="28"/>
          <w:szCs w:val="28"/>
        </w:rPr>
      </w:pPr>
      <w:r w:rsidRPr="00152C0F">
        <w:rPr>
          <w:rFonts w:ascii="Times New Roman" w:hAnsi="Times New Roman" w:cs="Times New Roman"/>
          <w:b/>
          <w:bCs/>
          <w:sz w:val="28"/>
          <w:szCs w:val="28"/>
        </w:rPr>
        <w:t>Demandante</w:t>
      </w:r>
      <w:r w:rsidRPr="00152C0F">
        <w:rPr>
          <w:rFonts w:ascii="Times New Roman" w:hAnsi="Times New Roman" w:cs="Times New Roman"/>
          <w:sz w:val="28"/>
          <w:szCs w:val="28"/>
        </w:rPr>
        <w:t xml:space="preserve">: </w:t>
      </w:r>
      <w:r w:rsidRPr="00152C0F">
        <w:rPr>
          <w:rFonts w:ascii="Times New Roman" w:hAnsi="Times New Roman" w:cs="Times New Roman"/>
          <w:sz w:val="28"/>
          <w:szCs w:val="28"/>
          <w:lang w:val="es-ES_tradnl"/>
        </w:rPr>
        <w:t>Édgar Javier Navia Estrada</w:t>
      </w:r>
    </w:p>
    <w:p w:rsidR="009B6FF4" w:rsidRPr="00152C0F" w:rsidRDefault="00152C0F" w:rsidP="00A553C9">
      <w:pPr>
        <w:tabs>
          <w:tab w:val="left" w:pos="3969"/>
        </w:tabs>
        <w:ind w:left="3828" w:right="51"/>
        <w:jc w:val="both"/>
        <w:rPr>
          <w:rFonts w:ascii="Times New Roman" w:hAnsi="Times New Roman" w:cs="Times New Roman"/>
          <w:sz w:val="28"/>
          <w:szCs w:val="28"/>
        </w:rPr>
      </w:pPr>
    </w:p>
    <w:p w:rsidR="004378FE" w:rsidRPr="00152C0F" w:rsidRDefault="00152C0F" w:rsidP="00A553C9">
      <w:pPr>
        <w:tabs>
          <w:tab w:val="left" w:pos="3969"/>
        </w:tabs>
        <w:ind w:left="3828" w:right="51"/>
        <w:jc w:val="both"/>
        <w:rPr>
          <w:rFonts w:ascii="Times New Roman" w:hAnsi="Times New Roman" w:cs="Times New Roman"/>
          <w:sz w:val="28"/>
          <w:szCs w:val="28"/>
        </w:rPr>
      </w:pPr>
      <w:r w:rsidRPr="00152C0F">
        <w:rPr>
          <w:rFonts w:ascii="Times New Roman" w:hAnsi="Times New Roman" w:cs="Times New Roman"/>
          <w:b/>
          <w:bCs/>
          <w:sz w:val="28"/>
          <w:szCs w:val="28"/>
        </w:rPr>
        <w:t xml:space="preserve">Magistrado </w:t>
      </w:r>
      <w:r w:rsidRPr="00152C0F">
        <w:rPr>
          <w:rFonts w:ascii="Times New Roman" w:hAnsi="Times New Roman" w:cs="Times New Roman"/>
          <w:b/>
          <w:bCs/>
          <w:sz w:val="28"/>
          <w:szCs w:val="28"/>
        </w:rPr>
        <w:t>S</w:t>
      </w:r>
      <w:r w:rsidRPr="00152C0F">
        <w:rPr>
          <w:rFonts w:ascii="Times New Roman" w:hAnsi="Times New Roman" w:cs="Times New Roman"/>
          <w:b/>
          <w:bCs/>
          <w:sz w:val="28"/>
          <w:szCs w:val="28"/>
        </w:rPr>
        <w:t>ustanciador</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p>
    <w:p w:rsidR="006D4874" w:rsidRPr="00152C0F" w:rsidRDefault="00152C0F" w:rsidP="00A553C9">
      <w:pPr>
        <w:tabs>
          <w:tab w:val="left" w:pos="3969"/>
        </w:tabs>
        <w:ind w:left="3828" w:right="51"/>
        <w:jc w:val="both"/>
        <w:rPr>
          <w:rFonts w:ascii="Times New Roman" w:hAnsi="Times New Roman" w:cs="Times New Roman"/>
          <w:sz w:val="28"/>
          <w:szCs w:val="28"/>
        </w:rPr>
      </w:pPr>
      <w:r w:rsidRPr="00152C0F">
        <w:rPr>
          <w:rFonts w:ascii="Times New Roman" w:hAnsi="Times New Roman" w:cs="Times New Roman"/>
          <w:sz w:val="28"/>
          <w:szCs w:val="28"/>
        </w:rPr>
        <w:t>ANTONIO JOSÉ LIZARAZO OCAMPO</w:t>
      </w:r>
    </w:p>
    <w:p w:rsidR="00E52748" w:rsidRPr="00152C0F" w:rsidRDefault="00152C0F" w:rsidP="00A553C9">
      <w:pPr>
        <w:ind w:right="51"/>
        <w:jc w:val="both"/>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8828"/>
      </w:tblGrid>
      <w:tr w:rsidR="003654FF" w:rsidRPr="00152C0F" w:rsidTr="00CC111E">
        <w:tc>
          <w:tcPr>
            <w:tcW w:w="8828" w:type="dxa"/>
          </w:tcPr>
          <w:p w:rsidR="00F864D4" w:rsidRPr="00152C0F" w:rsidRDefault="00152C0F" w:rsidP="00D27FB6">
            <w:pPr>
              <w:ind w:right="-93" w:firstLine="3544"/>
              <w:jc w:val="both"/>
              <w:rPr>
                <w:color w:val="auto"/>
                <w:sz w:val="28"/>
                <w:szCs w:val="24"/>
              </w:rPr>
            </w:pPr>
            <w:r w:rsidRPr="00152C0F">
              <w:rPr>
                <w:b/>
                <w:bCs/>
                <w:color w:val="auto"/>
                <w:sz w:val="28"/>
                <w:szCs w:val="24"/>
              </w:rPr>
              <w:t xml:space="preserve">Síntesis de la Decisión. </w:t>
            </w:r>
            <w:r w:rsidRPr="00152C0F">
              <w:rPr>
                <w:color w:val="auto"/>
                <w:sz w:val="28"/>
                <w:szCs w:val="24"/>
              </w:rPr>
              <w:t>Los artículos 211 y 212 de la Ley 2294 de 2023</w:t>
            </w:r>
            <w:r w:rsidRPr="00152C0F">
              <w:rPr>
                <w:color w:val="auto"/>
                <w:sz w:val="28"/>
                <w:szCs w:val="24"/>
              </w:rPr>
              <w:t>,</w:t>
            </w:r>
            <w:r w:rsidRPr="00152C0F">
              <w:rPr>
                <w:color w:val="auto"/>
                <w:sz w:val="28"/>
                <w:szCs w:val="24"/>
              </w:rPr>
              <w:t xml:space="preserve"> </w:t>
            </w:r>
            <w:r w:rsidRPr="00152C0F">
              <w:rPr>
                <w:color w:val="auto"/>
                <w:sz w:val="28"/>
                <w:szCs w:val="24"/>
              </w:rPr>
              <w:t xml:space="preserve">“Por el cual se expide el Plan Nacional de Desarrollo 2022-2026 “Colombia Potencia Mundial de la Vida”, </w:t>
            </w:r>
            <w:r w:rsidRPr="00152C0F">
              <w:rPr>
                <w:color w:val="auto"/>
                <w:sz w:val="28"/>
                <w:szCs w:val="24"/>
                <w:lang w:val="es-ES"/>
              </w:rPr>
              <w:t>que</w:t>
            </w:r>
            <w:r w:rsidRPr="00152C0F">
              <w:rPr>
                <w:color w:val="auto"/>
                <w:sz w:val="28"/>
                <w:szCs w:val="24"/>
                <w:lang w:val="es-ES"/>
              </w:rPr>
              <w:t xml:space="preserve"> introdujeron </w:t>
            </w:r>
            <w:r w:rsidRPr="00152C0F">
              <w:rPr>
                <w:color w:val="auto"/>
                <w:sz w:val="28"/>
                <w:szCs w:val="24"/>
              </w:rPr>
              <w:t>cambios estructurales y permanentes al régimen de extinción de</w:t>
            </w:r>
            <w:r w:rsidRPr="00152C0F">
              <w:rPr>
                <w:color w:val="auto"/>
                <w:sz w:val="28"/>
                <w:szCs w:val="24"/>
              </w:rPr>
              <w:t xml:space="preserve"> dominio, </w:t>
            </w:r>
            <w:r w:rsidRPr="00152C0F">
              <w:rPr>
                <w:sz w:val="28"/>
                <w:szCs w:val="24"/>
                <w:lang w:val="es-ES"/>
              </w:rPr>
              <w:t xml:space="preserve">se declaran inexequibles por desconocer el principio constitucional de unidad de materia que se deriva de los artículos 158 y 169 de la Constitución, </w:t>
            </w:r>
            <w:r w:rsidRPr="00152C0F">
              <w:rPr>
                <w:color w:val="auto"/>
                <w:sz w:val="28"/>
                <w:szCs w:val="24"/>
              </w:rPr>
              <w:t xml:space="preserve">ya que </w:t>
            </w:r>
            <w:r w:rsidRPr="00152C0F">
              <w:rPr>
                <w:color w:val="auto"/>
                <w:sz w:val="28"/>
                <w:szCs w:val="24"/>
              </w:rPr>
              <w:t>tales</w:t>
            </w:r>
            <w:r w:rsidRPr="00152C0F">
              <w:rPr>
                <w:color w:val="auto"/>
                <w:sz w:val="28"/>
                <w:szCs w:val="24"/>
              </w:rPr>
              <w:t xml:space="preserve"> </w:t>
            </w:r>
            <w:r w:rsidRPr="00152C0F">
              <w:rPr>
                <w:color w:val="auto"/>
                <w:sz w:val="28"/>
                <w:szCs w:val="24"/>
              </w:rPr>
              <w:t>medidas</w:t>
            </w:r>
            <w:r w:rsidRPr="00152C0F">
              <w:rPr>
                <w:color w:val="auto"/>
                <w:sz w:val="28"/>
                <w:szCs w:val="24"/>
              </w:rPr>
              <w:t xml:space="preserve"> </w:t>
            </w:r>
            <w:r w:rsidRPr="00152C0F">
              <w:rPr>
                <w:color w:val="auto"/>
                <w:sz w:val="28"/>
                <w:szCs w:val="24"/>
              </w:rPr>
              <w:t xml:space="preserve">(i) </w:t>
            </w:r>
            <w:r w:rsidRPr="00152C0F">
              <w:rPr>
                <w:color w:val="auto"/>
                <w:sz w:val="28"/>
                <w:szCs w:val="24"/>
              </w:rPr>
              <w:t>no guardan conexi</w:t>
            </w:r>
            <w:r w:rsidRPr="00152C0F">
              <w:rPr>
                <w:color w:val="auto"/>
                <w:sz w:val="28"/>
                <w:szCs w:val="24"/>
              </w:rPr>
              <w:t>dad</w:t>
            </w:r>
            <w:r w:rsidRPr="00152C0F">
              <w:rPr>
                <w:color w:val="auto"/>
                <w:sz w:val="28"/>
                <w:szCs w:val="24"/>
              </w:rPr>
              <w:t xml:space="preserve"> directa, estrecha ni inmediata con </w:t>
            </w:r>
            <w:r w:rsidRPr="00152C0F">
              <w:rPr>
                <w:color w:val="auto"/>
                <w:sz w:val="28"/>
                <w:szCs w:val="24"/>
              </w:rPr>
              <w:t xml:space="preserve">las </w:t>
            </w:r>
            <w:r w:rsidRPr="00152C0F">
              <w:rPr>
                <w:color w:val="auto"/>
                <w:sz w:val="28"/>
                <w:szCs w:val="24"/>
              </w:rPr>
              <w:t xml:space="preserve">estrategias y orientaciones de </w:t>
            </w:r>
            <w:r w:rsidRPr="00152C0F">
              <w:rPr>
                <w:color w:val="auto"/>
                <w:sz w:val="28"/>
                <w:szCs w:val="24"/>
              </w:rPr>
              <w:t>las</w:t>
            </w:r>
            <w:r w:rsidRPr="00152C0F">
              <w:rPr>
                <w:color w:val="auto"/>
                <w:sz w:val="28"/>
                <w:szCs w:val="24"/>
              </w:rPr>
              <w:t xml:space="preserve"> </w:t>
            </w:r>
            <w:r w:rsidRPr="00152C0F">
              <w:rPr>
                <w:color w:val="auto"/>
                <w:sz w:val="28"/>
                <w:szCs w:val="24"/>
              </w:rPr>
              <w:t>política</w:t>
            </w:r>
            <w:r w:rsidRPr="00152C0F">
              <w:rPr>
                <w:color w:val="auto"/>
                <w:sz w:val="28"/>
                <w:szCs w:val="24"/>
              </w:rPr>
              <w:t xml:space="preserve">s en materia económica, social y ambiental que guiarán la acción del </w:t>
            </w:r>
            <w:r w:rsidRPr="00152C0F">
              <w:rPr>
                <w:color w:val="auto"/>
                <w:sz w:val="28"/>
                <w:szCs w:val="24"/>
              </w:rPr>
              <w:t>g</w:t>
            </w:r>
            <w:r w:rsidRPr="00152C0F">
              <w:rPr>
                <w:color w:val="auto"/>
                <w:sz w:val="28"/>
                <w:szCs w:val="24"/>
              </w:rPr>
              <w:t>obierno</w:t>
            </w:r>
            <w:r w:rsidRPr="00152C0F">
              <w:rPr>
                <w:color w:val="auto"/>
                <w:sz w:val="28"/>
                <w:szCs w:val="24"/>
              </w:rPr>
              <w:t xml:space="preserve"> </w:t>
            </w:r>
            <w:r w:rsidRPr="00152C0F">
              <w:rPr>
                <w:color w:val="auto"/>
                <w:sz w:val="28"/>
                <w:szCs w:val="24"/>
              </w:rPr>
              <w:t xml:space="preserve">nacional </w:t>
            </w:r>
            <w:r w:rsidRPr="00152C0F">
              <w:rPr>
                <w:color w:val="auto"/>
                <w:sz w:val="28"/>
                <w:szCs w:val="24"/>
              </w:rPr>
              <w:t>durante el cuatrienio,</w:t>
            </w:r>
            <w:r w:rsidRPr="00152C0F">
              <w:rPr>
                <w:color w:val="auto"/>
                <w:sz w:val="28"/>
                <w:szCs w:val="24"/>
              </w:rPr>
              <w:t xml:space="preserve"> </w:t>
            </w:r>
            <w:r w:rsidRPr="00152C0F">
              <w:rPr>
                <w:color w:val="auto"/>
                <w:sz w:val="28"/>
                <w:szCs w:val="24"/>
              </w:rPr>
              <w:t>contenidas en</w:t>
            </w:r>
            <w:r w:rsidRPr="00152C0F">
              <w:rPr>
                <w:color w:val="auto"/>
                <w:sz w:val="28"/>
                <w:szCs w:val="24"/>
              </w:rPr>
              <w:t xml:space="preserve"> la parte general, ni con los </w:t>
            </w:r>
            <w:r w:rsidRPr="00152C0F">
              <w:rPr>
                <w:color w:val="auto"/>
                <w:sz w:val="28"/>
                <w:szCs w:val="24"/>
              </w:rPr>
              <w:t xml:space="preserve">programas o </w:t>
            </w:r>
            <w:r w:rsidRPr="00152C0F">
              <w:rPr>
                <w:color w:val="auto"/>
                <w:sz w:val="28"/>
                <w:szCs w:val="24"/>
              </w:rPr>
              <w:t xml:space="preserve">proyectos de inversión del plan de inversiones, </w:t>
            </w:r>
            <w:r w:rsidRPr="00152C0F">
              <w:rPr>
                <w:color w:val="auto"/>
                <w:sz w:val="28"/>
                <w:szCs w:val="24"/>
              </w:rPr>
              <w:t>(ii) no tienen</w:t>
            </w:r>
            <w:r w:rsidRPr="00152C0F">
              <w:rPr>
                <w:color w:val="auto"/>
                <w:sz w:val="28"/>
                <w:szCs w:val="24"/>
              </w:rPr>
              <w:t xml:space="preserve"> un propósito de planificación</w:t>
            </w:r>
            <w:r w:rsidRPr="00152C0F">
              <w:rPr>
                <w:color w:val="auto"/>
                <w:sz w:val="28"/>
                <w:szCs w:val="24"/>
              </w:rPr>
              <w:t xml:space="preserve">, (iii) </w:t>
            </w:r>
            <w:r w:rsidRPr="00152C0F">
              <w:rPr>
                <w:color w:val="auto"/>
                <w:sz w:val="28"/>
                <w:szCs w:val="24"/>
              </w:rPr>
              <w:t>ni</w:t>
            </w:r>
            <w:r w:rsidRPr="00152C0F">
              <w:rPr>
                <w:color w:val="auto"/>
                <w:sz w:val="28"/>
                <w:szCs w:val="24"/>
              </w:rPr>
              <w:t xml:space="preserve"> </w:t>
            </w:r>
            <w:r w:rsidRPr="00152C0F">
              <w:rPr>
                <w:color w:val="auto"/>
                <w:sz w:val="28"/>
                <w:szCs w:val="24"/>
              </w:rPr>
              <w:t>constitu</w:t>
            </w:r>
            <w:r w:rsidRPr="00152C0F">
              <w:rPr>
                <w:color w:val="auto"/>
                <w:sz w:val="28"/>
                <w:szCs w:val="24"/>
              </w:rPr>
              <w:t>yen</w:t>
            </w:r>
            <w:r w:rsidRPr="00152C0F">
              <w:rPr>
                <w:color w:val="auto"/>
                <w:sz w:val="28"/>
                <w:szCs w:val="24"/>
              </w:rPr>
              <w:t xml:space="preserve"> medidas necesarias</w:t>
            </w:r>
            <w:r w:rsidRPr="00152C0F">
              <w:rPr>
                <w:color w:val="auto"/>
                <w:sz w:val="28"/>
                <w:szCs w:val="24"/>
              </w:rPr>
              <w:t xml:space="preserve"> para </w:t>
            </w:r>
            <w:r w:rsidRPr="00152C0F">
              <w:rPr>
                <w:color w:val="auto"/>
                <w:sz w:val="28"/>
                <w:szCs w:val="24"/>
              </w:rPr>
              <w:t>impulsar</w:t>
            </w:r>
            <w:r w:rsidRPr="00152C0F">
              <w:rPr>
                <w:color w:val="auto"/>
                <w:sz w:val="28"/>
                <w:szCs w:val="24"/>
              </w:rPr>
              <w:t xml:space="preserve"> </w:t>
            </w:r>
            <w:r w:rsidRPr="00152C0F">
              <w:rPr>
                <w:color w:val="auto"/>
                <w:sz w:val="28"/>
                <w:szCs w:val="24"/>
              </w:rPr>
              <w:t>el cumplimiento</w:t>
            </w:r>
            <w:r w:rsidRPr="00152C0F">
              <w:rPr>
                <w:color w:val="auto"/>
                <w:sz w:val="28"/>
                <w:szCs w:val="24"/>
              </w:rPr>
              <w:t xml:space="preserve"> del plan nacional de desarrollo</w:t>
            </w:r>
            <w:r w:rsidRPr="00152C0F">
              <w:rPr>
                <w:color w:val="auto"/>
                <w:sz w:val="28"/>
                <w:szCs w:val="24"/>
              </w:rPr>
              <w:t>.</w:t>
            </w:r>
          </w:p>
          <w:p w:rsidR="00F864D4" w:rsidRPr="00152C0F" w:rsidRDefault="00152C0F" w:rsidP="000F6D92">
            <w:pPr>
              <w:ind w:right="-93" w:firstLine="3544"/>
              <w:jc w:val="both"/>
              <w:rPr>
                <w:color w:val="auto"/>
                <w:sz w:val="28"/>
                <w:szCs w:val="24"/>
              </w:rPr>
            </w:pPr>
          </w:p>
          <w:p w:rsidR="00C141ED" w:rsidRPr="00152C0F" w:rsidRDefault="00152C0F" w:rsidP="00F864D4">
            <w:pPr>
              <w:ind w:right="-93"/>
              <w:jc w:val="both"/>
              <w:rPr>
                <w:color w:val="auto"/>
                <w:sz w:val="28"/>
                <w:szCs w:val="24"/>
              </w:rPr>
            </w:pPr>
            <w:r w:rsidRPr="00152C0F">
              <w:rPr>
                <w:color w:val="auto"/>
                <w:sz w:val="28"/>
                <w:szCs w:val="24"/>
              </w:rPr>
              <w:t>Lo anterior</w:t>
            </w:r>
            <w:r w:rsidRPr="00152C0F">
              <w:rPr>
                <w:color w:val="auto"/>
                <w:sz w:val="28"/>
                <w:szCs w:val="24"/>
              </w:rPr>
              <w:t xml:space="preserve"> </w:t>
            </w:r>
            <w:r w:rsidRPr="00152C0F">
              <w:rPr>
                <w:color w:val="auto"/>
                <w:sz w:val="28"/>
                <w:szCs w:val="24"/>
              </w:rPr>
              <w:t xml:space="preserve">evidencia que se trata de </w:t>
            </w:r>
            <w:r w:rsidRPr="00152C0F">
              <w:rPr>
                <w:color w:val="auto"/>
                <w:sz w:val="28"/>
                <w:szCs w:val="24"/>
              </w:rPr>
              <w:t>medidas</w:t>
            </w:r>
            <w:r w:rsidRPr="00152C0F">
              <w:rPr>
                <w:color w:val="auto"/>
                <w:sz w:val="28"/>
                <w:szCs w:val="24"/>
              </w:rPr>
              <w:t xml:space="preserve"> </w:t>
            </w:r>
            <w:r w:rsidRPr="00152C0F">
              <w:rPr>
                <w:color w:val="auto"/>
                <w:sz w:val="28"/>
                <w:szCs w:val="24"/>
              </w:rPr>
              <w:t>ajenas a la función de planeación</w:t>
            </w:r>
            <w:r w:rsidRPr="00152C0F">
              <w:rPr>
                <w:color w:val="auto"/>
                <w:sz w:val="28"/>
                <w:szCs w:val="24"/>
              </w:rPr>
              <w:t xml:space="preserve"> que</w:t>
            </w:r>
            <w:r w:rsidRPr="00152C0F">
              <w:rPr>
                <w:color w:val="auto"/>
                <w:sz w:val="28"/>
                <w:szCs w:val="24"/>
              </w:rPr>
              <w:t>, en consecuencia,</w:t>
            </w:r>
            <w:r w:rsidRPr="00152C0F">
              <w:rPr>
                <w:color w:val="auto"/>
                <w:sz w:val="28"/>
                <w:szCs w:val="24"/>
              </w:rPr>
              <w:t xml:space="preserve"> no podían ser adoptadas mediante el procedimiento </w:t>
            </w:r>
            <w:r w:rsidRPr="00152C0F">
              <w:rPr>
                <w:color w:val="auto"/>
                <w:sz w:val="28"/>
                <w:szCs w:val="24"/>
              </w:rPr>
              <w:t xml:space="preserve">especial </w:t>
            </w:r>
            <w:r w:rsidRPr="00152C0F">
              <w:rPr>
                <w:color w:val="auto"/>
                <w:sz w:val="28"/>
                <w:szCs w:val="24"/>
              </w:rPr>
              <w:t xml:space="preserve">de aprobación del plan nacional de desarrollo y de inversiones públicas </w:t>
            </w:r>
            <w:r w:rsidRPr="00152C0F">
              <w:rPr>
                <w:color w:val="auto"/>
                <w:sz w:val="28"/>
                <w:szCs w:val="24"/>
              </w:rPr>
              <w:t>regulado en</w:t>
            </w:r>
            <w:r w:rsidRPr="00152C0F">
              <w:rPr>
                <w:color w:val="auto"/>
                <w:sz w:val="28"/>
                <w:szCs w:val="24"/>
              </w:rPr>
              <w:t xml:space="preserve"> los </w:t>
            </w:r>
            <w:r w:rsidRPr="00152C0F">
              <w:rPr>
                <w:color w:val="auto"/>
                <w:sz w:val="28"/>
                <w:szCs w:val="24"/>
              </w:rPr>
              <w:t>artículo</w:t>
            </w:r>
            <w:r w:rsidRPr="00152C0F">
              <w:rPr>
                <w:color w:val="auto"/>
                <w:sz w:val="28"/>
                <w:szCs w:val="24"/>
              </w:rPr>
              <w:t>s</w:t>
            </w:r>
            <w:r w:rsidRPr="00152C0F">
              <w:rPr>
                <w:color w:val="auto"/>
                <w:sz w:val="28"/>
                <w:szCs w:val="24"/>
              </w:rPr>
              <w:t xml:space="preserve"> </w:t>
            </w:r>
            <w:r w:rsidRPr="00152C0F">
              <w:rPr>
                <w:sz w:val="28"/>
                <w:szCs w:val="24"/>
                <w:lang w:val="es-ES"/>
              </w:rPr>
              <w:t xml:space="preserve">150.3 y 339 y </w:t>
            </w:r>
            <w:r w:rsidRPr="00152C0F">
              <w:rPr>
                <w:sz w:val="28"/>
                <w:szCs w:val="24"/>
                <w:lang w:val="es-ES"/>
              </w:rPr>
              <w:t>s</w:t>
            </w:r>
            <w:r w:rsidRPr="00152C0F">
              <w:rPr>
                <w:sz w:val="28"/>
                <w:szCs w:val="24"/>
                <w:lang w:val="es-ES"/>
              </w:rPr>
              <w:t>.</w:t>
            </w:r>
            <w:r w:rsidRPr="00152C0F">
              <w:rPr>
                <w:sz w:val="28"/>
                <w:szCs w:val="24"/>
                <w:lang w:val="es-ES"/>
              </w:rPr>
              <w:t>s.</w:t>
            </w:r>
            <w:r w:rsidRPr="00152C0F">
              <w:rPr>
                <w:sz w:val="28"/>
                <w:szCs w:val="24"/>
                <w:lang w:val="es-ES"/>
              </w:rPr>
              <w:t xml:space="preserve"> </w:t>
            </w:r>
            <w:r w:rsidRPr="00152C0F">
              <w:rPr>
                <w:color w:val="auto"/>
                <w:sz w:val="28"/>
                <w:szCs w:val="24"/>
              </w:rPr>
              <w:t xml:space="preserve">de la Constitución y </w:t>
            </w:r>
            <w:r w:rsidRPr="00152C0F">
              <w:rPr>
                <w:color w:val="auto"/>
                <w:sz w:val="28"/>
                <w:szCs w:val="24"/>
              </w:rPr>
              <w:t xml:space="preserve">en </w:t>
            </w:r>
            <w:r w:rsidRPr="00152C0F">
              <w:rPr>
                <w:color w:val="auto"/>
                <w:sz w:val="28"/>
                <w:szCs w:val="24"/>
              </w:rPr>
              <w:t xml:space="preserve">la Ley Orgánica </w:t>
            </w:r>
            <w:r w:rsidRPr="00152C0F">
              <w:rPr>
                <w:color w:val="auto"/>
                <w:sz w:val="28"/>
                <w:szCs w:val="24"/>
              </w:rPr>
              <w:t>152 de 1994</w:t>
            </w:r>
            <w:r w:rsidRPr="00152C0F">
              <w:rPr>
                <w:color w:val="auto"/>
                <w:sz w:val="28"/>
                <w:szCs w:val="24"/>
              </w:rPr>
              <w:t>, sino</w:t>
            </w:r>
            <w:r w:rsidRPr="00152C0F">
              <w:rPr>
                <w:color w:val="auto"/>
                <w:sz w:val="28"/>
                <w:szCs w:val="24"/>
              </w:rPr>
              <w:t xml:space="preserve"> </w:t>
            </w:r>
            <w:r w:rsidRPr="00152C0F">
              <w:rPr>
                <w:color w:val="auto"/>
                <w:sz w:val="28"/>
                <w:szCs w:val="24"/>
              </w:rPr>
              <w:t xml:space="preserve">mediante el </w:t>
            </w:r>
            <w:r w:rsidRPr="00152C0F">
              <w:rPr>
                <w:color w:val="auto"/>
                <w:sz w:val="28"/>
                <w:szCs w:val="24"/>
              </w:rPr>
              <w:t>procedimiento legislativo ordinario</w:t>
            </w:r>
            <w:r w:rsidRPr="00152C0F">
              <w:rPr>
                <w:color w:val="auto"/>
                <w:sz w:val="28"/>
                <w:szCs w:val="24"/>
              </w:rPr>
              <w:t xml:space="preserve">. </w:t>
            </w:r>
            <w:r w:rsidRPr="00152C0F">
              <w:rPr>
                <w:color w:val="auto"/>
                <w:sz w:val="28"/>
                <w:szCs w:val="24"/>
              </w:rPr>
              <w:t>Por tal razón, s</w:t>
            </w:r>
            <w:r w:rsidRPr="00152C0F">
              <w:rPr>
                <w:color w:val="auto"/>
                <w:sz w:val="28"/>
                <w:szCs w:val="24"/>
              </w:rPr>
              <w:t>u adopción mediante la ley aprobatoria del plan nacional de desarrollo implicó</w:t>
            </w:r>
            <w:r w:rsidRPr="00152C0F">
              <w:rPr>
                <w:color w:val="auto"/>
                <w:sz w:val="28"/>
                <w:szCs w:val="24"/>
              </w:rPr>
              <w:t xml:space="preserve"> una “elusión material</w:t>
            </w:r>
            <w:r w:rsidRPr="00152C0F">
              <w:rPr>
                <w:color w:val="auto"/>
                <w:sz w:val="28"/>
                <w:szCs w:val="24"/>
              </w:rPr>
              <w:t>”</w:t>
            </w:r>
            <w:r w:rsidRPr="00152C0F">
              <w:rPr>
                <w:color w:val="auto"/>
                <w:sz w:val="28"/>
                <w:szCs w:val="24"/>
              </w:rPr>
              <w:t xml:space="preserve"> del debate legislativo</w:t>
            </w:r>
            <w:r w:rsidRPr="00152C0F">
              <w:rPr>
                <w:color w:val="auto"/>
                <w:sz w:val="28"/>
                <w:szCs w:val="24"/>
              </w:rPr>
              <w:t xml:space="preserve">, </w:t>
            </w:r>
            <w:r w:rsidRPr="00152C0F">
              <w:rPr>
                <w:color w:val="auto"/>
                <w:sz w:val="28"/>
                <w:szCs w:val="24"/>
              </w:rPr>
              <w:t xml:space="preserve">en una materia </w:t>
            </w:r>
            <w:r w:rsidRPr="00152C0F">
              <w:rPr>
                <w:color w:val="auto"/>
                <w:sz w:val="28"/>
                <w:szCs w:val="24"/>
              </w:rPr>
              <w:t xml:space="preserve">que requiere </w:t>
            </w:r>
            <w:r w:rsidRPr="00152C0F">
              <w:rPr>
                <w:color w:val="auto"/>
                <w:sz w:val="28"/>
                <w:szCs w:val="24"/>
              </w:rPr>
              <w:t xml:space="preserve">una </w:t>
            </w:r>
            <w:r w:rsidRPr="00152C0F">
              <w:rPr>
                <w:color w:val="auto"/>
                <w:sz w:val="28"/>
                <w:szCs w:val="24"/>
              </w:rPr>
              <w:t>regulación permanente y estructural</w:t>
            </w:r>
            <w:r w:rsidRPr="00152C0F">
              <w:rPr>
                <w:color w:val="auto"/>
                <w:sz w:val="28"/>
                <w:szCs w:val="24"/>
              </w:rPr>
              <w:t xml:space="preserve">, como es </w:t>
            </w:r>
            <w:r w:rsidRPr="00152C0F">
              <w:rPr>
                <w:color w:val="auto"/>
                <w:sz w:val="28"/>
                <w:szCs w:val="24"/>
              </w:rPr>
              <w:t xml:space="preserve">la relativa a </w:t>
            </w:r>
            <w:r w:rsidRPr="00152C0F">
              <w:rPr>
                <w:color w:val="auto"/>
                <w:sz w:val="28"/>
                <w:szCs w:val="24"/>
              </w:rPr>
              <w:t>l</w:t>
            </w:r>
            <w:r w:rsidRPr="00152C0F">
              <w:rPr>
                <w:color w:val="auto"/>
                <w:sz w:val="28"/>
                <w:szCs w:val="24"/>
              </w:rPr>
              <w:t>a</w:t>
            </w:r>
            <w:r w:rsidRPr="00152C0F">
              <w:rPr>
                <w:color w:val="auto"/>
                <w:sz w:val="28"/>
                <w:szCs w:val="24"/>
              </w:rPr>
              <w:t xml:space="preserve"> extinción de dominio</w:t>
            </w:r>
            <w:r w:rsidRPr="00152C0F">
              <w:rPr>
                <w:color w:val="auto"/>
                <w:sz w:val="28"/>
                <w:szCs w:val="24"/>
              </w:rPr>
              <w:t>,</w:t>
            </w:r>
            <w:r w:rsidRPr="00152C0F">
              <w:rPr>
                <w:color w:val="auto"/>
                <w:sz w:val="28"/>
                <w:szCs w:val="24"/>
              </w:rPr>
              <w:t xml:space="preserve"> previst</w:t>
            </w:r>
            <w:r w:rsidRPr="00152C0F">
              <w:rPr>
                <w:color w:val="auto"/>
                <w:sz w:val="28"/>
                <w:szCs w:val="24"/>
              </w:rPr>
              <w:t>a</w:t>
            </w:r>
            <w:r w:rsidRPr="00152C0F">
              <w:rPr>
                <w:color w:val="auto"/>
                <w:sz w:val="28"/>
                <w:szCs w:val="24"/>
              </w:rPr>
              <w:t xml:space="preserve"> en el artículo 34 de la Constitución.</w:t>
            </w:r>
          </w:p>
          <w:p w:rsidR="00B81FB2" w:rsidRPr="00152C0F" w:rsidRDefault="00152C0F" w:rsidP="00F864D4">
            <w:pPr>
              <w:ind w:right="-93"/>
              <w:jc w:val="both"/>
              <w:rPr>
                <w:color w:val="auto"/>
                <w:sz w:val="28"/>
                <w:szCs w:val="24"/>
              </w:rPr>
            </w:pPr>
          </w:p>
          <w:p w:rsidR="00CC111E" w:rsidRPr="00152C0F" w:rsidRDefault="00152C0F" w:rsidP="0099424A">
            <w:pPr>
              <w:ind w:right="-93"/>
              <w:jc w:val="both"/>
              <w:rPr>
                <w:color w:val="auto"/>
                <w:sz w:val="28"/>
                <w:szCs w:val="24"/>
              </w:rPr>
            </w:pPr>
            <w:r w:rsidRPr="00152C0F">
              <w:rPr>
                <w:color w:val="auto"/>
                <w:sz w:val="28"/>
                <w:szCs w:val="24"/>
              </w:rPr>
              <w:t xml:space="preserve">Para mitigar un impacto desproporcionado sobre la finalidad legítima </w:t>
            </w:r>
            <w:r w:rsidRPr="00152C0F">
              <w:rPr>
                <w:color w:val="auto"/>
                <w:sz w:val="28"/>
                <w:szCs w:val="24"/>
              </w:rPr>
              <w:t>que buscan las disposiciones</w:t>
            </w:r>
            <w:r w:rsidRPr="00152C0F">
              <w:rPr>
                <w:color w:val="auto"/>
                <w:sz w:val="28"/>
                <w:szCs w:val="24"/>
              </w:rPr>
              <w:t xml:space="preserve">, que es evitar el uso ilícito de bienes por redes criminales, la Corte </w:t>
            </w:r>
            <w:r w:rsidRPr="00152C0F">
              <w:rPr>
                <w:color w:val="auto"/>
                <w:sz w:val="28"/>
                <w:szCs w:val="24"/>
              </w:rPr>
              <w:t>dif</w:t>
            </w:r>
            <w:r w:rsidRPr="00152C0F">
              <w:rPr>
                <w:color w:val="auto"/>
                <w:sz w:val="28"/>
                <w:szCs w:val="24"/>
              </w:rPr>
              <w:t>iere</w:t>
            </w:r>
            <w:r w:rsidRPr="00152C0F">
              <w:rPr>
                <w:color w:val="auto"/>
                <w:sz w:val="28"/>
                <w:szCs w:val="24"/>
              </w:rPr>
              <w:t xml:space="preserve"> los efectos de la declara</w:t>
            </w:r>
            <w:r w:rsidRPr="00152C0F">
              <w:rPr>
                <w:color w:val="auto"/>
                <w:sz w:val="28"/>
                <w:szCs w:val="24"/>
              </w:rPr>
              <w:t>toria</w:t>
            </w:r>
            <w:r w:rsidRPr="00152C0F">
              <w:rPr>
                <w:color w:val="auto"/>
                <w:sz w:val="28"/>
                <w:szCs w:val="24"/>
              </w:rPr>
              <w:t xml:space="preserve"> de inexequibilidad </w:t>
            </w:r>
            <w:r w:rsidRPr="00152C0F">
              <w:rPr>
                <w:sz w:val="28"/>
                <w:szCs w:val="24"/>
                <w:lang w:val="es-ES"/>
              </w:rPr>
              <w:t>por el periodo restante de la actual legislatura, que culminará el 20 de junio de 2025,</w:t>
            </w:r>
            <w:r w:rsidRPr="00152C0F">
              <w:rPr>
                <w:sz w:val="28"/>
                <w:szCs w:val="24"/>
                <w:lang w:val="es-ES"/>
              </w:rPr>
              <w:t xml:space="preserve"> durante el cual el Gobierno nacional y el Congreso de la República podrán tramitar la adopción de las reformas</w:t>
            </w:r>
            <w:r w:rsidRPr="00152C0F">
              <w:rPr>
                <w:sz w:val="28"/>
                <w:szCs w:val="24"/>
                <w:lang w:val="es-ES"/>
              </w:rPr>
              <w:t xml:space="preserve"> permanentes al régimen de extinción de dominio que consideren necesarias. </w:t>
            </w:r>
            <w:r w:rsidRPr="00152C0F">
              <w:rPr>
                <w:color w:val="auto"/>
                <w:sz w:val="28"/>
                <w:szCs w:val="24"/>
              </w:rPr>
              <w:t xml:space="preserve">Esta declaratoria de inexequibilidad con efectos </w:t>
            </w:r>
            <w:r w:rsidRPr="00152C0F">
              <w:rPr>
                <w:i/>
                <w:iCs/>
                <w:color w:val="auto"/>
                <w:sz w:val="28"/>
                <w:szCs w:val="24"/>
              </w:rPr>
              <w:t xml:space="preserve">ex nunc pro tunc </w:t>
            </w:r>
            <w:r w:rsidRPr="00152C0F">
              <w:rPr>
                <w:color w:val="auto"/>
                <w:sz w:val="28"/>
                <w:szCs w:val="24"/>
              </w:rPr>
              <w:t xml:space="preserve">garantiza que </w:t>
            </w:r>
            <w:r w:rsidRPr="00152C0F">
              <w:rPr>
                <w:color w:val="auto"/>
                <w:sz w:val="28"/>
                <w:szCs w:val="24"/>
              </w:rPr>
              <w:t xml:space="preserve">a </w:t>
            </w:r>
            <w:r w:rsidRPr="00152C0F">
              <w:rPr>
                <w:color w:val="auto"/>
                <w:sz w:val="28"/>
                <w:szCs w:val="24"/>
              </w:rPr>
              <w:t xml:space="preserve">los bienes </w:t>
            </w:r>
            <w:r w:rsidRPr="00152C0F">
              <w:rPr>
                <w:color w:val="auto"/>
                <w:sz w:val="28"/>
                <w:szCs w:val="24"/>
              </w:rPr>
              <w:t xml:space="preserve">a </w:t>
            </w:r>
            <w:r w:rsidRPr="00152C0F">
              <w:rPr>
                <w:color w:val="auto"/>
                <w:sz w:val="28"/>
                <w:szCs w:val="24"/>
              </w:rPr>
              <w:t>que se refieren aquellas disposiciones c</w:t>
            </w:r>
            <w:r w:rsidRPr="00152C0F">
              <w:rPr>
                <w:color w:val="auto"/>
                <w:sz w:val="28"/>
                <w:szCs w:val="24"/>
              </w:rPr>
              <w:t>ontinúen bajo administración y protección esta</w:t>
            </w:r>
            <w:r w:rsidRPr="00152C0F">
              <w:rPr>
                <w:color w:val="auto"/>
                <w:sz w:val="28"/>
                <w:szCs w:val="24"/>
              </w:rPr>
              <w:t>tal durante este periodo</w:t>
            </w:r>
            <w:r w:rsidRPr="00152C0F">
              <w:rPr>
                <w:color w:val="auto"/>
                <w:sz w:val="28"/>
                <w:szCs w:val="24"/>
              </w:rPr>
              <w:t>, compatible con el carácter esencialmente temporal de las disposiciones de las leyes aprobatorias del plan nacional de desarrollo</w:t>
            </w:r>
            <w:r w:rsidRPr="00152C0F">
              <w:rPr>
                <w:color w:val="auto"/>
                <w:sz w:val="28"/>
                <w:szCs w:val="24"/>
              </w:rPr>
              <w:t>.</w:t>
            </w:r>
          </w:p>
        </w:tc>
      </w:tr>
    </w:tbl>
    <w:p w:rsidR="006A7781" w:rsidRPr="00152C0F" w:rsidRDefault="00152C0F" w:rsidP="00A553C9">
      <w:pPr>
        <w:ind w:right="51"/>
        <w:jc w:val="both"/>
        <w:rPr>
          <w:rFonts w:ascii="Times New Roman" w:hAnsi="Times New Roman" w:cs="Times New Roman"/>
          <w:sz w:val="28"/>
          <w:szCs w:val="28"/>
        </w:rPr>
      </w:pPr>
    </w:p>
    <w:p w:rsidR="006D4874" w:rsidRPr="00152C0F" w:rsidRDefault="00152C0F" w:rsidP="00A553C9">
      <w:pPr>
        <w:jc w:val="both"/>
        <w:rPr>
          <w:rFonts w:ascii="Times New Roman" w:hAnsi="Times New Roman" w:cs="Times New Roman"/>
          <w:sz w:val="28"/>
          <w:szCs w:val="28"/>
        </w:rPr>
      </w:pPr>
      <w:r w:rsidRPr="00152C0F">
        <w:rPr>
          <w:rFonts w:ascii="Times New Roman" w:hAnsi="Times New Roman" w:cs="Times New Roman"/>
          <w:sz w:val="28"/>
          <w:szCs w:val="28"/>
        </w:rPr>
        <w:t>Bogotá D.C.,</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diez </w:t>
      </w:r>
      <w:r w:rsidRPr="00152C0F">
        <w:rPr>
          <w:rFonts w:ascii="Times New Roman" w:hAnsi="Times New Roman" w:cs="Times New Roman"/>
          <w:sz w:val="28"/>
          <w:szCs w:val="28"/>
        </w:rPr>
        <w:t>(</w:t>
      </w:r>
      <w:r w:rsidRPr="00152C0F">
        <w:rPr>
          <w:rFonts w:ascii="Times New Roman" w:hAnsi="Times New Roman" w:cs="Times New Roman"/>
          <w:sz w:val="28"/>
          <w:szCs w:val="28"/>
        </w:rPr>
        <w:t>10</w:t>
      </w:r>
      <w:r w:rsidRPr="00152C0F">
        <w:rPr>
          <w:rFonts w:ascii="Times New Roman" w:hAnsi="Times New Roman" w:cs="Times New Roman"/>
          <w:sz w:val="28"/>
          <w:szCs w:val="28"/>
        </w:rPr>
        <w:t xml:space="preserve">) de </w:t>
      </w:r>
      <w:r w:rsidRPr="00152C0F">
        <w:rPr>
          <w:rFonts w:ascii="Times New Roman" w:hAnsi="Times New Roman" w:cs="Times New Roman"/>
          <w:sz w:val="28"/>
          <w:szCs w:val="28"/>
        </w:rPr>
        <w:t xml:space="preserve">octubre </w:t>
      </w:r>
      <w:r w:rsidRPr="00152C0F">
        <w:rPr>
          <w:rFonts w:ascii="Times New Roman" w:hAnsi="Times New Roman" w:cs="Times New Roman"/>
          <w:sz w:val="28"/>
          <w:szCs w:val="28"/>
        </w:rPr>
        <w:t xml:space="preserve">de dos mil </w:t>
      </w:r>
      <w:r w:rsidRPr="00152C0F">
        <w:rPr>
          <w:rFonts w:ascii="Times New Roman" w:hAnsi="Times New Roman" w:cs="Times New Roman"/>
          <w:sz w:val="28"/>
          <w:szCs w:val="28"/>
        </w:rPr>
        <w:t>veint</w:t>
      </w:r>
      <w:r w:rsidRPr="00152C0F">
        <w:rPr>
          <w:rFonts w:ascii="Times New Roman" w:hAnsi="Times New Roman" w:cs="Times New Roman"/>
          <w:sz w:val="28"/>
          <w:szCs w:val="28"/>
        </w:rPr>
        <w:t>icuatro</w:t>
      </w:r>
      <w:r w:rsidRPr="00152C0F">
        <w:rPr>
          <w:rFonts w:ascii="Times New Roman" w:hAnsi="Times New Roman" w:cs="Times New Roman"/>
          <w:sz w:val="28"/>
          <w:szCs w:val="28"/>
        </w:rPr>
        <w:t xml:space="preserve"> (202</w:t>
      </w:r>
      <w:r w:rsidRPr="00152C0F">
        <w:rPr>
          <w:rFonts w:ascii="Times New Roman" w:hAnsi="Times New Roman" w:cs="Times New Roman"/>
          <w:sz w:val="28"/>
          <w:szCs w:val="28"/>
        </w:rPr>
        <w:t>4</w:t>
      </w:r>
      <w:r w:rsidRPr="00152C0F">
        <w:rPr>
          <w:rFonts w:ascii="Times New Roman" w:hAnsi="Times New Roman" w:cs="Times New Roman"/>
          <w:sz w:val="28"/>
          <w:szCs w:val="28"/>
        </w:rPr>
        <w:t>)</w:t>
      </w:r>
    </w:p>
    <w:p w:rsidR="006D4874" w:rsidRPr="00152C0F" w:rsidRDefault="00152C0F" w:rsidP="00A553C9">
      <w:pPr>
        <w:jc w:val="both"/>
        <w:rPr>
          <w:rFonts w:ascii="Times New Roman" w:hAnsi="Times New Roman" w:cs="Times New Roman"/>
          <w:sz w:val="28"/>
          <w:szCs w:val="28"/>
        </w:rPr>
      </w:pPr>
    </w:p>
    <w:p w:rsidR="00423ED3" w:rsidRPr="00152C0F" w:rsidRDefault="00152C0F" w:rsidP="00A553C9">
      <w:pPr>
        <w:jc w:val="both"/>
        <w:rPr>
          <w:rFonts w:ascii="Times New Roman" w:hAnsi="Times New Roman" w:cs="Times New Roman"/>
          <w:sz w:val="28"/>
          <w:szCs w:val="28"/>
        </w:rPr>
      </w:pPr>
      <w:r w:rsidRPr="00152C0F">
        <w:rPr>
          <w:rFonts w:ascii="Times New Roman" w:hAnsi="Times New Roman" w:cs="Times New Roman"/>
          <w:sz w:val="28"/>
          <w:szCs w:val="28"/>
        </w:rPr>
        <w:t xml:space="preserve">La Corte Constitucional, con fundamento en el artículo 241.4 de la Constitución y cumplido </w:t>
      </w:r>
      <w:r w:rsidRPr="00152C0F">
        <w:rPr>
          <w:rFonts w:ascii="Times New Roman" w:hAnsi="Times New Roman" w:cs="Times New Roman"/>
          <w:sz w:val="28"/>
          <w:szCs w:val="28"/>
        </w:rPr>
        <w:t>el procedimiento</w:t>
      </w:r>
      <w:r w:rsidRPr="00152C0F">
        <w:rPr>
          <w:rStyle w:val="Refdenotaalpie"/>
          <w:rFonts w:ascii="Times New Roman" w:hAnsi="Times New Roman" w:cs="Times New Roman"/>
          <w:sz w:val="28"/>
          <w:szCs w:val="28"/>
        </w:rPr>
        <w:footnoteReference w:id="1"/>
      </w:r>
      <w:r w:rsidRPr="00152C0F">
        <w:rPr>
          <w:rFonts w:ascii="Times New Roman" w:hAnsi="Times New Roman" w:cs="Times New Roman"/>
          <w:sz w:val="28"/>
          <w:szCs w:val="28"/>
        </w:rPr>
        <w:t xml:space="preserve"> previsto en el Decreto Ley 2067 de 1991, </w:t>
      </w:r>
      <w:r w:rsidRPr="00152C0F">
        <w:rPr>
          <w:rFonts w:ascii="Times New Roman" w:hAnsi="Times New Roman" w:cs="Times New Roman"/>
          <w:sz w:val="28"/>
          <w:szCs w:val="28"/>
        </w:rPr>
        <w:t>decide sobre la demanda presentada</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con fundamento en el artículo 40.6 de la Constitución, </w:t>
      </w:r>
      <w:r w:rsidRPr="00152C0F">
        <w:rPr>
          <w:rFonts w:ascii="Times New Roman" w:hAnsi="Times New Roman" w:cs="Times New Roman"/>
          <w:sz w:val="28"/>
          <w:szCs w:val="28"/>
        </w:rPr>
        <w:t xml:space="preserve">por </w:t>
      </w:r>
      <w:r w:rsidRPr="00152C0F">
        <w:rPr>
          <w:rFonts w:ascii="Times New Roman" w:hAnsi="Times New Roman" w:cs="Times New Roman"/>
          <w:sz w:val="28"/>
          <w:szCs w:val="28"/>
        </w:rPr>
        <w:t xml:space="preserve">el </w:t>
      </w:r>
      <w:r w:rsidRPr="00152C0F">
        <w:rPr>
          <w:rFonts w:ascii="Times New Roman" w:hAnsi="Times New Roman" w:cs="Times New Roman"/>
          <w:sz w:val="28"/>
          <w:szCs w:val="28"/>
        </w:rPr>
        <w:t>ciudadan</w:t>
      </w:r>
      <w:r w:rsidRPr="00152C0F">
        <w:rPr>
          <w:rFonts w:ascii="Times New Roman" w:hAnsi="Times New Roman" w:cs="Times New Roman"/>
          <w:sz w:val="28"/>
          <w:szCs w:val="28"/>
        </w:rPr>
        <w:t>o</w:t>
      </w:r>
      <w:r w:rsidRPr="00152C0F">
        <w:rPr>
          <w:rFonts w:ascii="Times New Roman" w:hAnsi="Times New Roman" w:cs="Times New Roman"/>
          <w:sz w:val="28"/>
          <w:szCs w:val="28"/>
        </w:rPr>
        <w:t xml:space="preserve"> </w:t>
      </w:r>
      <w:r w:rsidRPr="00152C0F">
        <w:rPr>
          <w:rFonts w:ascii="Times New Roman" w:hAnsi="Times New Roman" w:cs="Times New Roman"/>
          <w:sz w:val="28"/>
          <w:szCs w:val="28"/>
          <w:lang w:val="es-ES_tradnl"/>
        </w:rPr>
        <w:t>Édgar Javier Navia Estrada</w:t>
      </w:r>
      <w:r w:rsidRPr="00152C0F">
        <w:rPr>
          <w:rFonts w:ascii="Times New Roman" w:hAnsi="Times New Roman" w:cs="Times New Roman"/>
          <w:sz w:val="28"/>
          <w:szCs w:val="28"/>
          <w:lang w:val="es-ES_tradnl"/>
        </w:rPr>
        <w:t xml:space="preserve"> </w:t>
      </w:r>
      <w:r w:rsidRPr="00152C0F">
        <w:rPr>
          <w:rFonts w:ascii="Times New Roman" w:hAnsi="Times New Roman" w:cs="Times New Roman"/>
          <w:sz w:val="28"/>
          <w:szCs w:val="28"/>
        </w:rPr>
        <w:t xml:space="preserve">contra </w:t>
      </w:r>
      <w:r w:rsidRPr="00152C0F">
        <w:rPr>
          <w:rFonts w:ascii="Times New Roman" w:hAnsi="Times New Roman" w:cs="Times New Roman"/>
          <w:sz w:val="28"/>
          <w:szCs w:val="28"/>
        </w:rPr>
        <w:t>los artículos 211 y 212 de la Ley 2294 de 2023</w:t>
      </w:r>
      <w:r w:rsidRPr="00152C0F">
        <w:rPr>
          <w:rFonts w:ascii="Times New Roman" w:hAnsi="Times New Roman" w:cs="Times New Roman"/>
          <w:sz w:val="28"/>
          <w:szCs w:val="28"/>
        </w:rPr>
        <w:t xml:space="preserve">, cuyo texto es </w:t>
      </w:r>
      <w:r w:rsidRPr="00152C0F">
        <w:rPr>
          <w:rFonts w:ascii="Times New Roman" w:hAnsi="Times New Roman" w:cs="Times New Roman"/>
          <w:sz w:val="28"/>
          <w:szCs w:val="28"/>
        </w:rPr>
        <w:t xml:space="preserve">el </w:t>
      </w:r>
      <w:r w:rsidRPr="00152C0F">
        <w:rPr>
          <w:rFonts w:ascii="Times New Roman" w:hAnsi="Times New Roman" w:cs="Times New Roman"/>
          <w:sz w:val="28"/>
          <w:szCs w:val="28"/>
        </w:rPr>
        <w:t>siguiente:</w:t>
      </w:r>
    </w:p>
    <w:p w:rsidR="00666C43" w:rsidRPr="00152C0F" w:rsidRDefault="00152C0F" w:rsidP="00A553C9">
      <w:pPr>
        <w:jc w:val="both"/>
        <w:rPr>
          <w:rFonts w:ascii="Times New Roman" w:hAnsi="Times New Roman" w:cs="Times New Roman"/>
          <w:b/>
          <w:bCs/>
          <w:sz w:val="28"/>
          <w:szCs w:val="28"/>
        </w:rPr>
      </w:pPr>
    </w:p>
    <w:p w:rsidR="00790360" w:rsidRPr="00152C0F" w:rsidRDefault="00152C0F" w:rsidP="00A553C9">
      <w:pPr>
        <w:jc w:val="both"/>
        <w:rPr>
          <w:rFonts w:ascii="Times New Roman" w:hAnsi="Times New Roman" w:cs="Times New Roman"/>
          <w:b/>
          <w:bCs/>
          <w:sz w:val="28"/>
          <w:szCs w:val="28"/>
        </w:rPr>
      </w:pPr>
    </w:p>
    <w:p w:rsidR="0080756E" w:rsidRPr="00152C0F" w:rsidRDefault="00152C0F" w:rsidP="00A17EA0">
      <w:pPr>
        <w:pStyle w:val="Estilo1"/>
        <w:numPr>
          <w:ilvl w:val="0"/>
          <w:numId w:val="1"/>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DISPOSICI</w:t>
      </w:r>
      <w:r w:rsidRPr="00152C0F">
        <w:rPr>
          <w:rStyle w:val="Ttulo1Car"/>
          <w:rFonts w:ascii="Times New Roman" w:hAnsi="Times New Roman" w:cs="Times New Roman"/>
          <w:bCs/>
          <w:color w:val="auto"/>
          <w:sz w:val="28"/>
          <w:szCs w:val="28"/>
        </w:rPr>
        <w:t>ONES</w:t>
      </w:r>
      <w:r w:rsidRPr="00152C0F">
        <w:rPr>
          <w:rStyle w:val="Ttulo1Car"/>
          <w:rFonts w:ascii="Times New Roman" w:hAnsi="Times New Roman" w:cs="Times New Roman"/>
          <w:bCs/>
          <w:color w:val="auto"/>
          <w:sz w:val="28"/>
          <w:szCs w:val="28"/>
        </w:rPr>
        <w:t xml:space="preserve"> DEMANDADA</w:t>
      </w:r>
      <w:r w:rsidRPr="00152C0F">
        <w:rPr>
          <w:rStyle w:val="Ttulo1Car"/>
          <w:rFonts w:ascii="Times New Roman" w:hAnsi="Times New Roman" w:cs="Times New Roman"/>
          <w:bCs/>
          <w:color w:val="auto"/>
          <w:sz w:val="28"/>
          <w:szCs w:val="28"/>
        </w:rPr>
        <w:t>S</w:t>
      </w:r>
    </w:p>
    <w:p w:rsidR="0080756E" w:rsidRPr="00152C0F" w:rsidRDefault="00152C0F" w:rsidP="00A553C9">
      <w:pPr>
        <w:pBdr>
          <w:top w:val="nil"/>
          <w:left w:val="nil"/>
          <w:bottom w:val="nil"/>
          <w:right w:val="nil"/>
          <w:between w:val="nil"/>
        </w:pBdr>
        <w:ind w:right="56"/>
        <w:contextualSpacing/>
        <w:jc w:val="both"/>
        <w:rPr>
          <w:rFonts w:ascii="Times New Roman" w:hAnsi="Times New Roman" w:cs="Times New Roman"/>
          <w:sz w:val="28"/>
          <w:szCs w:val="28"/>
        </w:rPr>
      </w:pPr>
    </w:p>
    <w:p w:rsidR="00E125AC" w:rsidRPr="00152C0F" w:rsidRDefault="00152C0F" w:rsidP="00A553C9">
      <w:pPr>
        <w:ind w:right="49"/>
        <w:jc w:val="center"/>
        <w:rPr>
          <w:rFonts w:ascii="Times New Roman" w:hAnsi="Times New Roman" w:cs="Times New Roman"/>
          <w:sz w:val="28"/>
          <w:szCs w:val="24"/>
        </w:rPr>
      </w:pPr>
      <w:r w:rsidRPr="00152C0F">
        <w:rPr>
          <w:rFonts w:ascii="Times New Roman" w:hAnsi="Times New Roman" w:cs="Times New Roman"/>
          <w:sz w:val="28"/>
          <w:szCs w:val="24"/>
        </w:rPr>
        <w:t>“LEY 2294 DE 2023</w:t>
      </w:r>
      <w:r w:rsidRPr="00152C0F">
        <w:rPr>
          <w:rStyle w:val="Refdenotaalpie"/>
          <w:rFonts w:ascii="Times New Roman" w:hAnsi="Times New Roman" w:cs="Times New Roman"/>
          <w:sz w:val="28"/>
          <w:szCs w:val="24"/>
        </w:rPr>
        <w:footnoteReference w:id="2"/>
      </w:r>
    </w:p>
    <w:p w:rsidR="00E125AC" w:rsidRPr="00152C0F" w:rsidRDefault="00152C0F" w:rsidP="00A553C9">
      <w:pPr>
        <w:ind w:right="49"/>
        <w:jc w:val="center"/>
        <w:rPr>
          <w:rFonts w:ascii="Times New Roman" w:hAnsi="Times New Roman" w:cs="Times New Roman"/>
          <w:sz w:val="28"/>
          <w:szCs w:val="24"/>
        </w:rPr>
      </w:pPr>
      <w:bookmarkStart w:id="1" w:name="_Hlk135141479"/>
      <w:bookmarkStart w:id="2" w:name="_Hlk150349964"/>
      <w:r w:rsidRPr="00152C0F">
        <w:rPr>
          <w:rFonts w:ascii="Times New Roman" w:hAnsi="Times New Roman" w:cs="Times New Roman"/>
          <w:sz w:val="28"/>
          <w:szCs w:val="24"/>
        </w:rPr>
        <w:t xml:space="preserve">Por la cual se expide el Plan Nacional de Desarrollo 2022-2026. Colombia Potencia Mundial de la </w:t>
      </w:r>
      <w:r w:rsidRPr="00152C0F">
        <w:rPr>
          <w:rFonts w:ascii="Times New Roman" w:hAnsi="Times New Roman" w:cs="Times New Roman"/>
          <w:sz w:val="28"/>
          <w:szCs w:val="24"/>
        </w:rPr>
        <w:t>Vida</w:t>
      </w:r>
      <w:bookmarkEnd w:id="1"/>
      <w:r w:rsidRPr="00152C0F">
        <w:rPr>
          <w:rFonts w:ascii="Times New Roman" w:hAnsi="Times New Roman" w:cs="Times New Roman"/>
          <w:sz w:val="28"/>
          <w:szCs w:val="24"/>
        </w:rPr>
        <w:t>.</w:t>
      </w:r>
      <w:bookmarkEnd w:id="2"/>
    </w:p>
    <w:p w:rsidR="00E125AC" w:rsidRPr="00152C0F" w:rsidRDefault="00152C0F" w:rsidP="00A553C9">
      <w:pPr>
        <w:ind w:right="49"/>
        <w:jc w:val="center"/>
        <w:rPr>
          <w:rFonts w:ascii="Times New Roman" w:hAnsi="Times New Roman" w:cs="Times New Roman"/>
          <w:sz w:val="28"/>
          <w:szCs w:val="24"/>
        </w:rPr>
      </w:pPr>
    </w:p>
    <w:p w:rsidR="00B36198" w:rsidRPr="00152C0F" w:rsidRDefault="00152C0F" w:rsidP="00A553C9">
      <w:pPr>
        <w:ind w:right="49"/>
        <w:jc w:val="center"/>
        <w:rPr>
          <w:rFonts w:ascii="Times New Roman" w:hAnsi="Times New Roman" w:cs="Times New Roman"/>
          <w:sz w:val="28"/>
          <w:szCs w:val="24"/>
        </w:rPr>
      </w:pPr>
      <w:r w:rsidRPr="00152C0F">
        <w:rPr>
          <w:rFonts w:ascii="Times New Roman" w:hAnsi="Times New Roman" w:cs="Times New Roman"/>
          <w:sz w:val="28"/>
          <w:szCs w:val="24"/>
        </w:rPr>
        <w:t>EL CONGRESO DE COLOMBIA</w:t>
      </w:r>
      <w:r w:rsidRPr="00152C0F">
        <w:rPr>
          <w:rFonts w:ascii="Times New Roman" w:hAnsi="Times New Roman" w:cs="Times New Roman"/>
          <w:sz w:val="28"/>
          <w:szCs w:val="24"/>
        </w:rPr>
        <w:t>,</w:t>
      </w:r>
    </w:p>
    <w:p w:rsidR="00E125AC" w:rsidRPr="00152C0F" w:rsidRDefault="00152C0F" w:rsidP="00A553C9">
      <w:pPr>
        <w:ind w:right="49"/>
        <w:jc w:val="center"/>
        <w:rPr>
          <w:rFonts w:ascii="Times New Roman" w:hAnsi="Times New Roman" w:cs="Times New Roman"/>
          <w:sz w:val="28"/>
          <w:szCs w:val="24"/>
        </w:rPr>
      </w:pPr>
      <w:r w:rsidRPr="00152C0F">
        <w:rPr>
          <w:rFonts w:ascii="Times New Roman" w:hAnsi="Times New Roman" w:cs="Times New Roman"/>
          <w:sz w:val="28"/>
          <w:szCs w:val="24"/>
        </w:rPr>
        <w:t>DECRETA:</w:t>
      </w:r>
    </w:p>
    <w:p w:rsidR="00C91D0F" w:rsidRPr="00152C0F" w:rsidRDefault="00152C0F" w:rsidP="00A553C9">
      <w:pPr>
        <w:ind w:right="49"/>
        <w:jc w:val="center"/>
        <w:rPr>
          <w:rFonts w:ascii="Times New Roman" w:hAnsi="Times New Roman" w:cs="Times New Roman"/>
          <w:sz w:val="28"/>
          <w:szCs w:val="24"/>
        </w:rPr>
      </w:pPr>
      <w:r w:rsidRPr="00152C0F">
        <w:rPr>
          <w:rFonts w:ascii="Times New Roman" w:hAnsi="Times New Roman" w:cs="Times New Roman"/>
          <w:sz w:val="28"/>
          <w:szCs w:val="24"/>
        </w:rPr>
        <w:t>[…]</w:t>
      </w:r>
    </w:p>
    <w:p w:rsidR="00B36198" w:rsidRPr="00152C0F" w:rsidRDefault="00152C0F" w:rsidP="00A553C9">
      <w:pPr>
        <w:ind w:right="49"/>
        <w:jc w:val="center"/>
        <w:rPr>
          <w:rFonts w:ascii="Times New Roman" w:hAnsi="Times New Roman" w:cs="Times New Roman"/>
          <w:sz w:val="28"/>
          <w:szCs w:val="24"/>
        </w:rPr>
      </w:pPr>
      <w:r w:rsidRPr="00152C0F">
        <w:rPr>
          <w:rFonts w:ascii="Times New Roman" w:hAnsi="Times New Roman" w:cs="Times New Roman"/>
          <w:sz w:val="28"/>
          <w:szCs w:val="24"/>
        </w:rPr>
        <w:t>TÍTULO I</w:t>
      </w:r>
      <w:r w:rsidRPr="00152C0F">
        <w:rPr>
          <w:rFonts w:ascii="Times New Roman" w:hAnsi="Times New Roman" w:cs="Times New Roman"/>
          <w:sz w:val="28"/>
          <w:szCs w:val="24"/>
        </w:rPr>
        <w:t>II</w:t>
      </w:r>
    </w:p>
    <w:p w:rsidR="003915BB" w:rsidRPr="00152C0F" w:rsidRDefault="00152C0F" w:rsidP="00A553C9">
      <w:pPr>
        <w:ind w:right="49"/>
        <w:jc w:val="center"/>
        <w:rPr>
          <w:rFonts w:ascii="Times New Roman" w:hAnsi="Times New Roman" w:cs="Times New Roman"/>
          <w:sz w:val="28"/>
          <w:szCs w:val="24"/>
        </w:rPr>
      </w:pPr>
      <w:r w:rsidRPr="00152C0F">
        <w:rPr>
          <w:rFonts w:ascii="Times New Roman" w:hAnsi="Times New Roman" w:cs="Times New Roman"/>
          <w:sz w:val="28"/>
          <w:szCs w:val="24"/>
        </w:rPr>
        <w:t>MECANISMOS DE EJECUCIÓN DEL PLAN</w:t>
      </w:r>
    </w:p>
    <w:p w:rsidR="00750792" w:rsidRPr="00152C0F" w:rsidRDefault="00152C0F" w:rsidP="00A553C9">
      <w:pPr>
        <w:ind w:right="49"/>
        <w:jc w:val="center"/>
        <w:rPr>
          <w:rFonts w:ascii="Times New Roman" w:hAnsi="Times New Roman" w:cs="Times New Roman"/>
          <w:sz w:val="28"/>
          <w:szCs w:val="24"/>
        </w:rPr>
      </w:pPr>
      <w:r w:rsidRPr="00152C0F">
        <w:rPr>
          <w:rFonts w:ascii="Times New Roman" w:hAnsi="Times New Roman" w:cs="Times New Roman"/>
          <w:sz w:val="28"/>
          <w:szCs w:val="24"/>
        </w:rPr>
        <w:t>[…]</w:t>
      </w:r>
    </w:p>
    <w:p w:rsidR="00750792" w:rsidRPr="00152C0F" w:rsidRDefault="00152C0F" w:rsidP="00A553C9">
      <w:pPr>
        <w:ind w:right="49"/>
        <w:jc w:val="center"/>
        <w:rPr>
          <w:rFonts w:ascii="Times New Roman" w:hAnsi="Times New Roman" w:cs="Times New Roman"/>
          <w:sz w:val="28"/>
          <w:szCs w:val="24"/>
        </w:rPr>
      </w:pPr>
      <w:r w:rsidRPr="00152C0F">
        <w:rPr>
          <w:rFonts w:ascii="Times New Roman" w:hAnsi="Times New Roman" w:cs="Times New Roman"/>
          <w:bCs/>
          <w:sz w:val="28"/>
          <w:szCs w:val="24"/>
        </w:rPr>
        <w:t>CAPÍTULO III</w:t>
      </w:r>
    </w:p>
    <w:p w:rsidR="00750792" w:rsidRPr="00152C0F" w:rsidRDefault="00152C0F" w:rsidP="00A553C9">
      <w:pPr>
        <w:ind w:right="49"/>
        <w:jc w:val="center"/>
        <w:rPr>
          <w:rFonts w:ascii="Times New Roman" w:hAnsi="Times New Roman" w:cs="Times New Roman"/>
          <w:bCs/>
          <w:sz w:val="28"/>
          <w:szCs w:val="24"/>
        </w:rPr>
      </w:pPr>
      <w:r w:rsidRPr="00152C0F">
        <w:rPr>
          <w:rFonts w:ascii="Times New Roman" w:hAnsi="Times New Roman" w:cs="Times New Roman"/>
          <w:bCs/>
          <w:sz w:val="28"/>
          <w:szCs w:val="24"/>
        </w:rPr>
        <w:t>SEGURIDAD HUMANA Y JUSTICIA SOCIAL</w:t>
      </w:r>
    </w:p>
    <w:p w:rsidR="00750792" w:rsidRPr="00152C0F" w:rsidRDefault="00152C0F" w:rsidP="00A553C9">
      <w:pPr>
        <w:ind w:right="49"/>
        <w:jc w:val="center"/>
        <w:rPr>
          <w:rFonts w:ascii="Times New Roman" w:hAnsi="Times New Roman" w:cs="Times New Roman"/>
          <w:sz w:val="28"/>
          <w:szCs w:val="24"/>
        </w:rPr>
      </w:pPr>
      <w:r w:rsidRPr="00152C0F">
        <w:rPr>
          <w:rFonts w:ascii="Times New Roman" w:hAnsi="Times New Roman" w:cs="Times New Roman"/>
          <w:sz w:val="28"/>
          <w:szCs w:val="24"/>
        </w:rPr>
        <w:t>[…]</w:t>
      </w:r>
    </w:p>
    <w:p w:rsidR="00750792" w:rsidRPr="00152C0F" w:rsidRDefault="00152C0F" w:rsidP="00A553C9">
      <w:pPr>
        <w:ind w:right="49"/>
        <w:jc w:val="center"/>
        <w:rPr>
          <w:rFonts w:ascii="Times New Roman" w:hAnsi="Times New Roman" w:cs="Times New Roman"/>
          <w:sz w:val="28"/>
          <w:szCs w:val="24"/>
        </w:rPr>
      </w:pPr>
      <w:r w:rsidRPr="00152C0F">
        <w:rPr>
          <w:rFonts w:ascii="Times New Roman" w:hAnsi="Times New Roman" w:cs="Times New Roman"/>
          <w:bCs/>
          <w:sz w:val="28"/>
          <w:szCs w:val="24"/>
        </w:rPr>
        <w:t>SECCIÓN V</w:t>
      </w:r>
    </w:p>
    <w:p w:rsidR="00750792" w:rsidRPr="00152C0F" w:rsidRDefault="00152C0F" w:rsidP="00A553C9">
      <w:pPr>
        <w:ind w:right="49"/>
        <w:jc w:val="center"/>
        <w:rPr>
          <w:rFonts w:ascii="Times New Roman" w:hAnsi="Times New Roman" w:cs="Times New Roman"/>
          <w:sz w:val="28"/>
          <w:szCs w:val="24"/>
        </w:rPr>
      </w:pPr>
      <w:r w:rsidRPr="00152C0F">
        <w:rPr>
          <w:rFonts w:ascii="Times New Roman" w:hAnsi="Times New Roman" w:cs="Times New Roman"/>
          <w:bCs/>
          <w:sz w:val="28"/>
          <w:szCs w:val="24"/>
        </w:rPr>
        <w:t>JUSTICIA PARA EL CAMBIO SOCIAL, DEMOCRATIZACIÓN DEL ESTADO Y GARANTÍA DE DERECHOS Y LIBERTADES</w:t>
      </w:r>
    </w:p>
    <w:p w:rsidR="00E125AC" w:rsidRPr="00152C0F" w:rsidRDefault="00152C0F" w:rsidP="00A553C9">
      <w:pPr>
        <w:ind w:right="49"/>
        <w:jc w:val="both"/>
        <w:rPr>
          <w:rFonts w:ascii="Times New Roman" w:hAnsi="Times New Roman" w:cs="Times New Roman"/>
          <w:sz w:val="28"/>
          <w:szCs w:val="24"/>
        </w:rPr>
      </w:pPr>
    </w:p>
    <w:p w:rsidR="00E4056B" w:rsidRPr="00152C0F" w:rsidRDefault="00152C0F" w:rsidP="00A553C9">
      <w:pPr>
        <w:tabs>
          <w:tab w:val="left" w:pos="0"/>
        </w:tabs>
        <w:ind w:right="49"/>
        <w:jc w:val="both"/>
        <w:rPr>
          <w:rFonts w:ascii="Times New Roman" w:hAnsi="Times New Roman" w:cs="Times New Roman"/>
          <w:iCs/>
          <w:sz w:val="28"/>
          <w:szCs w:val="24"/>
        </w:rPr>
      </w:pPr>
      <w:r w:rsidRPr="00152C0F">
        <w:rPr>
          <w:rFonts w:ascii="Times New Roman" w:hAnsi="Times New Roman" w:cs="Times New Roman"/>
          <w:b/>
          <w:bCs/>
          <w:iCs/>
          <w:sz w:val="28"/>
          <w:szCs w:val="24"/>
        </w:rPr>
        <w:t>Artículo 211. Medida para garantizar los bienes del FRISCO.</w:t>
      </w:r>
      <w:r w:rsidRPr="00152C0F">
        <w:rPr>
          <w:rFonts w:ascii="Times New Roman" w:hAnsi="Times New Roman" w:cs="Times New Roman"/>
          <w:iCs/>
          <w:sz w:val="28"/>
          <w:szCs w:val="24"/>
        </w:rPr>
        <w:t xml:space="preserve"> Como medida para garantizar permanencia de los bienes del FRISCO bajo custodia de su administrador, se dispone que respecto a los bienes que se encuentren en el FRISCO bajo administración de la So</w:t>
      </w:r>
      <w:r w:rsidRPr="00152C0F">
        <w:rPr>
          <w:rFonts w:ascii="Times New Roman" w:hAnsi="Times New Roman" w:cs="Times New Roman"/>
          <w:iCs/>
          <w:sz w:val="28"/>
          <w:szCs w:val="24"/>
        </w:rPr>
        <w:t>ciedad de Activos Especiales del Estado S.A.S., o del administrador que corresponda, no operará la prescripción adquisitiva, tal situación será extensiva a los bienes sociales que hagan parte de las sociedades respecto a las cuales el administrador del FRI</w:t>
      </w:r>
      <w:r w:rsidRPr="00152C0F">
        <w:rPr>
          <w:rFonts w:ascii="Times New Roman" w:hAnsi="Times New Roman" w:cs="Times New Roman"/>
          <w:iCs/>
          <w:sz w:val="28"/>
          <w:szCs w:val="24"/>
        </w:rPr>
        <w:t>SCO ejerza su competencia.</w:t>
      </w:r>
    </w:p>
    <w:p w:rsidR="00E4056B" w:rsidRPr="00152C0F" w:rsidRDefault="00152C0F" w:rsidP="00A553C9">
      <w:pPr>
        <w:tabs>
          <w:tab w:val="left" w:pos="0"/>
        </w:tabs>
        <w:ind w:right="49"/>
        <w:jc w:val="both"/>
        <w:rPr>
          <w:rFonts w:ascii="Times New Roman" w:hAnsi="Times New Roman" w:cs="Times New Roman"/>
          <w:iCs/>
          <w:sz w:val="28"/>
          <w:szCs w:val="24"/>
        </w:rPr>
      </w:pPr>
    </w:p>
    <w:p w:rsidR="00E4056B" w:rsidRPr="00152C0F" w:rsidRDefault="00152C0F" w:rsidP="00A553C9">
      <w:pPr>
        <w:tabs>
          <w:tab w:val="left" w:pos="0"/>
        </w:tabs>
        <w:ind w:right="49"/>
        <w:jc w:val="both"/>
        <w:rPr>
          <w:rFonts w:ascii="Times New Roman" w:hAnsi="Times New Roman" w:cs="Times New Roman"/>
          <w:iCs/>
          <w:sz w:val="28"/>
          <w:szCs w:val="24"/>
        </w:rPr>
      </w:pPr>
      <w:r w:rsidRPr="00152C0F">
        <w:rPr>
          <w:rFonts w:ascii="Times New Roman" w:hAnsi="Times New Roman" w:cs="Times New Roman"/>
          <w:b/>
          <w:bCs/>
          <w:iCs/>
          <w:sz w:val="28"/>
          <w:szCs w:val="24"/>
        </w:rPr>
        <w:t>Artículo 212.</w:t>
      </w:r>
      <w:r w:rsidRPr="00152C0F">
        <w:rPr>
          <w:rFonts w:ascii="Times New Roman" w:hAnsi="Times New Roman" w:cs="Times New Roman"/>
          <w:iCs/>
          <w:sz w:val="28"/>
          <w:szCs w:val="24"/>
        </w:rPr>
        <w:t xml:space="preserve"> Adiciónese un parágrafo al artículo 21 de la Ley 1708 de 2014, así:</w:t>
      </w:r>
    </w:p>
    <w:p w:rsidR="00E4056B" w:rsidRPr="00152C0F" w:rsidRDefault="00152C0F" w:rsidP="00A553C9">
      <w:pPr>
        <w:tabs>
          <w:tab w:val="left" w:pos="0"/>
        </w:tabs>
        <w:ind w:right="49"/>
        <w:jc w:val="both"/>
        <w:rPr>
          <w:rFonts w:ascii="Times New Roman" w:hAnsi="Times New Roman" w:cs="Times New Roman"/>
          <w:iCs/>
          <w:sz w:val="28"/>
          <w:szCs w:val="24"/>
        </w:rPr>
      </w:pPr>
    </w:p>
    <w:p w:rsidR="00E4056B" w:rsidRPr="00152C0F" w:rsidRDefault="00152C0F" w:rsidP="00A553C9">
      <w:pPr>
        <w:tabs>
          <w:tab w:val="left" w:pos="0"/>
        </w:tabs>
        <w:ind w:right="49"/>
        <w:jc w:val="both"/>
        <w:rPr>
          <w:rFonts w:ascii="Times New Roman" w:hAnsi="Times New Roman" w:cs="Times New Roman"/>
          <w:b/>
          <w:bCs/>
          <w:iCs/>
          <w:sz w:val="28"/>
          <w:szCs w:val="24"/>
        </w:rPr>
      </w:pPr>
      <w:r w:rsidRPr="00152C0F">
        <w:rPr>
          <w:rFonts w:ascii="Times New Roman" w:hAnsi="Times New Roman" w:cs="Times New Roman"/>
          <w:b/>
          <w:bCs/>
          <w:iCs/>
          <w:sz w:val="28"/>
          <w:szCs w:val="24"/>
        </w:rPr>
        <w:t>Artículo 21. Intemporalidad.</w:t>
      </w:r>
    </w:p>
    <w:p w:rsidR="00E4056B" w:rsidRPr="00152C0F" w:rsidRDefault="00152C0F" w:rsidP="00A553C9">
      <w:pPr>
        <w:tabs>
          <w:tab w:val="left" w:pos="0"/>
        </w:tabs>
        <w:ind w:right="49"/>
        <w:jc w:val="both"/>
        <w:rPr>
          <w:rFonts w:ascii="Times New Roman" w:hAnsi="Times New Roman" w:cs="Times New Roman"/>
          <w:iCs/>
          <w:sz w:val="28"/>
          <w:szCs w:val="24"/>
        </w:rPr>
      </w:pPr>
      <w:r w:rsidRPr="00152C0F">
        <w:rPr>
          <w:rFonts w:ascii="Times New Roman" w:hAnsi="Times New Roman" w:cs="Times New Roman"/>
          <w:iCs/>
          <w:sz w:val="28"/>
          <w:szCs w:val="24"/>
        </w:rPr>
        <w:t>(...)</w:t>
      </w:r>
    </w:p>
    <w:p w:rsidR="00E125AC" w:rsidRPr="00152C0F" w:rsidRDefault="00152C0F" w:rsidP="00A553C9">
      <w:pPr>
        <w:ind w:right="49"/>
        <w:jc w:val="both"/>
        <w:rPr>
          <w:rFonts w:ascii="Times New Roman" w:hAnsi="Times New Roman" w:cs="Times New Roman"/>
          <w:sz w:val="28"/>
          <w:szCs w:val="24"/>
        </w:rPr>
      </w:pPr>
      <w:r w:rsidRPr="00152C0F">
        <w:rPr>
          <w:rFonts w:ascii="Times New Roman" w:hAnsi="Times New Roman" w:cs="Times New Roman"/>
          <w:b/>
          <w:bCs/>
          <w:iCs/>
          <w:sz w:val="28"/>
          <w:szCs w:val="24"/>
        </w:rPr>
        <w:t>Parágrafo.</w:t>
      </w:r>
      <w:r w:rsidRPr="00152C0F">
        <w:rPr>
          <w:rFonts w:ascii="Times New Roman" w:hAnsi="Times New Roman" w:cs="Times New Roman"/>
          <w:iCs/>
          <w:sz w:val="28"/>
          <w:szCs w:val="24"/>
        </w:rPr>
        <w:t xml:space="preserve"> Las medidas cautelares ordenadas en los procesos de extinción de dominio estarán vigentes hasta tan</w:t>
      </w:r>
      <w:r w:rsidRPr="00152C0F">
        <w:rPr>
          <w:rFonts w:ascii="Times New Roman" w:hAnsi="Times New Roman" w:cs="Times New Roman"/>
          <w:iCs/>
          <w:sz w:val="28"/>
          <w:szCs w:val="24"/>
        </w:rPr>
        <w:t>to no exista orden judicial que ordene su cancelación o se cuente con sentencia ejecutoriada que haya puesto fin al proceso judicial dentro del cual fueron ordenadas”.</w:t>
      </w:r>
    </w:p>
    <w:p w:rsidR="00F70A71" w:rsidRPr="00152C0F" w:rsidRDefault="00152C0F" w:rsidP="00A553C9">
      <w:pPr>
        <w:keepNext/>
        <w:tabs>
          <w:tab w:val="left" w:pos="2725"/>
        </w:tabs>
        <w:jc w:val="both"/>
        <w:rPr>
          <w:rFonts w:ascii="Times New Roman" w:hAnsi="Times New Roman" w:cs="Times New Roman"/>
          <w:sz w:val="28"/>
          <w:szCs w:val="28"/>
        </w:rPr>
      </w:pPr>
    </w:p>
    <w:p w:rsidR="00F70A71" w:rsidRPr="00152C0F" w:rsidRDefault="00152C0F" w:rsidP="00A553C9">
      <w:pPr>
        <w:keepNext/>
        <w:tabs>
          <w:tab w:val="left" w:pos="2725"/>
        </w:tabs>
        <w:jc w:val="both"/>
        <w:rPr>
          <w:rFonts w:ascii="Times New Roman" w:hAnsi="Times New Roman" w:cs="Times New Roman"/>
          <w:sz w:val="28"/>
          <w:szCs w:val="28"/>
        </w:rPr>
      </w:pPr>
    </w:p>
    <w:p w:rsidR="0080756E" w:rsidRPr="00152C0F" w:rsidRDefault="00152C0F" w:rsidP="00A17EA0">
      <w:pPr>
        <w:pStyle w:val="Estilo1"/>
        <w:numPr>
          <w:ilvl w:val="0"/>
          <w:numId w:val="1"/>
        </w:numPr>
        <w:ind w:left="0" w:firstLine="0"/>
        <w:outlineLvl w:val="0"/>
        <w:rPr>
          <w:rStyle w:val="Ttulo1Car"/>
          <w:rFonts w:ascii="Times New Roman" w:hAnsi="Times New Roman" w:cs="Times New Roman"/>
          <w:color w:val="auto"/>
          <w:sz w:val="28"/>
          <w:szCs w:val="28"/>
        </w:rPr>
      </w:pPr>
      <w:r w:rsidRPr="00152C0F">
        <w:rPr>
          <w:rStyle w:val="Ttulo1Car"/>
          <w:rFonts w:ascii="Times New Roman" w:hAnsi="Times New Roman" w:cs="Times New Roman"/>
          <w:color w:val="auto"/>
          <w:sz w:val="28"/>
          <w:szCs w:val="28"/>
        </w:rPr>
        <w:t>LA DEMANDA</w:t>
      </w:r>
    </w:p>
    <w:p w:rsidR="00E125AC" w:rsidRPr="00152C0F" w:rsidRDefault="00152C0F" w:rsidP="00A553C9">
      <w:pPr>
        <w:pStyle w:val="Prrafodelista"/>
        <w:ind w:left="0"/>
        <w:jc w:val="both"/>
        <w:rPr>
          <w:rFonts w:ascii="Times New Roman" w:hAnsi="Times New Roman" w:cs="Times New Roman"/>
          <w:sz w:val="28"/>
          <w:szCs w:val="28"/>
        </w:rPr>
      </w:pPr>
    </w:p>
    <w:p w:rsidR="004F02A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lang w:val="es-ES_tradnl"/>
        </w:rPr>
        <w:t xml:space="preserve">Para </w:t>
      </w:r>
      <w:r w:rsidRPr="00152C0F">
        <w:rPr>
          <w:rFonts w:ascii="Times New Roman" w:hAnsi="Times New Roman" w:cs="Times New Roman"/>
          <w:sz w:val="28"/>
          <w:szCs w:val="28"/>
          <w:lang w:val="es-ES_tradnl"/>
        </w:rPr>
        <w:t xml:space="preserve">el </w:t>
      </w:r>
      <w:r w:rsidRPr="00152C0F">
        <w:rPr>
          <w:rFonts w:ascii="Times New Roman" w:hAnsi="Times New Roman" w:cs="Times New Roman"/>
          <w:sz w:val="28"/>
          <w:szCs w:val="28"/>
          <w:lang w:val="es-ES_tradnl"/>
        </w:rPr>
        <w:t>ciudadan</w:t>
      </w:r>
      <w:r w:rsidRPr="00152C0F">
        <w:rPr>
          <w:rFonts w:ascii="Times New Roman" w:hAnsi="Times New Roman" w:cs="Times New Roman"/>
          <w:sz w:val="28"/>
          <w:szCs w:val="28"/>
          <w:lang w:val="es-ES_tradnl"/>
        </w:rPr>
        <w:t>o</w:t>
      </w:r>
      <w:r w:rsidRPr="00152C0F">
        <w:rPr>
          <w:rFonts w:ascii="Times New Roman" w:hAnsi="Times New Roman" w:cs="Times New Roman"/>
          <w:sz w:val="28"/>
          <w:szCs w:val="28"/>
          <w:lang w:val="es-ES_tradnl"/>
        </w:rPr>
        <w:t xml:space="preserve"> </w:t>
      </w:r>
      <w:r w:rsidRPr="00152C0F">
        <w:rPr>
          <w:rFonts w:ascii="Times New Roman" w:hAnsi="Times New Roman" w:cs="Times New Roman"/>
          <w:sz w:val="28"/>
          <w:szCs w:val="28"/>
          <w:lang w:val="es-ES_tradnl"/>
        </w:rPr>
        <w:t>demandante</w:t>
      </w:r>
      <w:r w:rsidRPr="00152C0F">
        <w:rPr>
          <w:rFonts w:ascii="Times New Roman" w:hAnsi="Times New Roman" w:cs="Times New Roman"/>
          <w:sz w:val="28"/>
          <w:szCs w:val="28"/>
          <w:lang w:val="es-ES_tradnl"/>
        </w:rPr>
        <w:t>,</w:t>
      </w:r>
      <w:r w:rsidRPr="00152C0F">
        <w:rPr>
          <w:rFonts w:ascii="Times New Roman" w:hAnsi="Times New Roman" w:cs="Times New Roman"/>
          <w:sz w:val="28"/>
          <w:szCs w:val="28"/>
          <w:lang w:val="es-ES_tradnl"/>
        </w:rPr>
        <w:t xml:space="preserve"> </w:t>
      </w:r>
      <w:r w:rsidRPr="00152C0F">
        <w:rPr>
          <w:rFonts w:ascii="Times New Roman" w:hAnsi="Times New Roman" w:cs="Times New Roman"/>
          <w:sz w:val="28"/>
          <w:szCs w:val="28"/>
          <w:lang w:val="es-ES_tradnl"/>
        </w:rPr>
        <w:t xml:space="preserve">las disposiciones acusadas </w:t>
      </w:r>
      <w:r w:rsidRPr="00152C0F">
        <w:rPr>
          <w:rFonts w:ascii="Times New Roman" w:hAnsi="Times New Roman" w:cs="Times New Roman"/>
          <w:sz w:val="28"/>
          <w:szCs w:val="28"/>
          <w:lang w:val="es-ES_tradnl"/>
        </w:rPr>
        <w:t xml:space="preserve">desconocen el </w:t>
      </w:r>
      <w:r w:rsidRPr="00152C0F">
        <w:rPr>
          <w:rFonts w:ascii="Times New Roman" w:hAnsi="Times New Roman" w:cs="Times New Roman"/>
          <w:sz w:val="28"/>
          <w:szCs w:val="28"/>
          <w:lang w:val="es-ES_tradnl"/>
        </w:rPr>
        <w:t>principio constitucional de unidad de materia (artículos 158 y 169 de la Constitución)</w:t>
      </w:r>
      <w:r w:rsidRPr="00152C0F">
        <w:rPr>
          <w:rFonts w:ascii="Times New Roman" w:hAnsi="Times New Roman" w:cs="Times New Roman"/>
          <w:sz w:val="28"/>
          <w:szCs w:val="28"/>
          <w:lang w:val="es-ES_tradnl"/>
        </w:rPr>
        <w:t>, por cuanto</w:t>
      </w:r>
      <w:r w:rsidRPr="00152C0F">
        <w:rPr>
          <w:rFonts w:ascii="Times New Roman" w:hAnsi="Times New Roman" w:cs="Times New Roman"/>
          <w:sz w:val="28"/>
          <w:szCs w:val="28"/>
          <w:lang w:val="es-ES_tradnl"/>
        </w:rPr>
        <w:t xml:space="preserve"> </w:t>
      </w:r>
      <w:r w:rsidRPr="00152C0F">
        <w:rPr>
          <w:rFonts w:ascii="Times New Roman" w:hAnsi="Times New Roman" w:cs="Times New Roman"/>
          <w:sz w:val="28"/>
          <w:szCs w:val="28"/>
          <w:lang w:val="es-ES_tradnl"/>
        </w:rPr>
        <w:t xml:space="preserve">no existe </w:t>
      </w:r>
      <w:r w:rsidRPr="00152C0F">
        <w:rPr>
          <w:rFonts w:ascii="Times New Roman" w:hAnsi="Times New Roman" w:cs="Times New Roman"/>
          <w:sz w:val="28"/>
          <w:szCs w:val="28"/>
        </w:rPr>
        <w:t xml:space="preserve">referencia alguna en la Ley 2294 de 2023 </w:t>
      </w:r>
      <w:r w:rsidRPr="00152C0F">
        <w:rPr>
          <w:rFonts w:ascii="Times New Roman" w:hAnsi="Times New Roman" w:cs="Times New Roman"/>
          <w:sz w:val="28"/>
          <w:szCs w:val="28"/>
        </w:rPr>
        <w:t xml:space="preserve">ni </w:t>
      </w:r>
      <w:r w:rsidRPr="00152C0F">
        <w:rPr>
          <w:rFonts w:ascii="Times New Roman" w:hAnsi="Times New Roman" w:cs="Times New Roman"/>
          <w:sz w:val="28"/>
          <w:szCs w:val="28"/>
        </w:rPr>
        <w:t xml:space="preserve">en el documento </w:t>
      </w:r>
      <w:r w:rsidRPr="00152C0F">
        <w:rPr>
          <w:rFonts w:ascii="Times New Roman" w:hAnsi="Times New Roman" w:cs="Times New Roman"/>
          <w:sz w:val="28"/>
          <w:szCs w:val="28"/>
        </w:rPr>
        <w:t xml:space="preserve">de </w:t>
      </w:r>
      <w:r w:rsidRPr="00152C0F">
        <w:rPr>
          <w:rFonts w:ascii="Times New Roman" w:hAnsi="Times New Roman" w:cs="Times New Roman"/>
          <w:sz w:val="28"/>
          <w:szCs w:val="28"/>
        </w:rPr>
        <w:t>“Bases del Plan Nacional de Desarrollo 2022 - 2026 Colombia Potencia Mundial de la V</w:t>
      </w:r>
      <w:r w:rsidRPr="00152C0F">
        <w:rPr>
          <w:rFonts w:ascii="Times New Roman" w:hAnsi="Times New Roman" w:cs="Times New Roman"/>
          <w:sz w:val="28"/>
          <w:szCs w:val="28"/>
        </w:rPr>
        <w:t>ida”, que justifique la necesidad de que el Congreso apruebe “estas dos normas que se prolongarán en el tiempo más allá del cuatrienio 2022-2026”</w:t>
      </w:r>
      <w:r w:rsidRPr="00152C0F">
        <w:rPr>
          <w:rStyle w:val="Refdenotaalpie"/>
          <w:rFonts w:ascii="Times New Roman" w:hAnsi="Times New Roman" w:cs="Times New Roman"/>
          <w:sz w:val="28"/>
          <w:szCs w:val="28"/>
        </w:rPr>
        <w:footnoteReference w:id="3"/>
      </w:r>
      <w:r w:rsidRPr="00152C0F">
        <w:rPr>
          <w:rFonts w:ascii="Times New Roman" w:hAnsi="Times New Roman" w:cs="Times New Roman"/>
          <w:sz w:val="28"/>
          <w:szCs w:val="28"/>
        </w:rPr>
        <w:t xml:space="preserve">, si se tiene en cuenta que </w:t>
      </w:r>
      <w:r w:rsidRPr="00152C0F">
        <w:rPr>
          <w:rFonts w:ascii="Times New Roman" w:hAnsi="Times New Roman" w:cs="Times New Roman"/>
          <w:sz w:val="28"/>
          <w:szCs w:val="28"/>
        </w:rPr>
        <w:t>“no tienen relación alguna con planificar a corto, mediano o largo plazo</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el proceso de extinción de dominio para que el Estado pueda llegar a obtener el objetivo de la extinción de dominio con propósitos sociales”</w:t>
      </w:r>
      <w:r w:rsidRPr="00152C0F">
        <w:rPr>
          <w:rStyle w:val="Refdenotaalpie"/>
          <w:rFonts w:ascii="Times New Roman" w:hAnsi="Times New Roman" w:cs="Times New Roman"/>
          <w:sz w:val="28"/>
          <w:szCs w:val="28"/>
        </w:rPr>
        <w:footnoteReference w:id="4"/>
      </w:r>
      <w:r w:rsidRPr="00152C0F">
        <w:rPr>
          <w:rFonts w:ascii="Times New Roman" w:hAnsi="Times New Roman" w:cs="Times New Roman"/>
          <w:sz w:val="28"/>
          <w:szCs w:val="28"/>
        </w:rPr>
        <w:t>, porque “[l]a primera es innecesaria y la segunda” pretende llenar vacíos e inconsistencias de otro tipo de leyes</w:t>
      </w:r>
      <w:r w:rsidRPr="00152C0F">
        <w:rPr>
          <w:rStyle w:val="Refdenotaalpie"/>
          <w:rFonts w:ascii="Times New Roman" w:hAnsi="Times New Roman" w:cs="Times New Roman"/>
          <w:sz w:val="28"/>
          <w:szCs w:val="28"/>
        </w:rPr>
        <w:footnoteReference w:id="5"/>
      </w:r>
      <w:r w:rsidRPr="00152C0F">
        <w:rPr>
          <w:rFonts w:ascii="Times New Roman" w:hAnsi="Times New Roman" w:cs="Times New Roman"/>
          <w:sz w:val="28"/>
          <w:szCs w:val="28"/>
        </w:rPr>
        <w:t>.</w:t>
      </w:r>
    </w:p>
    <w:p w:rsidR="004F02A7" w:rsidRPr="00152C0F" w:rsidRDefault="00152C0F" w:rsidP="00A553C9">
      <w:pPr>
        <w:pStyle w:val="Prrafodelista"/>
        <w:ind w:left="0"/>
        <w:jc w:val="both"/>
        <w:rPr>
          <w:rFonts w:ascii="Times New Roman" w:hAnsi="Times New Roman" w:cs="Times New Roman"/>
          <w:sz w:val="28"/>
          <w:szCs w:val="28"/>
        </w:rPr>
      </w:pPr>
    </w:p>
    <w:p w:rsidR="00723F0E"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D</w:t>
      </w:r>
      <w:r w:rsidRPr="00152C0F">
        <w:rPr>
          <w:rFonts w:ascii="Times New Roman" w:hAnsi="Times New Roman" w:cs="Times New Roman"/>
          <w:sz w:val="28"/>
          <w:szCs w:val="28"/>
        </w:rPr>
        <w:t>e manera particular, e</w:t>
      </w:r>
      <w:r w:rsidRPr="00152C0F">
        <w:rPr>
          <w:rFonts w:ascii="Times New Roman" w:hAnsi="Times New Roman" w:cs="Times New Roman"/>
          <w:sz w:val="28"/>
          <w:szCs w:val="28"/>
        </w:rPr>
        <w:t xml:space="preserve">n relación con lo dispuesto </w:t>
      </w:r>
      <w:r w:rsidRPr="00152C0F">
        <w:rPr>
          <w:rFonts w:ascii="Times New Roman" w:hAnsi="Times New Roman" w:cs="Times New Roman"/>
          <w:sz w:val="28"/>
          <w:szCs w:val="28"/>
        </w:rPr>
        <w:t>en</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el artículo 211, </w:t>
      </w:r>
      <w:r w:rsidRPr="00152C0F">
        <w:rPr>
          <w:rFonts w:ascii="Times New Roman" w:hAnsi="Times New Roman" w:cs="Times New Roman"/>
          <w:sz w:val="28"/>
          <w:szCs w:val="28"/>
        </w:rPr>
        <w:t>precisa que se trata de una “norma sustantiva”</w:t>
      </w:r>
      <w:r w:rsidRPr="00152C0F">
        <w:rPr>
          <w:rStyle w:val="Refdenotaalpie"/>
          <w:rFonts w:ascii="Times New Roman" w:hAnsi="Times New Roman" w:cs="Times New Roman"/>
          <w:sz w:val="28"/>
          <w:szCs w:val="28"/>
        </w:rPr>
        <w:footnoteReference w:id="6"/>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que supone que los bienes a que hace referencia son de propiedad del </w:t>
      </w:r>
      <w:r w:rsidRPr="00152C0F">
        <w:rPr>
          <w:rFonts w:ascii="Times New Roman" w:hAnsi="Times New Roman" w:cs="Times New Roman"/>
          <w:sz w:val="28"/>
          <w:szCs w:val="28"/>
          <w:lang w:val="es-ES" w:eastAsia="es-ES"/>
        </w:rPr>
        <w:t xml:space="preserve">Fondo para la Rehabilitación, Inversión Social y Lucha contra el Crimen Organizado (FRISCO) </w:t>
      </w:r>
      <w:r w:rsidRPr="00152C0F">
        <w:rPr>
          <w:rFonts w:ascii="Times New Roman" w:hAnsi="Times New Roman" w:cs="Times New Roman"/>
          <w:sz w:val="28"/>
          <w:szCs w:val="28"/>
        </w:rPr>
        <w:t xml:space="preserve">y, </w:t>
      </w:r>
      <w:r w:rsidRPr="00152C0F">
        <w:rPr>
          <w:rFonts w:ascii="Times New Roman" w:hAnsi="Times New Roman" w:cs="Times New Roman"/>
          <w:sz w:val="28"/>
          <w:szCs w:val="28"/>
        </w:rPr>
        <w:t>por tanto</w:t>
      </w:r>
      <w:r w:rsidRPr="00152C0F">
        <w:rPr>
          <w:rFonts w:ascii="Times New Roman" w:hAnsi="Times New Roman" w:cs="Times New Roman"/>
          <w:sz w:val="28"/>
          <w:szCs w:val="28"/>
        </w:rPr>
        <w:t xml:space="preserve">, al tratarse de bienes del Estado, </w:t>
      </w:r>
      <w:r w:rsidRPr="00152C0F">
        <w:rPr>
          <w:rFonts w:ascii="Times New Roman" w:hAnsi="Times New Roman" w:cs="Times New Roman"/>
          <w:sz w:val="28"/>
          <w:szCs w:val="28"/>
        </w:rPr>
        <w:t>son imprescriptibles</w:t>
      </w:r>
      <w:r w:rsidRPr="00152C0F">
        <w:rPr>
          <w:rFonts w:ascii="Times New Roman" w:hAnsi="Times New Roman" w:cs="Times New Roman"/>
          <w:sz w:val="28"/>
          <w:szCs w:val="28"/>
        </w:rPr>
        <w:t xml:space="preserve">. Si esto es así, </w:t>
      </w:r>
      <w:r w:rsidRPr="00152C0F">
        <w:rPr>
          <w:rFonts w:ascii="Times New Roman" w:hAnsi="Times New Roman" w:cs="Times New Roman"/>
          <w:sz w:val="28"/>
          <w:szCs w:val="28"/>
        </w:rPr>
        <w:t xml:space="preserve">afirma que </w:t>
      </w:r>
      <w:r w:rsidRPr="00152C0F">
        <w:rPr>
          <w:rFonts w:ascii="Times New Roman" w:hAnsi="Times New Roman" w:cs="Times New Roman"/>
          <w:sz w:val="28"/>
          <w:szCs w:val="28"/>
        </w:rPr>
        <w:t>se trat</w:t>
      </w:r>
      <w:r w:rsidRPr="00152C0F">
        <w:rPr>
          <w:rFonts w:ascii="Times New Roman" w:hAnsi="Times New Roman" w:cs="Times New Roman"/>
          <w:sz w:val="28"/>
          <w:szCs w:val="28"/>
        </w:rPr>
        <w:t>a</w:t>
      </w:r>
      <w:r w:rsidRPr="00152C0F">
        <w:rPr>
          <w:rFonts w:ascii="Times New Roman" w:hAnsi="Times New Roman" w:cs="Times New Roman"/>
          <w:sz w:val="28"/>
          <w:szCs w:val="28"/>
        </w:rPr>
        <w:t xml:space="preserve"> de una </w:t>
      </w:r>
      <w:r w:rsidRPr="00152C0F">
        <w:rPr>
          <w:rFonts w:ascii="Times New Roman" w:hAnsi="Times New Roman" w:cs="Times New Roman"/>
          <w:sz w:val="28"/>
          <w:szCs w:val="28"/>
        </w:rPr>
        <w:t xml:space="preserve">disposición </w:t>
      </w:r>
      <w:r w:rsidRPr="00152C0F">
        <w:rPr>
          <w:rFonts w:ascii="Times New Roman" w:hAnsi="Times New Roman" w:cs="Times New Roman"/>
          <w:sz w:val="28"/>
          <w:szCs w:val="28"/>
        </w:rPr>
        <w:t>innecesaria</w:t>
      </w:r>
      <w:r w:rsidRPr="00152C0F">
        <w:rPr>
          <w:rStyle w:val="Refdenotaalpie"/>
          <w:rFonts w:ascii="Times New Roman" w:hAnsi="Times New Roman" w:cs="Times New Roman"/>
          <w:sz w:val="28"/>
          <w:szCs w:val="28"/>
        </w:rPr>
        <w:footnoteReference w:id="7"/>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por cuanto </w:t>
      </w:r>
      <w:r w:rsidRPr="00152C0F">
        <w:rPr>
          <w:rFonts w:ascii="Times New Roman" w:hAnsi="Times New Roman" w:cs="Times New Roman"/>
          <w:sz w:val="28"/>
          <w:szCs w:val="28"/>
        </w:rPr>
        <w:t xml:space="preserve">los artículos </w:t>
      </w:r>
      <w:r w:rsidRPr="00152C0F">
        <w:rPr>
          <w:rFonts w:ascii="Times New Roman" w:hAnsi="Times New Roman" w:cs="Times New Roman"/>
          <w:sz w:val="28"/>
          <w:szCs w:val="28"/>
        </w:rPr>
        <w:t>63 de la Constitución, 2519 del Código Civil y 375</w:t>
      </w:r>
      <w:r w:rsidRPr="00152C0F">
        <w:rPr>
          <w:rFonts w:ascii="Times New Roman" w:hAnsi="Times New Roman" w:cs="Times New Roman"/>
          <w:sz w:val="28"/>
          <w:szCs w:val="28"/>
        </w:rPr>
        <w:t xml:space="preserve">, ordinal </w:t>
      </w:r>
      <w:r w:rsidRPr="00152C0F">
        <w:rPr>
          <w:rFonts w:ascii="Times New Roman" w:hAnsi="Times New Roman" w:cs="Times New Roman"/>
          <w:sz w:val="28"/>
          <w:szCs w:val="28"/>
        </w:rPr>
        <w:t>4</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del Código General del Proceso</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ya contienen tal prescripción que, además, corresponde a la postura </w:t>
      </w:r>
      <w:r w:rsidRPr="00152C0F">
        <w:rPr>
          <w:rFonts w:ascii="Times New Roman" w:hAnsi="Times New Roman" w:cs="Times New Roman"/>
          <w:sz w:val="28"/>
          <w:szCs w:val="28"/>
        </w:rPr>
        <w:t xml:space="preserve">reiterada </w:t>
      </w:r>
      <w:r w:rsidRPr="00152C0F">
        <w:rPr>
          <w:rFonts w:ascii="Times New Roman" w:hAnsi="Times New Roman" w:cs="Times New Roman"/>
          <w:sz w:val="28"/>
          <w:szCs w:val="28"/>
        </w:rPr>
        <w:t xml:space="preserve">de la </w:t>
      </w:r>
      <w:r w:rsidRPr="00152C0F">
        <w:rPr>
          <w:rFonts w:ascii="Times New Roman" w:hAnsi="Times New Roman" w:cs="Times New Roman"/>
          <w:sz w:val="28"/>
          <w:szCs w:val="28"/>
        </w:rPr>
        <w:t>jurisprudencia de la Corte Suprema de Justicia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Por tanto, </w:t>
      </w:r>
      <w:r w:rsidRPr="00152C0F">
        <w:rPr>
          <w:rFonts w:ascii="Times New Roman" w:hAnsi="Times New Roman" w:cs="Times New Roman"/>
          <w:sz w:val="28"/>
          <w:szCs w:val="28"/>
        </w:rPr>
        <w:t xml:space="preserve">para el demandante, </w:t>
      </w:r>
      <w:r w:rsidRPr="00152C0F">
        <w:rPr>
          <w:rFonts w:ascii="Times New Roman" w:hAnsi="Times New Roman" w:cs="Times New Roman"/>
          <w:sz w:val="28"/>
          <w:szCs w:val="28"/>
        </w:rPr>
        <w:t xml:space="preserve">a pesar de que el contenido </w:t>
      </w:r>
      <w:r w:rsidRPr="00152C0F">
        <w:rPr>
          <w:rFonts w:ascii="Times New Roman" w:hAnsi="Times New Roman" w:cs="Times New Roman"/>
          <w:sz w:val="28"/>
          <w:szCs w:val="28"/>
        </w:rPr>
        <w:t xml:space="preserve">sustantivo </w:t>
      </w:r>
      <w:r w:rsidRPr="00152C0F">
        <w:rPr>
          <w:rFonts w:ascii="Times New Roman" w:hAnsi="Times New Roman" w:cs="Times New Roman"/>
          <w:sz w:val="28"/>
          <w:szCs w:val="28"/>
        </w:rPr>
        <w:t xml:space="preserve">de la </w:t>
      </w:r>
      <w:r w:rsidRPr="00152C0F">
        <w:rPr>
          <w:rFonts w:ascii="Times New Roman" w:hAnsi="Times New Roman" w:cs="Times New Roman"/>
          <w:sz w:val="28"/>
          <w:szCs w:val="28"/>
        </w:rPr>
        <w:t xml:space="preserve">norma </w:t>
      </w:r>
      <w:r w:rsidRPr="00152C0F">
        <w:rPr>
          <w:rFonts w:ascii="Times New Roman" w:hAnsi="Times New Roman" w:cs="Times New Roman"/>
          <w:sz w:val="28"/>
          <w:szCs w:val="28"/>
        </w:rPr>
        <w:t>“es constitucional”</w:t>
      </w:r>
      <w:r w:rsidRPr="00152C0F">
        <w:rPr>
          <w:rStyle w:val="Refdenotaalpie"/>
          <w:rFonts w:ascii="Times New Roman" w:hAnsi="Times New Roman" w:cs="Times New Roman"/>
          <w:sz w:val="28"/>
          <w:szCs w:val="28"/>
        </w:rPr>
        <w:footnoteReference w:id="8"/>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es incompatible con el principio de unidad de materia, </w:t>
      </w:r>
      <w:r w:rsidRPr="00152C0F">
        <w:rPr>
          <w:rFonts w:ascii="Times New Roman" w:hAnsi="Times New Roman" w:cs="Times New Roman"/>
          <w:sz w:val="28"/>
          <w:szCs w:val="28"/>
        </w:rPr>
        <w:t xml:space="preserve">ya que </w:t>
      </w:r>
      <w:r w:rsidRPr="00152C0F">
        <w:rPr>
          <w:rFonts w:ascii="Times New Roman" w:hAnsi="Times New Roman" w:cs="Times New Roman"/>
          <w:sz w:val="28"/>
          <w:szCs w:val="28"/>
        </w:rPr>
        <w:t xml:space="preserve">su contenido </w:t>
      </w:r>
      <w:r w:rsidRPr="00152C0F">
        <w:rPr>
          <w:rFonts w:ascii="Times New Roman" w:hAnsi="Times New Roman" w:cs="Times New Roman"/>
          <w:sz w:val="28"/>
          <w:szCs w:val="28"/>
        </w:rPr>
        <w:t>nada tiene que ver con los presupuestos generales del plan nacional de desarrollo y meno</w:t>
      </w:r>
      <w:r w:rsidRPr="00152C0F">
        <w:rPr>
          <w:rFonts w:ascii="Times New Roman" w:hAnsi="Times New Roman" w:cs="Times New Roman"/>
          <w:sz w:val="28"/>
          <w:szCs w:val="28"/>
        </w:rPr>
        <w:t xml:space="preserve">s </w:t>
      </w:r>
      <w:r w:rsidRPr="00152C0F">
        <w:rPr>
          <w:rFonts w:ascii="Times New Roman" w:hAnsi="Times New Roman" w:cs="Times New Roman"/>
          <w:sz w:val="28"/>
          <w:szCs w:val="28"/>
        </w:rPr>
        <w:t xml:space="preserve">aún </w:t>
      </w:r>
      <w:r w:rsidRPr="00152C0F">
        <w:rPr>
          <w:rFonts w:ascii="Times New Roman" w:hAnsi="Times New Roman" w:cs="Times New Roman"/>
          <w:sz w:val="28"/>
          <w:szCs w:val="28"/>
        </w:rPr>
        <w:t>con el objetivo de “extinción de dominio para el beneficio social”</w:t>
      </w:r>
      <w:r w:rsidRPr="00152C0F">
        <w:rPr>
          <w:rFonts w:ascii="Times New Roman" w:hAnsi="Times New Roman" w:cs="Times New Roman"/>
          <w:sz w:val="28"/>
          <w:szCs w:val="28"/>
        </w:rPr>
        <w:t xml:space="preserve">, ni con </w:t>
      </w:r>
      <w:r w:rsidRPr="00152C0F">
        <w:rPr>
          <w:rFonts w:ascii="Times New Roman" w:hAnsi="Times New Roman" w:cs="Times New Roman"/>
          <w:sz w:val="28"/>
          <w:szCs w:val="28"/>
        </w:rPr>
        <w:t>las metas de “acortar los tiempos y de garantizar la administración y la destinación de los bienes del FRISCO”</w:t>
      </w:r>
      <w:r w:rsidRPr="00152C0F">
        <w:rPr>
          <w:rStyle w:val="Refdenotaalpie"/>
          <w:rFonts w:ascii="Times New Roman" w:hAnsi="Times New Roman" w:cs="Times New Roman"/>
          <w:sz w:val="28"/>
          <w:szCs w:val="28"/>
        </w:rPr>
        <w:footnoteReference w:id="9"/>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Esto es así, además, por cuanto </w:t>
      </w:r>
      <w:r w:rsidRPr="00152C0F">
        <w:rPr>
          <w:rFonts w:ascii="Times New Roman" w:hAnsi="Times New Roman" w:cs="Times New Roman"/>
          <w:sz w:val="28"/>
          <w:szCs w:val="28"/>
        </w:rPr>
        <w:t xml:space="preserve">la </w:t>
      </w:r>
      <w:r w:rsidRPr="00152C0F">
        <w:rPr>
          <w:rFonts w:ascii="Times New Roman" w:hAnsi="Times New Roman" w:cs="Times New Roman"/>
          <w:sz w:val="28"/>
          <w:szCs w:val="28"/>
        </w:rPr>
        <w:t xml:space="preserve">medida </w:t>
      </w:r>
      <w:r w:rsidRPr="00152C0F">
        <w:rPr>
          <w:rFonts w:ascii="Times New Roman" w:hAnsi="Times New Roman" w:cs="Times New Roman"/>
          <w:sz w:val="28"/>
          <w:szCs w:val="28"/>
        </w:rPr>
        <w:t xml:space="preserve">tiene </w:t>
      </w:r>
      <w:r w:rsidRPr="00152C0F">
        <w:rPr>
          <w:rFonts w:ascii="Times New Roman" w:hAnsi="Times New Roman" w:cs="Times New Roman"/>
          <w:sz w:val="28"/>
          <w:szCs w:val="28"/>
        </w:rPr>
        <w:t xml:space="preserve">una vigencia superior al </w:t>
      </w:r>
      <w:r w:rsidRPr="00152C0F">
        <w:rPr>
          <w:rFonts w:ascii="Times New Roman" w:hAnsi="Times New Roman" w:cs="Times New Roman"/>
          <w:sz w:val="28"/>
          <w:szCs w:val="28"/>
        </w:rPr>
        <w:t>cuatrienio presidencial</w:t>
      </w:r>
      <w:r w:rsidRPr="00152C0F">
        <w:rPr>
          <w:rStyle w:val="Refdenotaalpie"/>
          <w:rFonts w:ascii="Times New Roman" w:hAnsi="Times New Roman" w:cs="Times New Roman"/>
          <w:sz w:val="28"/>
          <w:szCs w:val="28"/>
        </w:rPr>
        <w:footnoteReference w:id="10"/>
      </w:r>
      <w:r w:rsidRPr="00152C0F">
        <w:rPr>
          <w:rFonts w:ascii="Times New Roman" w:hAnsi="Times New Roman" w:cs="Times New Roman"/>
          <w:sz w:val="28"/>
          <w:szCs w:val="28"/>
        </w:rPr>
        <w:t>, sin que tenga que ver con la correcta administración y destinación para el beneficio social de tales bienes</w:t>
      </w:r>
      <w:r w:rsidRPr="00152C0F">
        <w:rPr>
          <w:rStyle w:val="Refdenotaalpie"/>
          <w:rFonts w:ascii="Times New Roman" w:hAnsi="Times New Roman" w:cs="Times New Roman"/>
          <w:sz w:val="28"/>
          <w:szCs w:val="28"/>
        </w:rPr>
        <w:footnoteReference w:id="11"/>
      </w:r>
      <w:r w:rsidRPr="00152C0F">
        <w:rPr>
          <w:rFonts w:ascii="Times New Roman" w:hAnsi="Times New Roman" w:cs="Times New Roman"/>
          <w:sz w:val="28"/>
          <w:szCs w:val="28"/>
        </w:rPr>
        <w:t xml:space="preserve">; según indica, </w:t>
      </w:r>
      <w:r w:rsidRPr="00152C0F">
        <w:rPr>
          <w:rFonts w:ascii="Times New Roman" w:hAnsi="Times New Roman" w:cs="Times New Roman"/>
          <w:sz w:val="28"/>
          <w:szCs w:val="28"/>
        </w:rPr>
        <w:t>la “garantía de imprescriptibilidad, para nada hará que se cumpla con la agilidad</w:t>
      </w:r>
      <w:r w:rsidRPr="00152C0F">
        <w:rPr>
          <w:rFonts w:ascii="Times New Roman" w:hAnsi="Times New Roman" w:cs="Times New Roman"/>
          <w:sz w:val="28"/>
          <w:szCs w:val="28"/>
        </w:rPr>
        <w:t xml:space="preserve"> de los procesos y lograr fallos más rápidos, o que la SAE pueda administrarlos correctamente o que pueda disponer de ellos para entregarlo a organizaciones sociales”</w:t>
      </w:r>
      <w:r w:rsidRPr="00152C0F">
        <w:rPr>
          <w:rStyle w:val="Refdenotaalpie"/>
          <w:rFonts w:ascii="Times New Roman" w:hAnsi="Times New Roman" w:cs="Times New Roman"/>
          <w:sz w:val="28"/>
          <w:szCs w:val="28"/>
        </w:rPr>
        <w:footnoteReference w:id="12"/>
      </w:r>
      <w:r w:rsidRPr="00152C0F">
        <w:rPr>
          <w:rFonts w:ascii="Times New Roman" w:hAnsi="Times New Roman" w:cs="Times New Roman"/>
          <w:sz w:val="28"/>
          <w:szCs w:val="28"/>
        </w:rPr>
        <w:t>.</w:t>
      </w:r>
    </w:p>
    <w:p w:rsidR="00723F0E" w:rsidRPr="00152C0F" w:rsidRDefault="00152C0F" w:rsidP="00A553C9">
      <w:pPr>
        <w:pStyle w:val="Prrafodelista"/>
        <w:ind w:left="0"/>
        <w:jc w:val="both"/>
        <w:rPr>
          <w:rFonts w:ascii="Times New Roman" w:hAnsi="Times New Roman" w:cs="Times New Roman"/>
          <w:sz w:val="28"/>
          <w:szCs w:val="28"/>
        </w:rPr>
      </w:pPr>
    </w:p>
    <w:p w:rsidR="0021514F"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E</w:t>
      </w:r>
      <w:r w:rsidRPr="00152C0F">
        <w:rPr>
          <w:rFonts w:ascii="Times New Roman" w:hAnsi="Times New Roman" w:cs="Times New Roman"/>
          <w:sz w:val="28"/>
          <w:szCs w:val="28"/>
        </w:rPr>
        <w:t>n</w:t>
      </w:r>
      <w:r w:rsidRPr="00152C0F">
        <w:rPr>
          <w:rFonts w:ascii="Times New Roman" w:hAnsi="Times New Roman" w:cs="Times New Roman"/>
          <w:sz w:val="28"/>
          <w:szCs w:val="28"/>
          <w:lang w:val="es-ES_tradnl"/>
        </w:rPr>
        <w:t xml:space="preserve"> </w:t>
      </w:r>
      <w:r w:rsidRPr="00152C0F">
        <w:rPr>
          <w:rFonts w:ascii="Times New Roman" w:hAnsi="Times New Roman" w:cs="Times New Roman"/>
          <w:sz w:val="28"/>
          <w:szCs w:val="28"/>
          <w:lang w:val="es-ES_tradnl"/>
        </w:rPr>
        <w:t xml:space="preserve">cuanto al contenido del artículo 212, </w:t>
      </w:r>
      <w:r w:rsidRPr="00152C0F">
        <w:rPr>
          <w:rFonts w:ascii="Times New Roman" w:hAnsi="Times New Roman" w:cs="Times New Roman"/>
          <w:sz w:val="28"/>
          <w:szCs w:val="28"/>
        </w:rPr>
        <w:t>afirma que se trata de una “norma procediment</w:t>
      </w:r>
      <w:r w:rsidRPr="00152C0F">
        <w:rPr>
          <w:rFonts w:ascii="Times New Roman" w:hAnsi="Times New Roman" w:cs="Times New Roman"/>
          <w:sz w:val="28"/>
          <w:szCs w:val="28"/>
        </w:rPr>
        <w:t xml:space="preserve">al” que adiciona y modifica el Código de Extinción de Dominio y el Estatuto de Notariado y Registro, respecto a la caducidad y la cancelación de las medidas cautelares, </w:t>
      </w:r>
      <w:r w:rsidRPr="00152C0F">
        <w:rPr>
          <w:rFonts w:ascii="Times New Roman" w:hAnsi="Times New Roman" w:cs="Times New Roman"/>
          <w:sz w:val="28"/>
          <w:szCs w:val="28"/>
        </w:rPr>
        <w:t xml:space="preserve">y </w:t>
      </w:r>
      <w:r w:rsidRPr="00152C0F">
        <w:rPr>
          <w:rFonts w:ascii="Times New Roman" w:hAnsi="Times New Roman" w:cs="Times New Roman"/>
          <w:sz w:val="28"/>
          <w:szCs w:val="28"/>
        </w:rPr>
        <w:t xml:space="preserve">que nada tiene que ver con los presupuestos generales del plan nacional de </w:t>
      </w:r>
      <w:r w:rsidRPr="00152C0F">
        <w:rPr>
          <w:rFonts w:ascii="Times New Roman" w:hAnsi="Times New Roman" w:cs="Times New Roman"/>
          <w:sz w:val="28"/>
          <w:szCs w:val="28"/>
        </w:rPr>
        <w:t>desarrollo, ni con los objetivos de “acortar los tiempos de la extinción de dominio, garantizar la administración de estos bienes y garantizar la destinación de los mismos a las poblaciones más vulnerables”</w:t>
      </w:r>
      <w:r w:rsidRPr="00152C0F">
        <w:rPr>
          <w:rStyle w:val="Refdenotaalpie"/>
          <w:rFonts w:ascii="Times New Roman" w:hAnsi="Times New Roman" w:cs="Times New Roman"/>
          <w:sz w:val="28"/>
          <w:szCs w:val="28"/>
        </w:rPr>
        <w:footnoteReference w:id="13"/>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Según indica, </w:t>
      </w:r>
      <w:r w:rsidRPr="00152C0F">
        <w:rPr>
          <w:rFonts w:ascii="Times New Roman" w:hAnsi="Times New Roman" w:cs="Times New Roman"/>
          <w:sz w:val="28"/>
          <w:szCs w:val="28"/>
        </w:rPr>
        <w:t xml:space="preserve">lo que busca </w:t>
      </w:r>
      <w:r w:rsidRPr="00152C0F">
        <w:rPr>
          <w:rFonts w:ascii="Times New Roman" w:hAnsi="Times New Roman" w:cs="Times New Roman"/>
          <w:sz w:val="28"/>
          <w:szCs w:val="28"/>
        </w:rPr>
        <w:t xml:space="preserve">la medida </w:t>
      </w:r>
      <w:r w:rsidRPr="00152C0F">
        <w:rPr>
          <w:rFonts w:ascii="Times New Roman" w:hAnsi="Times New Roman" w:cs="Times New Roman"/>
          <w:sz w:val="28"/>
          <w:szCs w:val="28"/>
        </w:rPr>
        <w:t xml:space="preserve">“es dejar </w:t>
      </w:r>
      <w:r w:rsidRPr="00152C0F">
        <w:rPr>
          <w:rFonts w:ascii="Times New Roman" w:hAnsi="Times New Roman" w:cs="Times New Roman"/>
          <w:sz w:val="28"/>
          <w:szCs w:val="28"/>
        </w:rPr>
        <w:t>sin efectos la […] caducidad de las medidas cautelares para los procesos de extinción de dominio”</w:t>
      </w:r>
      <w:r w:rsidRPr="00152C0F">
        <w:rPr>
          <w:rStyle w:val="Refdenotaalpie"/>
          <w:rFonts w:ascii="Times New Roman" w:hAnsi="Times New Roman" w:cs="Times New Roman"/>
          <w:sz w:val="28"/>
          <w:szCs w:val="28"/>
        </w:rPr>
        <w:footnoteReference w:id="14"/>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de que trata la Ley </w:t>
      </w:r>
      <w:r w:rsidRPr="00152C0F">
        <w:rPr>
          <w:rFonts w:ascii="Times New Roman" w:hAnsi="Times New Roman" w:cs="Times New Roman"/>
          <w:sz w:val="28"/>
          <w:szCs w:val="28"/>
        </w:rPr>
        <w:t xml:space="preserve">1579 de 2012, </w:t>
      </w:r>
      <w:r w:rsidRPr="00152C0F">
        <w:rPr>
          <w:rFonts w:ascii="Times New Roman" w:hAnsi="Times New Roman" w:cs="Times New Roman"/>
          <w:sz w:val="28"/>
          <w:szCs w:val="28"/>
        </w:rPr>
        <w:t xml:space="preserve">con el fin de corregir </w:t>
      </w:r>
      <w:r w:rsidRPr="00152C0F">
        <w:rPr>
          <w:rFonts w:ascii="Times New Roman" w:hAnsi="Times New Roman" w:cs="Times New Roman"/>
          <w:sz w:val="28"/>
          <w:szCs w:val="28"/>
        </w:rPr>
        <w:t xml:space="preserve">sus </w:t>
      </w:r>
      <w:r w:rsidRPr="00152C0F">
        <w:rPr>
          <w:rFonts w:ascii="Times New Roman" w:hAnsi="Times New Roman" w:cs="Times New Roman"/>
          <w:sz w:val="28"/>
          <w:szCs w:val="28"/>
        </w:rPr>
        <w:t>inconsistencias</w:t>
      </w:r>
      <w:r w:rsidRPr="00152C0F">
        <w:rPr>
          <w:rStyle w:val="Refdenotaalpie"/>
          <w:rFonts w:ascii="Times New Roman" w:hAnsi="Times New Roman" w:cs="Times New Roman"/>
          <w:sz w:val="28"/>
          <w:szCs w:val="28"/>
        </w:rPr>
        <w:footnoteReference w:id="15"/>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Así mismo, explic</w:t>
      </w:r>
      <w:r w:rsidRPr="00152C0F">
        <w:rPr>
          <w:rFonts w:ascii="Times New Roman" w:hAnsi="Times New Roman" w:cs="Times New Roman"/>
          <w:sz w:val="28"/>
          <w:szCs w:val="28"/>
        </w:rPr>
        <w:t>a</w:t>
      </w:r>
      <w:r w:rsidRPr="00152C0F">
        <w:rPr>
          <w:rFonts w:ascii="Times New Roman" w:hAnsi="Times New Roman" w:cs="Times New Roman"/>
          <w:sz w:val="28"/>
          <w:szCs w:val="28"/>
        </w:rPr>
        <w:t xml:space="preserve"> que “[</w:t>
      </w:r>
      <w:r w:rsidRPr="00152C0F">
        <w:rPr>
          <w:rFonts w:ascii="Times New Roman" w:hAnsi="Times New Roman" w:cs="Times New Roman"/>
          <w:sz w:val="28"/>
          <w:szCs w:val="28"/>
          <w:lang w:val="es-ES_tradnl"/>
        </w:rPr>
        <w:t>d]</w:t>
      </w:r>
      <w:r w:rsidRPr="00152C0F">
        <w:rPr>
          <w:rFonts w:ascii="Times New Roman" w:hAnsi="Times New Roman" w:cs="Times New Roman"/>
          <w:sz w:val="28"/>
          <w:szCs w:val="28"/>
        </w:rPr>
        <w:t>arle exclusividad al juez para que sea el único fac</w:t>
      </w:r>
      <w:r w:rsidRPr="00152C0F">
        <w:rPr>
          <w:rFonts w:ascii="Times New Roman" w:hAnsi="Times New Roman" w:cs="Times New Roman"/>
          <w:sz w:val="28"/>
          <w:szCs w:val="28"/>
        </w:rPr>
        <w:t xml:space="preserve">ultado para ordenar el levantamiento de una medida cautelar en proceso de extinción de dominio es competencia del Congreso de la República”, pero que </w:t>
      </w:r>
      <w:r w:rsidRPr="00152C0F">
        <w:rPr>
          <w:rFonts w:ascii="Times New Roman" w:hAnsi="Times New Roman" w:cs="Times New Roman"/>
          <w:sz w:val="28"/>
          <w:szCs w:val="28"/>
          <w:lang w:val="es-ES_tradnl"/>
        </w:rPr>
        <w:t>“</w:t>
      </w:r>
      <w:r w:rsidRPr="00152C0F">
        <w:rPr>
          <w:rFonts w:ascii="Times New Roman" w:hAnsi="Times New Roman" w:cs="Times New Roman"/>
          <w:sz w:val="28"/>
          <w:szCs w:val="28"/>
        </w:rPr>
        <w:t>esta norma no se puede adoptar en esta ley especial del plan nacional de desarrollo porque darle competen</w:t>
      </w:r>
      <w:r w:rsidRPr="00152C0F">
        <w:rPr>
          <w:rFonts w:ascii="Times New Roman" w:hAnsi="Times New Roman" w:cs="Times New Roman"/>
          <w:sz w:val="28"/>
          <w:szCs w:val="28"/>
        </w:rPr>
        <w:t>cia exclusiva a un juez de la República para que defina la cancelación de medidas cautelares no tiene el fin planificador de la economía en relación con el objetivo de la extinción de dominio con beneficios sociales”</w:t>
      </w:r>
      <w:r w:rsidRPr="00152C0F">
        <w:rPr>
          <w:rStyle w:val="Refdenotaalpie"/>
          <w:rFonts w:ascii="Times New Roman" w:hAnsi="Times New Roman" w:cs="Times New Roman"/>
          <w:sz w:val="28"/>
          <w:szCs w:val="28"/>
        </w:rPr>
        <w:footnoteReference w:id="16"/>
      </w:r>
      <w:r w:rsidRPr="00152C0F">
        <w:rPr>
          <w:rFonts w:ascii="Times New Roman" w:hAnsi="Times New Roman" w:cs="Times New Roman"/>
          <w:sz w:val="28"/>
          <w:szCs w:val="28"/>
        </w:rPr>
        <w:t>, ni “con la correcta administración de</w:t>
      </w:r>
      <w:r w:rsidRPr="00152C0F">
        <w:rPr>
          <w:rFonts w:ascii="Times New Roman" w:hAnsi="Times New Roman" w:cs="Times New Roman"/>
          <w:sz w:val="28"/>
          <w:szCs w:val="28"/>
        </w:rPr>
        <w:t xml:space="preserve"> los bienes por la SAE”</w:t>
      </w:r>
      <w:r w:rsidRPr="00152C0F">
        <w:rPr>
          <w:rStyle w:val="Refdenotaalpie"/>
          <w:rFonts w:ascii="Times New Roman" w:hAnsi="Times New Roman" w:cs="Times New Roman"/>
          <w:sz w:val="28"/>
          <w:szCs w:val="28"/>
        </w:rPr>
        <w:footnoteReference w:id="17"/>
      </w:r>
      <w:r w:rsidRPr="00152C0F">
        <w:rPr>
          <w:rFonts w:ascii="Times New Roman" w:hAnsi="Times New Roman" w:cs="Times New Roman"/>
          <w:sz w:val="28"/>
          <w:szCs w:val="28"/>
        </w:rPr>
        <w:t>, porque</w:t>
      </w:r>
      <w:r w:rsidRPr="00152C0F">
        <w:rPr>
          <w:rFonts w:ascii="Times New Roman" w:hAnsi="Times New Roman" w:cs="Times New Roman"/>
          <w:sz w:val="28"/>
          <w:szCs w:val="28"/>
          <w:lang w:val="es-ES_tradnl"/>
        </w:rPr>
        <w:t xml:space="preserve"> “</w:t>
      </w:r>
      <w:r w:rsidRPr="00152C0F">
        <w:rPr>
          <w:rFonts w:ascii="Times New Roman" w:hAnsi="Times New Roman" w:cs="Times New Roman"/>
          <w:sz w:val="28"/>
          <w:szCs w:val="28"/>
        </w:rPr>
        <w:t>no hará que el proceso de extinción se agilice y termine más rápido para lograr la extinción de dominio y así buscar el beneficio social”</w:t>
      </w:r>
      <w:r w:rsidRPr="00152C0F">
        <w:rPr>
          <w:rStyle w:val="Refdenotaalpie"/>
          <w:rFonts w:ascii="Times New Roman" w:hAnsi="Times New Roman" w:cs="Times New Roman"/>
          <w:sz w:val="28"/>
          <w:szCs w:val="28"/>
        </w:rPr>
        <w:footnoteReference w:id="18"/>
      </w:r>
      <w:r w:rsidRPr="00152C0F">
        <w:rPr>
          <w:rFonts w:ascii="Times New Roman" w:hAnsi="Times New Roman" w:cs="Times New Roman"/>
          <w:sz w:val="28"/>
          <w:szCs w:val="28"/>
        </w:rPr>
        <w:t>.</w:t>
      </w:r>
    </w:p>
    <w:p w:rsidR="00951EBF" w:rsidRPr="00152C0F" w:rsidRDefault="00152C0F" w:rsidP="00A553C9">
      <w:pPr>
        <w:jc w:val="both"/>
        <w:rPr>
          <w:rFonts w:ascii="Times New Roman" w:hAnsi="Times New Roman" w:cs="Times New Roman"/>
          <w:sz w:val="28"/>
          <w:szCs w:val="28"/>
        </w:rPr>
      </w:pPr>
    </w:p>
    <w:p w:rsidR="00790360" w:rsidRPr="00152C0F" w:rsidRDefault="00152C0F" w:rsidP="00A553C9">
      <w:pPr>
        <w:jc w:val="both"/>
        <w:rPr>
          <w:rFonts w:ascii="Times New Roman" w:hAnsi="Times New Roman" w:cs="Times New Roman"/>
          <w:sz w:val="28"/>
          <w:szCs w:val="28"/>
        </w:rPr>
      </w:pPr>
    </w:p>
    <w:p w:rsidR="00951EBF" w:rsidRPr="00152C0F" w:rsidRDefault="00152C0F" w:rsidP="00A17EA0">
      <w:pPr>
        <w:pStyle w:val="Estilo1"/>
        <w:numPr>
          <w:ilvl w:val="0"/>
          <w:numId w:val="1"/>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INTERVENCIONES CIUDADANAS</w:t>
      </w:r>
      <w:r w:rsidRPr="00152C0F">
        <w:rPr>
          <w:rStyle w:val="Ttulo1Car"/>
          <w:rFonts w:ascii="Times New Roman" w:hAnsi="Times New Roman" w:cs="Times New Roman"/>
          <w:bCs/>
          <w:color w:val="auto"/>
          <w:sz w:val="28"/>
          <w:szCs w:val="28"/>
        </w:rPr>
        <w:t xml:space="preserve"> Y CONCEPTOS</w:t>
      </w:r>
    </w:p>
    <w:p w:rsidR="00951EBF" w:rsidRPr="00152C0F" w:rsidRDefault="00152C0F" w:rsidP="00A553C9">
      <w:pPr>
        <w:jc w:val="both"/>
        <w:rPr>
          <w:rFonts w:ascii="Times New Roman" w:hAnsi="Times New Roman" w:cs="Times New Roman"/>
          <w:b/>
          <w:sz w:val="28"/>
          <w:szCs w:val="28"/>
        </w:rPr>
      </w:pPr>
    </w:p>
    <w:p w:rsidR="00951EBF"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E</w:t>
      </w:r>
      <w:r w:rsidRPr="00152C0F">
        <w:rPr>
          <w:rFonts w:ascii="Times New Roman" w:hAnsi="Times New Roman" w:cs="Times New Roman"/>
          <w:sz w:val="28"/>
          <w:szCs w:val="28"/>
          <w:lang w:val="es-ES_tradnl"/>
        </w:rPr>
        <w:t>n</w:t>
      </w:r>
      <w:r w:rsidRPr="00152C0F">
        <w:rPr>
          <w:rFonts w:ascii="Times New Roman" w:hAnsi="Times New Roman" w:cs="Times New Roman"/>
          <w:sz w:val="28"/>
          <w:szCs w:val="28"/>
        </w:rPr>
        <w:t xml:space="preserve"> la siguiente tabla </w:t>
      </w:r>
      <w:r w:rsidRPr="00152C0F">
        <w:rPr>
          <w:rFonts w:ascii="Times New Roman" w:hAnsi="Times New Roman" w:cs="Times New Roman"/>
          <w:sz w:val="28"/>
          <w:szCs w:val="28"/>
        </w:rPr>
        <w:t>se</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sintetiza</w:t>
      </w:r>
      <w:r w:rsidRPr="00152C0F">
        <w:rPr>
          <w:rFonts w:ascii="Times New Roman" w:hAnsi="Times New Roman" w:cs="Times New Roman"/>
          <w:sz w:val="28"/>
          <w:szCs w:val="28"/>
        </w:rPr>
        <w:t xml:space="preserve"> el sentido de </w:t>
      </w:r>
      <w:r w:rsidRPr="00152C0F">
        <w:rPr>
          <w:rFonts w:ascii="Times New Roman" w:hAnsi="Times New Roman" w:cs="Times New Roman"/>
          <w:sz w:val="28"/>
          <w:szCs w:val="28"/>
        </w:rPr>
        <w:t xml:space="preserve">las intervenciones ciudadanas y de </w:t>
      </w:r>
      <w:r w:rsidRPr="00152C0F">
        <w:rPr>
          <w:rFonts w:ascii="Times New Roman" w:hAnsi="Times New Roman" w:cs="Times New Roman"/>
          <w:sz w:val="28"/>
          <w:szCs w:val="28"/>
        </w:rPr>
        <w:t>l</w:t>
      </w:r>
      <w:r w:rsidRPr="00152C0F">
        <w:rPr>
          <w:rFonts w:ascii="Times New Roman" w:hAnsi="Times New Roman" w:cs="Times New Roman"/>
          <w:sz w:val="28"/>
          <w:szCs w:val="28"/>
        </w:rPr>
        <w:t>o</w:t>
      </w:r>
      <w:r w:rsidRPr="00152C0F">
        <w:rPr>
          <w:rFonts w:ascii="Times New Roman" w:hAnsi="Times New Roman" w:cs="Times New Roman"/>
          <w:sz w:val="28"/>
          <w:szCs w:val="28"/>
        </w:rPr>
        <w:t>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conceptos</w:t>
      </w:r>
      <w:r w:rsidRPr="00152C0F">
        <w:rPr>
          <w:rFonts w:ascii="Times New Roman" w:hAnsi="Times New Roman" w:cs="Times New Roman"/>
          <w:sz w:val="28"/>
          <w:szCs w:val="28"/>
        </w:rPr>
        <w:t xml:space="preserve"> recibidos</w:t>
      </w:r>
      <w:r w:rsidRPr="00152C0F">
        <w:rPr>
          <w:rFonts w:ascii="Times New Roman" w:hAnsi="Times New Roman" w:cs="Times New Roman"/>
          <w:sz w:val="28"/>
          <w:szCs w:val="28"/>
        </w:rPr>
        <w:t>:</w:t>
      </w:r>
    </w:p>
    <w:p w:rsidR="00184ABA" w:rsidRPr="00152C0F" w:rsidRDefault="00152C0F" w:rsidP="00A553C9">
      <w:pPr>
        <w:jc w:val="both"/>
        <w:rPr>
          <w:rFonts w:ascii="Times New Roman" w:hAnsi="Times New Roman" w:cs="Times New Roman"/>
          <w:sz w:val="28"/>
          <w:szCs w:val="28"/>
        </w:rPr>
      </w:pPr>
    </w:p>
    <w:tbl>
      <w:tblPr>
        <w:tblStyle w:val="Tablaconcuadrcula"/>
        <w:tblW w:w="5000" w:type="pct"/>
        <w:jc w:val="center"/>
        <w:tblLook w:val="04A0" w:firstRow="1" w:lastRow="0" w:firstColumn="1" w:lastColumn="0" w:noHBand="0" w:noVBand="1"/>
      </w:tblPr>
      <w:tblGrid>
        <w:gridCol w:w="2989"/>
        <w:gridCol w:w="2819"/>
        <w:gridCol w:w="3022"/>
      </w:tblGrid>
      <w:tr w:rsidR="003654FF" w:rsidRPr="00152C0F" w:rsidTr="00C61410">
        <w:trPr>
          <w:tblHeader/>
          <w:jc w:val="center"/>
        </w:trPr>
        <w:tc>
          <w:tcPr>
            <w:tcW w:w="1693" w:type="pct"/>
            <w:shd w:val="clear" w:color="auto" w:fill="D0CECE" w:themeFill="background2" w:themeFillShade="E6"/>
          </w:tcPr>
          <w:p w:rsidR="00492169" w:rsidRPr="00152C0F" w:rsidRDefault="00152C0F" w:rsidP="00A553C9">
            <w:pPr>
              <w:pStyle w:val="Prrafodelista"/>
              <w:ind w:left="0"/>
              <w:jc w:val="center"/>
              <w:rPr>
                <w:b/>
                <w:bCs/>
                <w:color w:val="auto"/>
                <w:sz w:val="28"/>
                <w:szCs w:val="22"/>
                <w:lang w:val="es-ES_tradnl"/>
              </w:rPr>
            </w:pPr>
            <w:r w:rsidRPr="00152C0F">
              <w:rPr>
                <w:b/>
                <w:bCs/>
                <w:color w:val="auto"/>
                <w:sz w:val="28"/>
                <w:szCs w:val="22"/>
                <w:lang w:val="es-ES_tradnl"/>
              </w:rPr>
              <w:t>Tipo de participación</w:t>
            </w:r>
          </w:p>
        </w:tc>
        <w:tc>
          <w:tcPr>
            <w:tcW w:w="1596" w:type="pct"/>
            <w:shd w:val="clear" w:color="auto" w:fill="D0CECE" w:themeFill="background2" w:themeFillShade="E6"/>
          </w:tcPr>
          <w:p w:rsidR="00492169" w:rsidRPr="00152C0F" w:rsidRDefault="00152C0F" w:rsidP="00A553C9">
            <w:pPr>
              <w:pStyle w:val="Prrafodelista"/>
              <w:ind w:left="0"/>
              <w:jc w:val="center"/>
              <w:rPr>
                <w:b/>
                <w:bCs/>
                <w:color w:val="auto"/>
                <w:sz w:val="28"/>
                <w:szCs w:val="22"/>
                <w:lang w:val="es-ES_tradnl"/>
              </w:rPr>
            </w:pPr>
            <w:r w:rsidRPr="00152C0F">
              <w:rPr>
                <w:b/>
                <w:bCs/>
                <w:color w:val="auto"/>
                <w:sz w:val="28"/>
                <w:szCs w:val="22"/>
                <w:lang w:val="es-ES_tradnl"/>
              </w:rPr>
              <w:t>Exequibilidad</w:t>
            </w:r>
          </w:p>
        </w:tc>
        <w:tc>
          <w:tcPr>
            <w:tcW w:w="1711" w:type="pct"/>
            <w:shd w:val="clear" w:color="auto" w:fill="D0CECE" w:themeFill="background2" w:themeFillShade="E6"/>
          </w:tcPr>
          <w:p w:rsidR="00492169" w:rsidRPr="00152C0F" w:rsidRDefault="00152C0F" w:rsidP="00A553C9">
            <w:pPr>
              <w:pStyle w:val="Prrafodelista"/>
              <w:ind w:left="0"/>
              <w:jc w:val="center"/>
              <w:rPr>
                <w:b/>
                <w:bCs/>
                <w:color w:val="auto"/>
                <w:sz w:val="28"/>
                <w:szCs w:val="22"/>
                <w:lang w:val="es-ES_tradnl"/>
              </w:rPr>
            </w:pPr>
            <w:r w:rsidRPr="00152C0F">
              <w:rPr>
                <w:b/>
                <w:bCs/>
                <w:color w:val="auto"/>
                <w:sz w:val="28"/>
                <w:szCs w:val="22"/>
                <w:lang w:val="es-ES_tradnl"/>
              </w:rPr>
              <w:t>Inexequibilidad</w:t>
            </w:r>
          </w:p>
        </w:tc>
      </w:tr>
      <w:tr w:rsidR="003654FF" w:rsidRPr="00152C0F" w:rsidTr="00C61410">
        <w:trPr>
          <w:jc w:val="center"/>
        </w:trPr>
        <w:tc>
          <w:tcPr>
            <w:tcW w:w="1693" w:type="pct"/>
            <w:vAlign w:val="center"/>
          </w:tcPr>
          <w:p w:rsidR="00CD0EF9" w:rsidRPr="00152C0F" w:rsidRDefault="00152C0F" w:rsidP="00A553C9">
            <w:pPr>
              <w:pStyle w:val="Prrafodelista"/>
              <w:ind w:left="0"/>
              <w:jc w:val="both"/>
              <w:rPr>
                <w:color w:val="auto"/>
                <w:sz w:val="28"/>
                <w:szCs w:val="22"/>
              </w:rPr>
            </w:pPr>
            <w:r w:rsidRPr="00152C0F">
              <w:rPr>
                <w:color w:val="auto"/>
                <w:sz w:val="28"/>
                <w:szCs w:val="22"/>
              </w:rPr>
              <w:t>Intervenciones ciudadanas</w:t>
            </w:r>
            <w:r w:rsidRPr="00152C0F">
              <w:rPr>
                <w:color w:val="auto"/>
                <w:sz w:val="28"/>
                <w:szCs w:val="22"/>
              </w:rPr>
              <w:t xml:space="preserve"> </w:t>
            </w:r>
            <w:r w:rsidRPr="00152C0F">
              <w:rPr>
                <w:color w:val="auto"/>
                <w:sz w:val="28"/>
                <w:szCs w:val="22"/>
                <w:lang w:val="es-ES_tradnl"/>
              </w:rPr>
              <w:t>(artículos 242.1 y 7 del Decreto 2067 de 1991)</w:t>
            </w:r>
            <w:r w:rsidRPr="00152C0F">
              <w:rPr>
                <w:color w:val="auto"/>
                <w:sz w:val="28"/>
                <w:szCs w:val="22"/>
                <w:vertAlign w:val="superscript"/>
                <w:lang w:val="es-ES"/>
              </w:rPr>
              <w:footnoteReference w:id="19"/>
            </w:r>
            <w:r w:rsidRPr="00152C0F">
              <w:rPr>
                <w:color w:val="auto"/>
                <w:sz w:val="28"/>
                <w:szCs w:val="22"/>
              </w:rPr>
              <w:t>.</w:t>
            </w:r>
            <w:r w:rsidRPr="00152C0F">
              <w:rPr>
                <w:color w:val="auto"/>
                <w:sz w:val="28"/>
                <w:szCs w:val="22"/>
              </w:rPr>
              <w:t xml:space="preserve"> Respecto de estas, </w:t>
            </w:r>
            <w:r w:rsidRPr="00152C0F">
              <w:rPr>
                <w:b/>
                <w:bCs/>
                <w:color w:val="auto"/>
                <w:sz w:val="28"/>
                <w:szCs w:val="22"/>
              </w:rPr>
              <w:t xml:space="preserve">el término de fijación en lista </w:t>
            </w:r>
            <w:r w:rsidRPr="00152C0F">
              <w:rPr>
                <w:b/>
                <w:bCs/>
                <w:color w:val="auto"/>
                <w:sz w:val="28"/>
                <w:szCs w:val="22"/>
              </w:rPr>
              <w:t>venció el 25 de abril de 2024</w:t>
            </w:r>
            <w:r w:rsidRPr="00152C0F">
              <w:rPr>
                <w:color w:val="auto"/>
                <w:sz w:val="28"/>
                <w:szCs w:val="22"/>
              </w:rPr>
              <w:t>.</w:t>
            </w:r>
          </w:p>
        </w:tc>
        <w:tc>
          <w:tcPr>
            <w:tcW w:w="1596" w:type="pct"/>
            <w:shd w:val="clear" w:color="auto" w:fill="auto"/>
            <w:vAlign w:val="center"/>
          </w:tcPr>
          <w:p w:rsidR="00CD0EF9" w:rsidRPr="00152C0F" w:rsidRDefault="00152C0F" w:rsidP="00A553C9">
            <w:pPr>
              <w:jc w:val="both"/>
              <w:rPr>
                <w:color w:val="auto"/>
                <w:sz w:val="28"/>
                <w:szCs w:val="22"/>
              </w:rPr>
            </w:pPr>
            <w:r w:rsidRPr="00152C0F">
              <w:rPr>
                <w:color w:val="auto"/>
                <w:sz w:val="28"/>
                <w:szCs w:val="22"/>
              </w:rPr>
              <w:t>Intervención conjunta de: Leyla Waded Chaparro Pesca, Iván Leonel González Orjuela, Flavio Yescith López Martínez, Ángela Andrea Martínez Cepeda y Carlos Andrés Riveros López (únicamente se pronunciaron en relación con el art</w:t>
            </w:r>
            <w:r w:rsidRPr="00152C0F">
              <w:rPr>
                <w:color w:val="auto"/>
                <w:sz w:val="28"/>
                <w:szCs w:val="22"/>
              </w:rPr>
              <w:t xml:space="preserve">ículo 211 de la Ley </w:t>
            </w:r>
            <w:r w:rsidRPr="00152C0F">
              <w:rPr>
                <w:color w:val="auto"/>
                <w:sz w:val="28"/>
                <w:szCs w:val="22"/>
              </w:rPr>
              <w:t>2294)</w:t>
            </w:r>
            <w:r w:rsidRPr="00152C0F">
              <w:rPr>
                <w:rStyle w:val="Refdenotaalpie"/>
                <w:color w:val="auto"/>
                <w:sz w:val="28"/>
                <w:szCs w:val="22"/>
              </w:rPr>
              <w:footnoteReference w:id="20"/>
            </w:r>
          </w:p>
        </w:tc>
        <w:tc>
          <w:tcPr>
            <w:tcW w:w="1711" w:type="pct"/>
            <w:shd w:val="clear" w:color="auto" w:fill="auto"/>
            <w:vAlign w:val="center"/>
          </w:tcPr>
          <w:p w:rsidR="00CD0EF9" w:rsidRPr="00152C0F" w:rsidRDefault="00152C0F" w:rsidP="00A553C9">
            <w:pPr>
              <w:pStyle w:val="Prrafodelista"/>
              <w:ind w:left="0"/>
              <w:jc w:val="both"/>
              <w:rPr>
                <w:color w:val="auto"/>
                <w:sz w:val="28"/>
                <w:szCs w:val="22"/>
              </w:rPr>
            </w:pPr>
          </w:p>
        </w:tc>
      </w:tr>
      <w:tr w:rsidR="003654FF" w:rsidRPr="00152C0F" w:rsidTr="00C61410">
        <w:trPr>
          <w:jc w:val="center"/>
        </w:trPr>
        <w:tc>
          <w:tcPr>
            <w:tcW w:w="1693" w:type="pct"/>
            <w:vAlign w:val="center"/>
          </w:tcPr>
          <w:p w:rsidR="00492169" w:rsidRPr="00152C0F" w:rsidRDefault="00152C0F" w:rsidP="00A553C9">
            <w:pPr>
              <w:pStyle w:val="Prrafodelista"/>
              <w:ind w:left="0"/>
              <w:jc w:val="both"/>
              <w:rPr>
                <w:color w:val="auto"/>
                <w:sz w:val="28"/>
                <w:szCs w:val="22"/>
              </w:rPr>
            </w:pPr>
            <w:r w:rsidRPr="00152C0F">
              <w:rPr>
                <w:color w:val="auto"/>
                <w:sz w:val="28"/>
                <w:szCs w:val="22"/>
              </w:rPr>
              <w:t xml:space="preserve">Conceptos de organismos y entidades del Estado </w:t>
            </w:r>
            <w:r w:rsidRPr="00152C0F">
              <w:rPr>
                <w:rStyle w:val="Ttulo1Car"/>
                <w:rFonts w:ascii="Times New Roman" w:hAnsi="Times New Roman" w:cs="Times New Roman"/>
                <w:b w:val="0"/>
                <w:color w:val="auto"/>
                <w:sz w:val="28"/>
                <w:szCs w:val="22"/>
              </w:rPr>
              <w:t>(artículo 11</w:t>
            </w:r>
            <w:r w:rsidRPr="00152C0F">
              <w:rPr>
                <w:rStyle w:val="Ttulo1Car"/>
                <w:rFonts w:ascii="Times New Roman" w:hAnsi="Times New Roman" w:cs="Times New Roman"/>
                <w:color w:val="auto"/>
                <w:sz w:val="28"/>
                <w:szCs w:val="22"/>
              </w:rPr>
              <w:t xml:space="preserve"> </w:t>
            </w:r>
            <w:r w:rsidRPr="00152C0F">
              <w:rPr>
                <w:rStyle w:val="Ttulo1Car"/>
                <w:rFonts w:ascii="Times New Roman" w:hAnsi="Times New Roman" w:cs="Times New Roman"/>
                <w:b w:val="0"/>
                <w:color w:val="auto"/>
                <w:sz w:val="28"/>
                <w:szCs w:val="22"/>
              </w:rPr>
              <w:t>del Decreto 2067 de 1991)</w:t>
            </w:r>
            <w:r w:rsidRPr="00152C0F">
              <w:rPr>
                <w:rStyle w:val="Refdenotaalpie"/>
                <w:color w:val="auto"/>
                <w:sz w:val="28"/>
                <w:szCs w:val="22"/>
              </w:rPr>
              <w:footnoteReference w:id="21"/>
            </w:r>
            <w:r w:rsidRPr="00152C0F">
              <w:rPr>
                <w:color w:val="auto"/>
                <w:sz w:val="28"/>
                <w:szCs w:val="22"/>
              </w:rPr>
              <w:t>.</w:t>
            </w:r>
          </w:p>
        </w:tc>
        <w:tc>
          <w:tcPr>
            <w:tcW w:w="1596" w:type="pct"/>
            <w:shd w:val="clear" w:color="auto" w:fill="auto"/>
            <w:vAlign w:val="center"/>
          </w:tcPr>
          <w:p w:rsidR="00492169" w:rsidRPr="00152C0F" w:rsidRDefault="00152C0F" w:rsidP="00A553C9">
            <w:pPr>
              <w:pStyle w:val="Prrafodelista"/>
              <w:ind w:left="0"/>
              <w:jc w:val="both"/>
              <w:rPr>
                <w:color w:val="auto"/>
                <w:sz w:val="28"/>
                <w:szCs w:val="22"/>
              </w:rPr>
            </w:pPr>
            <w:r w:rsidRPr="00152C0F">
              <w:rPr>
                <w:color w:val="auto"/>
                <w:sz w:val="28"/>
                <w:szCs w:val="22"/>
              </w:rPr>
              <w:t xml:space="preserve">(i) </w:t>
            </w:r>
            <w:r w:rsidRPr="00152C0F">
              <w:rPr>
                <w:color w:val="auto"/>
                <w:sz w:val="28"/>
                <w:szCs w:val="22"/>
              </w:rPr>
              <w:t xml:space="preserve">Departamento Nacional de Planeación, </w:t>
            </w:r>
            <w:r w:rsidRPr="00152C0F">
              <w:rPr>
                <w:color w:val="auto"/>
                <w:sz w:val="28"/>
                <w:szCs w:val="22"/>
              </w:rPr>
              <w:t xml:space="preserve">(ii) </w:t>
            </w:r>
            <w:r w:rsidRPr="00152C0F">
              <w:rPr>
                <w:color w:val="auto"/>
                <w:sz w:val="28"/>
                <w:szCs w:val="22"/>
              </w:rPr>
              <w:t>Ministerio de Justicia y del Derecho</w:t>
            </w:r>
            <w:r w:rsidRPr="00152C0F">
              <w:rPr>
                <w:color w:val="auto"/>
                <w:sz w:val="28"/>
                <w:szCs w:val="22"/>
              </w:rPr>
              <w:t>,</w:t>
            </w:r>
            <w:r w:rsidRPr="00152C0F">
              <w:rPr>
                <w:color w:val="auto"/>
                <w:sz w:val="28"/>
                <w:szCs w:val="22"/>
              </w:rPr>
              <w:t xml:space="preserve"> y</w:t>
            </w:r>
            <w:r w:rsidRPr="00152C0F">
              <w:rPr>
                <w:color w:val="auto"/>
                <w:sz w:val="28"/>
                <w:szCs w:val="22"/>
              </w:rPr>
              <w:t xml:space="preserve"> </w:t>
            </w:r>
            <w:r w:rsidRPr="00152C0F">
              <w:rPr>
                <w:color w:val="auto"/>
                <w:sz w:val="28"/>
                <w:szCs w:val="22"/>
              </w:rPr>
              <w:t xml:space="preserve">(iii) </w:t>
            </w:r>
            <w:r w:rsidRPr="00152C0F">
              <w:rPr>
                <w:color w:val="auto"/>
                <w:sz w:val="28"/>
                <w:szCs w:val="22"/>
              </w:rPr>
              <w:t xml:space="preserve">Secretaría Jurídica de la Presidencia de la </w:t>
            </w:r>
            <w:r w:rsidRPr="00152C0F">
              <w:rPr>
                <w:color w:val="auto"/>
                <w:sz w:val="28"/>
                <w:szCs w:val="22"/>
              </w:rPr>
              <w:t>República</w:t>
            </w:r>
            <w:r w:rsidRPr="00152C0F">
              <w:rPr>
                <w:rStyle w:val="Refdenotaalpie"/>
                <w:color w:val="auto"/>
                <w:sz w:val="28"/>
                <w:szCs w:val="22"/>
              </w:rPr>
              <w:footnoteReference w:id="22"/>
            </w:r>
          </w:p>
        </w:tc>
        <w:tc>
          <w:tcPr>
            <w:tcW w:w="1711" w:type="pct"/>
            <w:shd w:val="clear" w:color="auto" w:fill="auto"/>
            <w:vAlign w:val="center"/>
          </w:tcPr>
          <w:p w:rsidR="00492169" w:rsidRPr="00152C0F" w:rsidRDefault="00152C0F" w:rsidP="00A553C9">
            <w:pPr>
              <w:pStyle w:val="Prrafodelista"/>
              <w:ind w:left="0"/>
              <w:jc w:val="both"/>
              <w:rPr>
                <w:color w:val="auto"/>
                <w:sz w:val="28"/>
                <w:szCs w:val="22"/>
              </w:rPr>
            </w:pPr>
          </w:p>
        </w:tc>
      </w:tr>
      <w:tr w:rsidR="003654FF" w:rsidRPr="00152C0F" w:rsidTr="00C61410">
        <w:trPr>
          <w:jc w:val="center"/>
        </w:trPr>
        <w:tc>
          <w:tcPr>
            <w:tcW w:w="1693" w:type="pct"/>
            <w:vAlign w:val="center"/>
          </w:tcPr>
          <w:p w:rsidR="00492169" w:rsidRPr="00152C0F" w:rsidRDefault="00152C0F" w:rsidP="00A553C9">
            <w:pPr>
              <w:pStyle w:val="Prrafodelista"/>
              <w:ind w:left="0"/>
              <w:jc w:val="both"/>
              <w:rPr>
                <w:color w:val="auto"/>
                <w:sz w:val="28"/>
                <w:szCs w:val="22"/>
                <w:lang w:val="es-ES_tradnl"/>
              </w:rPr>
            </w:pPr>
            <w:r w:rsidRPr="00152C0F">
              <w:rPr>
                <w:rStyle w:val="Ttulo1Car"/>
                <w:rFonts w:ascii="Times New Roman" w:hAnsi="Times New Roman" w:cs="Times New Roman"/>
                <w:b w:val="0"/>
                <w:color w:val="auto"/>
                <w:sz w:val="28"/>
                <w:szCs w:val="22"/>
              </w:rPr>
              <w:t>Conceptos de organizaciones, entidades y expertos invitados (artículo 13 del Decreto 2067 de 1991)</w:t>
            </w:r>
            <w:r w:rsidRPr="00152C0F">
              <w:rPr>
                <w:rStyle w:val="Refdenotaalpie"/>
                <w:color w:val="auto"/>
                <w:sz w:val="28"/>
                <w:szCs w:val="22"/>
                <w:shd w:val="clear" w:color="auto" w:fill="FFFFFF"/>
              </w:rPr>
              <w:footnoteReference w:id="23"/>
            </w:r>
            <w:r w:rsidRPr="00152C0F">
              <w:rPr>
                <w:color w:val="auto"/>
                <w:sz w:val="28"/>
                <w:szCs w:val="22"/>
                <w:shd w:val="clear" w:color="auto" w:fill="FFFFFF"/>
              </w:rPr>
              <w:t>.</w:t>
            </w:r>
          </w:p>
        </w:tc>
        <w:tc>
          <w:tcPr>
            <w:tcW w:w="1596" w:type="pct"/>
            <w:shd w:val="clear" w:color="auto" w:fill="auto"/>
            <w:vAlign w:val="center"/>
          </w:tcPr>
          <w:p w:rsidR="00492169" w:rsidRPr="00152C0F" w:rsidRDefault="00152C0F" w:rsidP="00A553C9">
            <w:pPr>
              <w:pStyle w:val="Prrafodelista"/>
              <w:ind w:left="0"/>
              <w:jc w:val="both"/>
              <w:rPr>
                <w:color w:val="auto"/>
                <w:sz w:val="28"/>
                <w:szCs w:val="22"/>
                <w:lang w:val="es-ES_tradnl"/>
              </w:rPr>
            </w:pPr>
            <w:r w:rsidRPr="00152C0F">
              <w:rPr>
                <w:color w:val="auto"/>
                <w:sz w:val="28"/>
                <w:szCs w:val="22"/>
                <w:lang w:val="es-ES_tradnl"/>
              </w:rPr>
              <w:t xml:space="preserve">(i) </w:t>
            </w:r>
            <w:r w:rsidRPr="00152C0F">
              <w:rPr>
                <w:color w:val="auto"/>
                <w:sz w:val="28"/>
                <w:szCs w:val="22"/>
                <w:lang w:val="es-ES_tradnl"/>
              </w:rPr>
              <w:t>Sociedad de Activos Especiales</w:t>
            </w:r>
            <w:r w:rsidRPr="00152C0F">
              <w:rPr>
                <w:rStyle w:val="Refdenotaalpie"/>
                <w:color w:val="auto"/>
                <w:sz w:val="28"/>
                <w:szCs w:val="22"/>
              </w:rPr>
              <w:footnoteReference w:id="24"/>
            </w:r>
            <w:r w:rsidRPr="00152C0F">
              <w:rPr>
                <w:color w:val="auto"/>
                <w:sz w:val="28"/>
                <w:szCs w:val="22"/>
                <w:lang w:val="es-ES_tradnl"/>
              </w:rPr>
              <w:t xml:space="preserve"> y</w:t>
            </w:r>
            <w:r w:rsidRPr="00152C0F">
              <w:rPr>
                <w:color w:val="auto"/>
                <w:sz w:val="28"/>
                <w:szCs w:val="22"/>
                <w:lang w:val="es-ES_tradnl"/>
              </w:rPr>
              <w:t xml:space="preserve"> </w:t>
            </w:r>
            <w:r w:rsidRPr="00152C0F">
              <w:rPr>
                <w:color w:val="auto"/>
                <w:sz w:val="28"/>
                <w:szCs w:val="22"/>
                <w:lang w:val="es-ES_tradnl"/>
              </w:rPr>
              <w:t xml:space="preserve">(ii) </w:t>
            </w:r>
            <w:bookmarkStart w:id="3" w:name="_Hlk174352013"/>
            <w:r w:rsidRPr="00152C0F">
              <w:rPr>
                <w:color w:val="auto"/>
                <w:sz w:val="28"/>
                <w:szCs w:val="22"/>
                <w:lang w:val="es-ES_tradnl"/>
              </w:rPr>
              <w:t>Superintendencia de Notariado y Registro</w:t>
            </w:r>
            <w:bookmarkEnd w:id="3"/>
            <w:r w:rsidRPr="00152C0F">
              <w:rPr>
                <w:color w:val="auto"/>
                <w:sz w:val="28"/>
                <w:szCs w:val="22"/>
                <w:lang w:val="es-ES_tradnl"/>
              </w:rPr>
              <w:t>.</w:t>
            </w:r>
          </w:p>
        </w:tc>
        <w:tc>
          <w:tcPr>
            <w:tcW w:w="1711" w:type="pct"/>
            <w:shd w:val="clear" w:color="auto" w:fill="auto"/>
            <w:vAlign w:val="center"/>
          </w:tcPr>
          <w:p w:rsidR="00492169" w:rsidRPr="00152C0F" w:rsidRDefault="00152C0F" w:rsidP="00A553C9">
            <w:pPr>
              <w:widowControl/>
              <w:jc w:val="both"/>
              <w:rPr>
                <w:color w:val="auto"/>
                <w:sz w:val="28"/>
                <w:szCs w:val="22"/>
                <w:lang w:val="es-ES_tradnl"/>
              </w:rPr>
            </w:pPr>
            <w:r w:rsidRPr="00152C0F">
              <w:rPr>
                <w:color w:val="auto"/>
                <w:sz w:val="28"/>
                <w:szCs w:val="22"/>
              </w:rPr>
              <w:t xml:space="preserve">(i) </w:t>
            </w:r>
            <w:r w:rsidRPr="00152C0F">
              <w:rPr>
                <w:color w:val="auto"/>
                <w:sz w:val="28"/>
                <w:szCs w:val="22"/>
              </w:rPr>
              <w:t xml:space="preserve">Universidad Externado de Colombia, </w:t>
            </w:r>
            <w:r w:rsidRPr="00152C0F">
              <w:rPr>
                <w:color w:val="auto"/>
                <w:sz w:val="28"/>
                <w:szCs w:val="22"/>
              </w:rPr>
              <w:t xml:space="preserve">(ii) </w:t>
            </w:r>
            <w:r w:rsidRPr="00152C0F">
              <w:rPr>
                <w:color w:val="auto"/>
                <w:sz w:val="28"/>
                <w:szCs w:val="22"/>
              </w:rPr>
              <w:t xml:space="preserve">Instituto </w:t>
            </w:r>
            <w:r w:rsidRPr="00152C0F">
              <w:rPr>
                <w:color w:val="auto"/>
                <w:sz w:val="28"/>
                <w:szCs w:val="22"/>
              </w:rPr>
              <w:t>Colombiano de Derecho Procesal</w:t>
            </w:r>
            <w:r w:rsidRPr="00152C0F">
              <w:rPr>
                <w:color w:val="auto"/>
                <w:sz w:val="28"/>
                <w:szCs w:val="22"/>
              </w:rPr>
              <w:t>,</w:t>
            </w:r>
            <w:r w:rsidRPr="00152C0F">
              <w:rPr>
                <w:color w:val="auto"/>
                <w:sz w:val="28"/>
                <w:szCs w:val="22"/>
              </w:rPr>
              <w:t xml:space="preserve"> y (iii)</w:t>
            </w:r>
            <w:r w:rsidRPr="00152C0F">
              <w:rPr>
                <w:color w:val="auto"/>
                <w:sz w:val="28"/>
                <w:szCs w:val="22"/>
              </w:rPr>
              <w:t xml:space="preserve"> Universidad Pontificia Bolivariana –Sede Medellín–</w:t>
            </w:r>
            <w:r w:rsidRPr="00152C0F">
              <w:rPr>
                <w:color w:val="auto"/>
                <w:sz w:val="28"/>
                <w:szCs w:val="22"/>
              </w:rPr>
              <w:t>.</w:t>
            </w:r>
          </w:p>
        </w:tc>
      </w:tr>
      <w:tr w:rsidR="00CE1CA5" w:rsidRPr="00152C0F" w:rsidTr="00C61410">
        <w:trPr>
          <w:jc w:val="center"/>
        </w:trPr>
        <w:tc>
          <w:tcPr>
            <w:tcW w:w="1693" w:type="pct"/>
            <w:vAlign w:val="center"/>
          </w:tcPr>
          <w:p w:rsidR="00492169" w:rsidRPr="00152C0F" w:rsidRDefault="00152C0F" w:rsidP="00A553C9">
            <w:pPr>
              <w:pStyle w:val="Prrafodelista"/>
              <w:ind w:left="0"/>
              <w:jc w:val="both"/>
              <w:rPr>
                <w:rStyle w:val="Ttulo1Car"/>
                <w:rFonts w:ascii="Times New Roman" w:hAnsi="Times New Roman" w:cs="Times New Roman"/>
                <w:b w:val="0"/>
                <w:color w:val="auto"/>
                <w:sz w:val="28"/>
                <w:szCs w:val="22"/>
              </w:rPr>
            </w:pPr>
            <w:r w:rsidRPr="00152C0F">
              <w:rPr>
                <w:rStyle w:val="Ttulo1Car"/>
                <w:rFonts w:ascii="Times New Roman" w:hAnsi="Times New Roman" w:cs="Times New Roman"/>
                <w:b w:val="0"/>
                <w:color w:val="auto"/>
                <w:sz w:val="28"/>
                <w:szCs w:val="22"/>
              </w:rPr>
              <w:t>Concepto de la Procuradora General de la Nación (artículos 38 y 7 del Decreto 2067 de 1991)</w:t>
            </w:r>
          </w:p>
        </w:tc>
        <w:tc>
          <w:tcPr>
            <w:tcW w:w="1596" w:type="pct"/>
            <w:shd w:val="clear" w:color="auto" w:fill="auto"/>
            <w:vAlign w:val="center"/>
          </w:tcPr>
          <w:p w:rsidR="00492169" w:rsidRPr="00152C0F" w:rsidRDefault="00152C0F" w:rsidP="00A553C9">
            <w:pPr>
              <w:pStyle w:val="Prrafodelista"/>
              <w:ind w:left="0"/>
              <w:jc w:val="both"/>
              <w:rPr>
                <w:color w:val="auto"/>
                <w:sz w:val="28"/>
                <w:szCs w:val="22"/>
                <w:lang w:val="es-ES_tradnl"/>
              </w:rPr>
            </w:pPr>
            <w:r w:rsidRPr="00152C0F">
              <w:rPr>
                <w:color w:val="auto"/>
                <w:sz w:val="28"/>
                <w:szCs w:val="22"/>
                <w:lang w:val="es-ES_tradnl"/>
              </w:rPr>
              <w:t>Solicita la exequibilidad de las disposiciones acusadas.</w:t>
            </w:r>
          </w:p>
        </w:tc>
        <w:tc>
          <w:tcPr>
            <w:tcW w:w="1711" w:type="pct"/>
            <w:shd w:val="clear" w:color="auto" w:fill="auto"/>
            <w:vAlign w:val="center"/>
          </w:tcPr>
          <w:p w:rsidR="00492169" w:rsidRPr="00152C0F" w:rsidRDefault="00152C0F" w:rsidP="00A553C9">
            <w:pPr>
              <w:widowControl/>
              <w:jc w:val="both"/>
              <w:rPr>
                <w:color w:val="auto"/>
                <w:sz w:val="28"/>
                <w:szCs w:val="22"/>
                <w:lang w:val="es-ES_tradnl"/>
              </w:rPr>
            </w:pPr>
          </w:p>
        </w:tc>
      </w:tr>
    </w:tbl>
    <w:p w:rsidR="00EE311B" w:rsidRPr="00152C0F" w:rsidRDefault="00152C0F" w:rsidP="00A553C9">
      <w:pPr>
        <w:jc w:val="both"/>
        <w:rPr>
          <w:rFonts w:ascii="Times New Roman" w:hAnsi="Times New Roman" w:cs="Times New Roman"/>
          <w:sz w:val="28"/>
          <w:szCs w:val="28"/>
        </w:rPr>
      </w:pPr>
    </w:p>
    <w:p w:rsidR="00BA0726" w:rsidRPr="00152C0F" w:rsidRDefault="00152C0F" w:rsidP="00A17EA0">
      <w:pPr>
        <w:pStyle w:val="Estilo1"/>
        <w:numPr>
          <w:ilvl w:val="0"/>
          <w:numId w:val="3"/>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 xml:space="preserve">Argumentos </w:t>
      </w:r>
      <w:r w:rsidRPr="00152C0F">
        <w:rPr>
          <w:rStyle w:val="Ttulo1Car"/>
          <w:rFonts w:ascii="Times New Roman" w:hAnsi="Times New Roman" w:cs="Times New Roman"/>
          <w:bCs/>
          <w:color w:val="auto"/>
          <w:sz w:val="28"/>
          <w:szCs w:val="28"/>
        </w:rPr>
        <w:t>de quienes solicitan una decisión inhibitoria</w:t>
      </w:r>
    </w:p>
    <w:p w:rsidR="00BA0726" w:rsidRPr="00152C0F" w:rsidRDefault="00152C0F" w:rsidP="00A553C9">
      <w:pPr>
        <w:jc w:val="both"/>
        <w:rPr>
          <w:rFonts w:ascii="Times New Roman" w:hAnsi="Times New Roman" w:cs="Times New Roman"/>
          <w:sz w:val="28"/>
          <w:szCs w:val="28"/>
        </w:rPr>
      </w:pPr>
    </w:p>
    <w:p w:rsidR="00BA0560"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Como </w:t>
      </w:r>
      <w:r w:rsidRPr="00152C0F">
        <w:rPr>
          <w:rFonts w:ascii="Times New Roman" w:hAnsi="Times New Roman" w:cs="Times New Roman"/>
          <w:sz w:val="28"/>
          <w:szCs w:val="28"/>
        </w:rPr>
        <w:t>solicitud</w:t>
      </w:r>
      <w:r w:rsidRPr="00152C0F">
        <w:rPr>
          <w:rFonts w:ascii="Times New Roman" w:hAnsi="Times New Roman" w:cs="Times New Roman"/>
          <w:sz w:val="28"/>
          <w:szCs w:val="28"/>
        </w:rPr>
        <w:t xml:space="preserve"> principal, </w:t>
      </w:r>
      <w:r w:rsidRPr="00152C0F">
        <w:rPr>
          <w:rFonts w:ascii="Times New Roman" w:hAnsi="Times New Roman" w:cs="Times New Roman"/>
          <w:sz w:val="28"/>
          <w:szCs w:val="28"/>
        </w:rPr>
        <w:t xml:space="preserve">en sus conceptos </w:t>
      </w:r>
      <w:r w:rsidRPr="00152C0F">
        <w:rPr>
          <w:rFonts w:ascii="Times New Roman" w:hAnsi="Times New Roman" w:cs="Times New Roman"/>
          <w:sz w:val="28"/>
          <w:szCs w:val="28"/>
        </w:rPr>
        <w:t xml:space="preserve">el </w:t>
      </w:r>
      <w:r w:rsidRPr="00152C0F">
        <w:rPr>
          <w:rFonts w:ascii="Times New Roman" w:hAnsi="Times New Roman" w:cs="Times New Roman"/>
          <w:b/>
          <w:bCs/>
          <w:sz w:val="28"/>
          <w:szCs w:val="28"/>
        </w:rPr>
        <w:t>Ministerio de Justicia y del Derecho</w:t>
      </w:r>
      <w:r w:rsidRPr="00152C0F">
        <w:rPr>
          <w:rFonts w:ascii="Times New Roman" w:hAnsi="Times New Roman" w:cs="Times New Roman"/>
          <w:sz w:val="28"/>
          <w:szCs w:val="28"/>
        </w:rPr>
        <w:t xml:space="preserve">, la </w:t>
      </w:r>
      <w:r w:rsidRPr="00152C0F">
        <w:rPr>
          <w:rFonts w:ascii="Times New Roman" w:hAnsi="Times New Roman" w:cs="Times New Roman"/>
          <w:b/>
          <w:bCs/>
          <w:sz w:val="28"/>
          <w:szCs w:val="28"/>
        </w:rPr>
        <w:t>Secretaría Jurídica de la Presidencia de la República</w:t>
      </w:r>
      <w:r w:rsidRPr="00152C0F">
        <w:rPr>
          <w:rFonts w:ascii="Times New Roman" w:hAnsi="Times New Roman" w:cs="Times New Roman"/>
          <w:sz w:val="28"/>
          <w:szCs w:val="28"/>
        </w:rPr>
        <w:t xml:space="preserve"> y la </w:t>
      </w:r>
      <w:r w:rsidRPr="00152C0F">
        <w:rPr>
          <w:rFonts w:ascii="Times New Roman" w:hAnsi="Times New Roman" w:cs="Times New Roman"/>
          <w:b/>
          <w:bCs/>
          <w:sz w:val="28"/>
          <w:szCs w:val="28"/>
        </w:rPr>
        <w:t>Sociedad de Activos Especiales S.A.S (SAE)</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solicitan que la </w:t>
      </w:r>
      <w:r w:rsidRPr="00152C0F">
        <w:rPr>
          <w:rFonts w:ascii="Times New Roman" w:hAnsi="Times New Roman" w:cs="Times New Roman"/>
          <w:sz w:val="28"/>
          <w:szCs w:val="28"/>
        </w:rPr>
        <w:t>Corte adopte una decisión inhibitoria</w:t>
      </w:r>
      <w:r w:rsidRPr="00152C0F">
        <w:rPr>
          <w:rFonts w:ascii="Times New Roman" w:hAnsi="Times New Roman" w:cs="Times New Roman"/>
          <w:sz w:val="28"/>
          <w:szCs w:val="28"/>
        </w:rPr>
        <w:t xml:space="preserve">. Según precisan, </w:t>
      </w:r>
      <w:r w:rsidRPr="00152C0F">
        <w:rPr>
          <w:rFonts w:ascii="Times New Roman" w:hAnsi="Times New Roman" w:cs="Times New Roman"/>
          <w:sz w:val="28"/>
          <w:szCs w:val="28"/>
        </w:rPr>
        <w:t xml:space="preserve">el </w:t>
      </w:r>
      <w:r w:rsidRPr="00152C0F">
        <w:rPr>
          <w:rFonts w:ascii="Times New Roman" w:hAnsi="Times New Roman" w:cs="Times New Roman"/>
          <w:sz w:val="28"/>
          <w:szCs w:val="28"/>
        </w:rPr>
        <w:t>cargo de la demanda carece de claridad, certeza, especificidad, pertinencia y suficiencia</w:t>
      </w:r>
      <w:r w:rsidRPr="00152C0F">
        <w:rPr>
          <w:rStyle w:val="Refdenotaalpie"/>
          <w:rFonts w:ascii="Times New Roman" w:hAnsi="Times New Roman" w:cs="Times New Roman"/>
          <w:sz w:val="28"/>
          <w:szCs w:val="28"/>
        </w:rPr>
        <w:footnoteReference w:id="25"/>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p>
    <w:p w:rsidR="00BA0560" w:rsidRPr="00152C0F" w:rsidRDefault="00152C0F" w:rsidP="00BA0560">
      <w:pPr>
        <w:pStyle w:val="Prrafodelista"/>
        <w:ind w:left="0"/>
        <w:jc w:val="both"/>
        <w:rPr>
          <w:rFonts w:ascii="Times New Roman" w:hAnsi="Times New Roman" w:cs="Times New Roman"/>
          <w:sz w:val="28"/>
          <w:szCs w:val="28"/>
        </w:rPr>
      </w:pPr>
    </w:p>
    <w:p w:rsidR="00D62AAA"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En cuanto a la exigencia</w:t>
      </w:r>
      <w:r w:rsidRPr="00152C0F">
        <w:rPr>
          <w:rFonts w:ascii="Times New Roman" w:hAnsi="Times New Roman" w:cs="Times New Roman"/>
          <w:sz w:val="28"/>
          <w:szCs w:val="28"/>
        </w:rPr>
        <w:t xml:space="preserve"> de claridad</w:t>
      </w:r>
      <w:r w:rsidRPr="00152C0F">
        <w:rPr>
          <w:rFonts w:ascii="Times New Roman" w:hAnsi="Times New Roman" w:cs="Times New Roman"/>
          <w:sz w:val="28"/>
          <w:szCs w:val="28"/>
        </w:rPr>
        <w:t>, señala</w:t>
      </w:r>
      <w:r w:rsidRPr="00152C0F">
        <w:rPr>
          <w:rFonts w:ascii="Times New Roman" w:hAnsi="Times New Roman" w:cs="Times New Roman"/>
          <w:sz w:val="28"/>
          <w:szCs w:val="28"/>
        </w:rPr>
        <w:t>n</w:t>
      </w:r>
      <w:r w:rsidRPr="00152C0F">
        <w:rPr>
          <w:rFonts w:ascii="Times New Roman" w:hAnsi="Times New Roman" w:cs="Times New Roman"/>
          <w:sz w:val="28"/>
          <w:szCs w:val="28"/>
        </w:rPr>
        <w:t xml:space="preserve"> que </w:t>
      </w:r>
      <w:r w:rsidRPr="00152C0F">
        <w:rPr>
          <w:rFonts w:ascii="Times New Roman" w:hAnsi="Times New Roman" w:cs="Times New Roman"/>
          <w:sz w:val="28"/>
          <w:szCs w:val="28"/>
        </w:rPr>
        <w:t xml:space="preserve">la demanda </w:t>
      </w:r>
      <w:r w:rsidRPr="00152C0F">
        <w:rPr>
          <w:rFonts w:ascii="Times New Roman" w:hAnsi="Times New Roman" w:cs="Times New Roman"/>
          <w:sz w:val="28"/>
          <w:szCs w:val="28"/>
        </w:rPr>
        <w:t xml:space="preserve">no explica con precisión cómo las normas demandadas violan </w:t>
      </w:r>
      <w:r w:rsidRPr="00152C0F">
        <w:rPr>
          <w:rFonts w:ascii="Times New Roman" w:hAnsi="Times New Roman" w:cs="Times New Roman"/>
          <w:sz w:val="28"/>
          <w:szCs w:val="28"/>
        </w:rPr>
        <w:t xml:space="preserve">el principio de </w:t>
      </w:r>
      <w:r w:rsidRPr="00152C0F">
        <w:rPr>
          <w:rFonts w:ascii="Times New Roman" w:hAnsi="Times New Roman" w:cs="Times New Roman"/>
          <w:sz w:val="28"/>
          <w:szCs w:val="28"/>
        </w:rPr>
        <w:t>unidad de materia</w:t>
      </w:r>
      <w:r w:rsidRPr="00152C0F">
        <w:rPr>
          <w:rFonts w:ascii="Times New Roman" w:hAnsi="Times New Roman" w:cs="Times New Roman"/>
          <w:sz w:val="28"/>
          <w:szCs w:val="28"/>
        </w:rPr>
        <w:t>, “pues no hay una lógica basada en silogismos claros sino en premisas meramente enunciativas”</w:t>
      </w:r>
      <w:r w:rsidRPr="00152C0F">
        <w:rPr>
          <w:rStyle w:val="Refdenotaalpie"/>
          <w:rFonts w:ascii="Times New Roman" w:hAnsi="Times New Roman" w:cs="Times New Roman"/>
          <w:sz w:val="28"/>
          <w:szCs w:val="28"/>
        </w:rPr>
        <w:footnoteReference w:id="26"/>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En </w:t>
      </w:r>
      <w:r w:rsidRPr="00152C0F">
        <w:rPr>
          <w:rFonts w:ascii="Times New Roman" w:hAnsi="Times New Roman" w:cs="Times New Roman"/>
          <w:sz w:val="28"/>
          <w:szCs w:val="28"/>
        </w:rPr>
        <w:t xml:space="preserve">relación </w:t>
      </w:r>
      <w:r w:rsidRPr="00152C0F">
        <w:rPr>
          <w:rFonts w:ascii="Times New Roman" w:hAnsi="Times New Roman" w:cs="Times New Roman"/>
          <w:sz w:val="28"/>
          <w:szCs w:val="28"/>
        </w:rPr>
        <w:t xml:space="preserve">con la certeza del cargo, </w:t>
      </w:r>
      <w:r w:rsidRPr="00152C0F">
        <w:rPr>
          <w:rFonts w:ascii="Times New Roman" w:hAnsi="Times New Roman" w:cs="Times New Roman"/>
          <w:sz w:val="28"/>
          <w:szCs w:val="28"/>
        </w:rPr>
        <w:t>en general, coinciden en ind</w:t>
      </w:r>
      <w:r w:rsidRPr="00152C0F">
        <w:rPr>
          <w:rFonts w:ascii="Times New Roman" w:hAnsi="Times New Roman" w:cs="Times New Roman"/>
          <w:sz w:val="28"/>
          <w:szCs w:val="28"/>
        </w:rPr>
        <w:t xml:space="preserve">icar que </w:t>
      </w:r>
      <w:r w:rsidRPr="00152C0F">
        <w:rPr>
          <w:rFonts w:ascii="Times New Roman" w:hAnsi="Times New Roman" w:cs="Times New Roman"/>
          <w:sz w:val="28"/>
          <w:szCs w:val="28"/>
        </w:rPr>
        <w:t xml:space="preserve">la demanda no recae sobre una proposición jurídica real y existente, sino sobre una interpretación errónea del contenido de las normas demandadas, </w:t>
      </w:r>
      <w:r w:rsidRPr="00152C0F">
        <w:rPr>
          <w:rFonts w:ascii="Times New Roman" w:hAnsi="Times New Roman" w:cs="Times New Roman"/>
          <w:sz w:val="28"/>
          <w:szCs w:val="28"/>
        </w:rPr>
        <w:t xml:space="preserve">puesto que </w:t>
      </w:r>
      <w:r w:rsidRPr="00152C0F">
        <w:rPr>
          <w:rFonts w:ascii="Times New Roman" w:hAnsi="Times New Roman" w:cs="Times New Roman"/>
          <w:sz w:val="28"/>
          <w:szCs w:val="28"/>
        </w:rPr>
        <w:t xml:space="preserve">los bienes administrados por la SAE son propiedad del Estado </w:t>
      </w:r>
      <w:r w:rsidRPr="00152C0F">
        <w:rPr>
          <w:rFonts w:ascii="Times New Roman" w:hAnsi="Times New Roman" w:cs="Times New Roman"/>
          <w:sz w:val="28"/>
          <w:szCs w:val="28"/>
        </w:rPr>
        <w:t xml:space="preserve">solo </w:t>
      </w:r>
      <w:r w:rsidRPr="00152C0F">
        <w:rPr>
          <w:rFonts w:ascii="Times New Roman" w:hAnsi="Times New Roman" w:cs="Times New Roman"/>
          <w:sz w:val="28"/>
          <w:szCs w:val="28"/>
        </w:rPr>
        <w:t xml:space="preserve">hasta </w:t>
      </w:r>
      <w:r w:rsidRPr="00152C0F">
        <w:rPr>
          <w:rFonts w:ascii="Times New Roman" w:hAnsi="Times New Roman" w:cs="Times New Roman"/>
          <w:sz w:val="28"/>
          <w:szCs w:val="28"/>
        </w:rPr>
        <w:t xml:space="preserve">tanto </w:t>
      </w:r>
      <w:r w:rsidRPr="00152C0F">
        <w:rPr>
          <w:rFonts w:ascii="Times New Roman" w:hAnsi="Times New Roman" w:cs="Times New Roman"/>
          <w:sz w:val="28"/>
          <w:szCs w:val="28"/>
        </w:rPr>
        <w:t xml:space="preserve">se declare </w:t>
      </w:r>
      <w:r w:rsidRPr="00152C0F">
        <w:rPr>
          <w:rFonts w:ascii="Times New Roman" w:hAnsi="Times New Roman" w:cs="Times New Roman"/>
          <w:sz w:val="28"/>
          <w:szCs w:val="28"/>
        </w:rPr>
        <w:t>la extinción de</w:t>
      </w:r>
      <w:r w:rsidRPr="00152C0F">
        <w:rPr>
          <w:rFonts w:ascii="Times New Roman" w:hAnsi="Times New Roman" w:cs="Times New Roman"/>
          <w:sz w:val="28"/>
          <w:szCs w:val="28"/>
        </w:rPr>
        <w:t>l</w:t>
      </w:r>
      <w:r w:rsidRPr="00152C0F">
        <w:rPr>
          <w:rFonts w:ascii="Times New Roman" w:hAnsi="Times New Roman" w:cs="Times New Roman"/>
          <w:sz w:val="28"/>
          <w:szCs w:val="28"/>
        </w:rPr>
        <w:t xml:space="preserve"> dominio</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En cuanto a la </w:t>
      </w:r>
      <w:r w:rsidRPr="00152C0F">
        <w:rPr>
          <w:rFonts w:ascii="Times New Roman" w:hAnsi="Times New Roman" w:cs="Times New Roman"/>
          <w:sz w:val="28"/>
          <w:szCs w:val="28"/>
        </w:rPr>
        <w:t>exigencia de especificidad</w:t>
      </w:r>
      <w:r w:rsidRPr="00152C0F">
        <w:rPr>
          <w:rFonts w:ascii="Times New Roman" w:hAnsi="Times New Roman" w:cs="Times New Roman"/>
          <w:sz w:val="28"/>
          <w:szCs w:val="28"/>
        </w:rPr>
        <w:t xml:space="preserve">, se indica que </w:t>
      </w:r>
      <w:r w:rsidRPr="00152C0F">
        <w:rPr>
          <w:rFonts w:ascii="Times New Roman" w:hAnsi="Times New Roman" w:cs="Times New Roman"/>
          <w:sz w:val="28"/>
          <w:szCs w:val="28"/>
        </w:rPr>
        <w:t>no se demuestra de manera concreta y puntual cómo los artículos 211 y 212 vulneran el principio de unidad de materia</w:t>
      </w:r>
      <w:r w:rsidRPr="00152C0F">
        <w:rPr>
          <w:rFonts w:ascii="Times New Roman" w:hAnsi="Times New Roman" w:cs="Times New Roman"/>
          <w:sz w:val="28"/>
          <w:szCs w:val="28"/>
        </w:rPr>
        <w:t xml:space="preserve">, ya que se trata de </w:t>
      </w:r>
      <w:r w:rsidRPr="00152C0F">
        <w:rPr>
          <w:rFonts w:ascii="Times New Roman" w:hAnsi="Times New Roman" w:cs="Times New Roman"/>
          <w:sz w:val="28"/>
          <w:szCs w:val="28"/>
        </w:rPr>
        <w:t>argumentos vagos</w:t>
      </w:r>
      <w:r w:rsidRPr="00152C0F">
        <w:rPr>
          <w:rFonts w:ascii="Times New Roman" w:hAnsi="Times New Roman" w:cs="Times New Roman"/>
          <w:sz w:val="28"/>
          <w:szCs w:val="28"/>
        </w:rPr>
        <w:t xml:space="preserve">, que </w:t>
      </w:r>
      <w:r w:rsidRPr="00152C0F">
        <w:rPr>
          <w:rFonts w:ascii="Times New Roman" w:hAnsi="Times New Roman" w:cs="Times New Roman"/>
          <w:sz w:val="28"/>
          <w:szCs w:val="28"/>
        </w:rPr>
        <w:t xml:space="preserve">no detallan una contradicción directa </w:t>
      </w:r>
      <w:r w:rsidRPr="00152C0F">
        <w:rPr>
          <w:rFonts w:ascii="Times New Roman" w:hAnsi="Times New Roman" w:cs="Times New Roman"/>
          <w:sz w:val="28"/>
          <w:szCs w:val="28"/>
        </w:rPr>
        <w:t xml:space="preserve">con </w:t>
      </w:r>
      <w:r w:rsidRPr="00152C0F">
        <w:rPr>
          <w:rFonts w:ascii="Times New Roman" w:hAnsi="Times New Roman" w:cs="Times New Roman"/>
          <w:sz w:val="28"/>
          <w:szCs w:val="28"/>
        </w:rPr>
        <w:t>la Constitución</w:t>
      </w:r>
      <w:r w:rsidRPr="00152C0F">
        <w:rPr>
          <w:rStyle w:val="Refdenotaalpie"/>
          <w:rFonts w:ascii="Times New Roman" w:hAnsi="Times New Roman" w:cs="Times New Roman"/>
          <w:sz w:val="28"/>
          <w:szCs w:val="28"/>
        </w:rPr>
        <w:footnoteReference w:id="27"/>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En relación con </w:t>
      </w:r>
      <w:r w:rsidRPr="00152C0F">
        <w:rPr>
          <w:rFonts w:ascii="Times New Roman" w:hAnsi="Times New Roman" w:cs="Times New Roman"/>
          <w:sz w:val="28"/>
          <w:szCs w:val="28"/>
        </w:rPr>
        <w:t>la pertinencia del cargo</w:t>
      </w:r>
      <w:r w:rsidRPr="00152C0F">
        <w:rPr>
          <w:rFonts w:ascii="Times New Roman" w:hAnsi="Times New Roman" w:cs="Times New Roman"/>
          <w:sz w:val="28"/>
          <w:szCs w:val="28"/>
        </w:rPr>
        <w:t xml:space="preserve">, en general, </w:t>
      </w:r>
      <w:r w:rsidRPr="00152C0F">
        <w:rPr>
          <w:rFonts w:ascii="Times New Roman" w:hAnsi="Times New Roman" w:cs="Times New Roman"/>
          <w:sz w:val="28"/>
          <w:szCs w:val="28"/>
        </w:rPr>
        <w:t xml:space="preserve">comparten que </w:t>
      </w:r>
      <w:r w:rsidRPr="00152C0F">
        <w:rPr>
          <w:rFonts w:ascii="Times New Roman" w:hAnsi="Times New Roman" w:cs="Times New Roman"/>
          <w:sz w:val="28"/>
          <w:szCs w:val="28"/>
        </w:rPr>
        <w:t>“el demandante no explica de qué manera las disposiciones impugnadas infringen el principio de unidad de materia puesto que, nue</w:t>
      </w:r>
      <w:r w:rsidRPr="00152C0F">
        <w:rPr>
          <w:rFonts w:ascii="Times New Roman" w:hAnsi="Times New Roman" w:cs="Times New Roman"/>
          <w:sz w:val="28"/>
          <w:szCs w:val="28"/>
        </w:rPr>
        <w:t xml:space="preserve">vamente se reitera, </w:t>
      </w:r>
      <w:r w:rsidRPr="00152C0F">
        <w:rPr>
          <w:rFonts w:ascii="Times New Roman" w:hAnsi="Times New Roman" w:cs="Times New Roman"/>
          <w:sz w:val="28"/>
          <w:szCs w:val="28"/>
        </w:rPr>
        <w:t>funda sus argumentos en la hipótesis de que la imprescriptibilidad de los bienes del FRISCO y la intemporalidad de las medidas cautelares decretadas en procesos de extinción de dominio, ya existían en el ordenamiento jurídico”</w:t>
      </w:r>
      <w:r w:rsidRPr="00152C0F">
        <w:rPr>
          <w:rStyle w:val="Refdenotaalpie"/>
          <w:rFonts w:ascii="Times New Roman" w:hAnsi="Times New Roman" w:cs="Times New Roman"/>
          <w:sz w:val="28"/>
          <w:szCs w:val="28"/>
        </w:rPr>
        <w:footnoteReference w:id="28"/>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Finalmente, </w:t>
      </w:r>
      <w:r w:rsidRPr="00152C0F">
        <w:rPr>
          <w:rFonts w:ascii="Times New Roman" w:hAnsi="Times New Roman" w:cs="Times New Roman"/>
          <w:sz w:val="28"/>
          <w:szCs w:val="28"/>
        </w:rPr>
        <w:t xml:space="preserve">ante la falta de cumplimiento de las anteriores cuatro exigencias, para </w:t>
      </w:r>
      <w:r w:rsidRPr="00152C0F">
        <w:rPr>
          <w:rFonts w:ascii="Times New Roman" w:hAnsi="Times New Roman" w:cs="Times New Roman"/>
          <w:sz w:val="28"/>
          <w:szCs w:val="28"/>
        </w:rPr>
        <w:t>el ministerio y la SAE</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los cargos de la </w:t>
      </w:r>
      <w:r w:rsidRPr="00152C0F">
        <w:rPr>
          <w:rFonts w:ascii="Times New Roman" w:hAnsi="Times New Roman" w:cs="Times New Roman"/>
          <w:sz w:val="28"/>
          <w:szCs w:val="28"/>
        </w:rPr>
        <w:t xml:space="preserve">demanda no </w:t>
      </w:r>
      <w:r w:rsidRPr="00152C0F">
        <w:rPr>
          <w:rFonts w:ascii="Times New Roman" w:hAnsi="Times New Roman" w:cs="Times New Roman"/>
          <w:sz w:val="28"/>
          <w:szCs w:val="28"/>
        </w:rPr>
        <w:t xml:space="preserve">son </w:t>
      </w:r>
      <w:r w:rsidRPr="00152C0F">
        <w:rPr>
          <w:rFonts w:ascii="Times New Roman" w:hAnsi="Times New Roman" w:cs="Times New Roman"/>
          <w:sz w:val="28"/>
          <w:szCs w:val="28"/>
        </w:rPr>
        <w:t>suficien</w:t>
      </w:r>
      <w:r w:rsidRPr="00152C0F">
        <w:rPr>
          <w:rFonts w:ascii="Times New Roman" w:hAnsi="Times New Roman" w:cs="Times New Roman"/>
          <w:sz w:val="28"/>
          <w:szCs w:val="28"/>
        </w:rPr>
        <w:t>tes</w:t>
      </w:r>
      <w:r w:rsidRPr="00152C0F">
        <w:rPr>
          <w:rStyle w:val="Refdenotaalpie"/>
          <w:rFonts w:ascii="Times New Roman" w:hAnsi="Times New Roman" w:cs="Times New Roman"/>
          <w:sz w:val="28"/>
          <w:szCs w:val="28"/>
        </w:rPr>
        <w:footnoteReference w:id="29"/>
      </w:r>
      <w:r w:rsidRPr="00152C0F">
        <w:rPr>
          <w:rFonts w:ascii="Times New Roman" w:hAnsi="Times New Roman" w:cs="Times New Roman"/>
          <w:sz w:val="28"/>
          <w:szCs w:val="28"/>
        </w:rPr>
        <w:t>.</w:t>
      </w:r>
    </w:p>
    <w:p w:rsidR="00BA0726" w:rsidRPr="00152C0F" w:rsidRDefault="00152C0F" w:rsidP="00A553C9">
      <w:pPr>
        <w:jc w:val="both"/>
        <w:rPr>
          <w:rFonts w:ascii="Times New Roman" w:hAnsi="Times New Roman" w:cs="Times New Roman"/>
          <w:sz w:val="28"/>
          <w:szCs w:val="28"/>
        </w:rPr>
      </w:pPr>
    </w:p>
    <w:p w:rsidR="00B12037" w:rsidRPr="00152C0F" w:rsidRDefault="00152C0F" w:rsidP="00A17EA0">
      <w:pPr>
        <w:pStyle w:val="Estilo1"/>
        <w:numPr>
          <w:ilvl w:val="0"/>
          <w:numId w:val="3"/>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 xml:space="preserve">Argumentos de </w:t>
      </w:r>
      <w:r w:rsidRPr="00152C0F">
        <w:rPr>
          <w:rStyle w:val="Ttulo1Car"/>
          <w:rFonts w:ascii="Times New Roman" w:hAnsi="Times New Roman" w:cs="Times New Roman"/>
          <w:bCs/>
          <w:color w:val="auto"/>
          <w:sz w:val="28"/>
          <w:szCs w:val="28"/>
        </w:rPr>
        <w:t xml:space="preserve">quienes </w:t>
      </w:r>
      <w:r w:rsidRPr="00152C0F">
        <w:rPr>
          <w:rStyle w:val="Ttulo1Car"/>
          <w:rFonts w:ascii="Times New Roman" w:hAnsi="Times New Roman" w:cs="Times New Roman"/>
          <w:bCs/>
          <w:color w:val="auto"/>
          <w:sz w:val="28"/>
          <w:szCs w:val="28"/>
        </w:rPr>
        <w:t xml:space="preserve">solicitan </w:t>
      </w:r>
      <w:r w:rsidRPr="00152C0F">
        <w:rPr>
          <w:rStyle w:val="Ttulo1Car"/>
          <w:rFonts w:ascii="Times New Roman" w:hAnsi="Times New Roman" w:cs="Times New Roman"/>
          <w:bCs/>
          <w:color w:val="auto"/>
          <w:sz w:val="28"/>
          <w:szCs w:val="28"/>
        </w:rPr>
        <w:t>la</w:t>
      </w:r>
      <w:r w:rsidRPr="00152C0F">
        <w:rPr>
          <w:rStyle w:val="Ttulo1Car"/>
          <w:rFonts w:ascii="Times New Roman" w:hAnsi="Times New Roman" w:cs="Times New Roman"/>
          <w:bCs/>
          <w:color w:val="auto"/>
          <w:sz w:val="28"/>
          <w:szCs w:val="28"/>
        </w:rPr>
        <w:t xml:space="preserve"> declaratoria de exequibilidad</w:t>
      </w:r>
    </w:p>
    <w:p w:rsidR="006A5E11" w:rsidRPr="00152C0F" w:rsidRDefault="00152C0F" w:rsidP="00A553C9">
      <w:pPr>
        <w:jc w:val="both"/>
        <w:rPr>
          <w:rFonts w:ascii="Times New Roman" w:hAnsi="Times New Roman" w:cs="Times New Roman"/>
          <w:sz w:val="28"/>
          <w:szCs w:val="28"/>
        </w:rPr>
      </w:pPr>
    </w:p>
    <w:p w:rsidR="0005545E"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w:t>
      </w:r>
      <w:r w:rsidRPr="00152C0F">
        <w:rPr>
          <w:rFonts w:ascii="Times New Roman" w:hAnsi="Times New Roman" w:cs="Times New Roman"/>
          <w:sz w:val="28"/>
          <w:szCs w:val="28"/>
        </w:rPr>
        <w:t xml:space="preserve">su </w:t>
      </w:r>
      <w:r w:rsidRPr="00152C0F">
        <w:rPr>
          <w:rFonts w:ascii="Times New Roman" w:hAnsi="Times New Roman" w:cs="Times New Roman"/>
          <w:sz w:val="28"/>
          <w:szCs w:val="28"/>
        </w:rPr>
        <w:t xml:space="preserve">intervención conjunta, </w:t>
      </w:r>
      <w:r w:rsidRPr="00152C0F">
        <w:rPr>
          <w:rFonts w:ascii="Times New Roman" w:hAnsi="Times New Roman" w:cs="Times New Roman"/>
          <w:b/>
          <w:bCs/>
          <w:sz w:val="28"/>
          <w:szCs w:val="28"/>
        </w:rPr>
        <w:t xml:space="preserve">los </w:t>
      </w:r>
      <w:r w:rsidRPr="00152C0F">
        <w:rPr>
          <w:rFonts w:ascii="Times New Roman" w:hAnsi="Times New Roman" w:cs="Times New Roman"/>
          <w:b/>
          <w:bCs/>
          <w:sz w:val="28"/>
          <w:szCs w:val="28"/>
        </w:rPr>
        <w:t>ciudadanos Leyla Waded Chaparro Pesca, Iván Leonel González Orjuela, Flavio Yescith López Martínez, Ángela Andrea Martínez Cepeda y Carlos Andrés Riveros López</w:t>
      </w:r>
      <w:r w:rsidRPr="00152C0F">
        <w:rPr>
          <w:rFonts w:ascii="Times New Roman" w:hAnsi="Times New Roman" w:cs="Times New Roman"/>
          <w:sz w:val="28"/>
          <w:szCs w:val="28"/>
        </w:rPr>
        <w:t xml:space="preserve"> solicitan la declaratoria de exequibilidad del artículo 211 de la Ley 2294 de 2023</w:t>
      </w:r>
      <w:r w:rsidRPr="00152C0F">
        <w:rPr>
          <w:rFonts w:ascii="Times New Roman" w:hAnsi="Times New Roman" w:cs="Times New Roman"/>
          <w:sz w:val="28"/>
          <w:szCs w:val="28"/>
        </w:rPr>
        <w:t xml:space="preserve"> y </w:t>
      </w:r>
      <w:r w:rsidRPr="00152C0F">
        <w:rPr>
          <w:rFonts w:ascii="Times New Roman" w:hAnsi="Times New Roman" w:cs="Times New Roman"/>
          <w:sz w:val="28"/>
          <w:szCs w:val="28"/>
        </w:rPr>
        <w:t>no impugnan</w:t>
      </w:r>
      <w:r w:rsidRPr="00152C0F">
        <w:rPr>
          <w:rFonts w:ascii="Times New Roman" w:hAnsi="Times New Roman" w:cs="Times New Roman"/>
          <w:sz w:val="28"/>
          <w:szCs w:val="28"/>
        </w:rPr>
        <w:t xml:space="preserve"> ni defienden la constitucionalidad del artículo 212</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Como </w:t>
      </w:r>
      <w:r w:rsidRPr="00152C0F">
        <w:rPr>
          <w:rFonts w:ascii="Times New Roman" w:hAnsi="Times New Roman" w:cs="Times New Roman"/>
          <w:sz w:val="28"/>
          <w:szCs w:val="28"/>
        </w:rPr>
        <w:t xml:space="preserve">petición </w:t>
      </w:r>
      <w:r w:rsidRPr="00152C0F">
        <w:rPr>
          <w:rFonts w:ascii="Times New Roman" w:hAnsi="Times New Roman" w:cs="Times New Roman"/>
          <w:sz w:val="28"/>
          <w:szCs w:val="28"/>
        </w:rPr>
        <w:t>única, e</w:t>
      </w:r>
      <w:r w:rsidRPr="00152C0F">
        <w:rPr>
          <w:rFonts w:ascii="Times New Roman" w:hAnsi="Times New Roman" w:cs="Times New Roman"/>
          <w:sz w:val="28"/>
          <w:szCs w:val="28"/>
        </w:rPr>
        <w:t xml:space="preserve">l </w:t>
      </w:r>
      <w:r w:rsidRPr="00152C0F">
        <w:rPr>
          <w:rFonts w:ascii="Times New Roman" w:hAnsi="Times New Roman" w:cs="Times New Roman"/>
          <w:b/>
          <w:bCs/>
          <w:sz w:val="28"/>
          <w:szCs w:val="28"/>
        </w:rPr>
        <w:t>Departamento Nacional de Planeación</w:t>
      </w:r>
      <w:r w:rsidRPr="00152C0F">
        <w:rPr>
          <w:rFonts w:ascii="Times New Roman" w:hAnsi="Times New Roman" w:cs="Times New Roman"/>
          <w:b/>
          <w:bCs/>
          <w:sz w:val="28"/>
          <w:szCs w:val="28"/>
        </w:rPr>
        <w:t xml:space="preserve"> </w:t>
      </w:r>
      <w:r w:rsidRPr="00152C0F">
        <w:rPr>
          <w:rFonts w:ascii="Times New Roman" w:hAnsi="Times New Roman" w:cs="Times New Roman"/>
          <w:sz w:val="28"/>
          <w:szCs w:val="28"/>
        </w:rPr>
        <w:t>y la</w:t>
      </w:r>
      <w:r w:rsidRPr="00152C0F">
        <w:rPr>
          <w:rFonts w:ascii="Times New Roman" w:hAnsi="Times New Roman" w:cs="Times New Roman"/>
          <w:b/>
          <w:bCs/>
          <w:sz w:val="28"/>
          <w:szCs w:val="28"/>
        </w:rPr>
        <w:t xml:space="preserve"> Superintendencia de Notariado y Registro</w:t>
      </w:r>
      <w:r w:rsidRPr="00152C0F">
        <w:rPr>
          <w:rFonts w:ascii="Times New Roman" w:hAnsi="Times New Roman" w:cs="Times New Roman"/>
          <w:sz w:val="28"/>
          <w:szCs w:val="28"/>
        </w:rPr>
        <w:t xml:space="preserve">, y </w:t>
      </w:r>
      <w:r w:rsidRPr="00152C0F">
        <w:rPr>
          <w:rFonts w:ascii="Times New Roman" w:hAnsi="Times New Roman" w:cs="Times New Roman"/>
          <w:sz w:val="28"/>
          <w:szCs w:val="28"/>
        </w:rPr>
        <w:t xml:space="preserve">como petición subsidiaria, </w:t>
      </w:r>
      <w:r w:rsidRPr="00152C0F">
        <w:rPr>
          <w:rFonts w:ascii="Times New Roman" w:hAnsi="Times New Roman" w:cs="Times New Roman"/>
          <w:sz w:val="28"/>
          <w:szCs w:val="28"/>
        </w:rPr>
        <w:t xml:space="preserve">el </w:t>
      </w:r>
      <w:r w:rsidRPr="00152C0F">
        <w:rPr>
          <w:rFonts w:ascii="Times New Roman" w:hAnsi="Times New Roman" w:cs="Times New Roman"/>
          <w:b/>
          <w:bCs/>
          <w:sz w:val="28"/>
          <w:szCs w:val="28"/>
        </w:rPr>
        <w:t>Ministerio de Justicia y del Derecho</w:t>
      </w:r>
      <w:r w:rsidRPr="00152C0F">
        <w:rPr>
          <w:rFonts w:ascii="Times New Roman" w:hAnsi="Times New Roman" w:cs="Times New Roman"/>
          <w:sz w:val="28"/>
          <w:szCs w:val="28"/>
        </w:rPr>
        <w:t xml:space="preserve">, la </w:t>
      </w:r>
      <w:r w:rsidRPr="00152C0F">
        <w:rPr>
          <w:rFonts w:ascii="Times New Roman" w:hAnsi="Times New Roman" w:cs="Times New Roman"/>
          <w:b/>
          <w:bCs/>
          <w:sz w:val="28"/>
          <w:szCs w:val="28"/>
        </w:rPr>
        <w:t>Secretaría Jurídica de</w:t>
      </w:r>
      <w:r w:rsidRPr="00152C0F">
        <w:rPr>
          <w:rFonts w:ascii="Times New Roman" w:hAnsi="Times New Roman" w:cs="Times New Roman"/>
          <w:b/>
          <w:bCs/>
          <w:sz w:val="28"/>
          <w:szCs w:val="28"/>
        </w:rPr>
        <w:t xml:space="preserve"> la Presidencia de la República</w:t>
      </w:r>
      <w:r w:rsidRPr="00152C0F">
        <w:rPr>
          <w:rFonts w:ascii="Times New Roman" w:hAnsi="Times New Roman" w:cs="Times New Roman"/>
          <w:sz w:val="28"/>
          <w:szCs w:val="28"/>
        </w:rPr>
        <w:t xml:space="preserve"> y la </w:t>
      </w:r>
      <w:r w:rsidRPr="00152C0F">
        <w:rPr>
          <w:rFonts w:ascii="Times New Roman" w:hAnsi="Times New Roman" w:cs="Times New Roman"/>
          <w:b/>
          <w:bCs/>
          <w:sz w:val="28"/>
          <w:szCs w:val="28"/>
        </w:rPr>
        <w:t>SAE</w:t>
      </w:r>
      <w:r w:rsidRPr="00152C0F">
        <w:rPr>
          <w:rFonts w:ascii="Times New Roman" w:hAnsi="Times New Roman" w:cs="Times New Roman"/>
          <w:sz w:val="28"/>
          <w:szCs w:val="28"/>
        </w:rPr>
        <w:t>,</w:t>
      </w:r>
      <w:r w:rsidRPr="00152C0F">
        <w:rPr>
          <w:rFonts w:ascii="Times New Roman" w:hAnsi="Times New Roman" w:cs="Times New Roman"/>
          <w:b/>
          <w:bCs/>
          <w:sz w:val="28"/>
          <w:szCs w:val="28"/>
        </w:rPr>
        <w:t xml:space="preserve"> </w:t>
      </w:r>
      <w:r w:rsidRPr="00152C0F">
        <w:rPr>
          <w:rFonts w:ascii="Times New Roman" w:hAnsi="Times New Roman" w:cs="Times New Roman"/>
          <w:sz w:val="28"/>
          <w:szCs w:val="28"/>
        </w:rPr>
        <w:t>solicitan la exequibilidad de las disposiciones demandadas</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A excepción de los ciudadanos intervinientes</w:t>
      </w:r>
      <w:r w:rsidRPr="00152C0F">
        <w:rPr>
          <w:rStyle w:val="Refdenotaalpie"/>
          <w:rFonts w:ascii="Times New Roman" w:hAnsi="Times New Roman" w:cs="Times New Roman"/>
          <w:sz w:val="28"/>
          <w:szCs w:val="28"/>
        </w:rPr>
        <w:footnoteReference w:id="30"/>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las entidades estatales</w:t>
      </w:r>
      <w:r w:rsidRPr="00152C0F">
        <w:rPr>
          <w:rFonts w:ascii="Times New Roman" w:hAnsi="Times New Roman" w:cs="Times New Roman"/>
          <w:sz w:val="28"/>
          <w:szCs w:val="28"/>
        </w:rPr>
        <w:t>, en general,</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concuerdan en </w:t>
      </w:r>
      <w:r w:rsidRPr="00152C0F">
        <w:rPr>
          <w:rFonts w:ascii="Times New Roman" w:hAnsi="Times New Roman" w:cs="Times New Roman"/>
          <w:sz w:val="28"/>
          <w:szCs w:val="28"/>
        </w:rPr>
        <w:t xml:space="preserve">la siguiente </w:t>
      </w:r>
      <w:r w:rsidRPr="00152C0F">
        <w:rPr>
          <w:rFonts w:ascii="Times New Roman" w:hAnsi="Times New Roman" w:cs="Times New Roman"/>
          <w:sz w:val="28"/>
          <w:szCs w:val="28"/>
        </w:rPr>
        <w:t>línea argumentativa</w:t>
      </w:r>
      <w:r w:rsidRPr="00152C0F">
        <w:rPr>
          <w:rFonts w:ascii="Times New Roman" w:hAnsi="Times New Roman" w:cs="Times New Roman"/>
          <w:sz w:val="28"/>
          <w:szCs w:val="28"/>
        </w:rPr>
        <w:t xml:space="preserve"> para </w:t>
      </w:r>
      <w:r w:rsidRPr="00152C0F">
        <w:rPr>
          <w:rFonts w:ascii="Times New Roman" w:hAnsi="Times New Roman" w:cs="Times New Roman"/>
          <w:sz w:val="28"/>
          <w:szCs w:val="28"/>
        </w:rPr>
        <w:t xml:space="preserve">justificar </w:t>
      </w:r>
      <w:r w:rsidRPr="00152C0F">
        <w:rPr>
          <w:rFonts w:ascii="Times New Roman" w:hAnsi="Times New Roman" w:cs="Times New Roman"/>
          <w:sz w:val="28"/>
          <w:szCs w:val="28"/>
        </w:rPr>
        <w:t xml:space="preserve">la exequibilidad de </w:t>
      </w:r>
      <w:r w:rsidRPr="00152C0F">
        <w:rPr>
          <w:rFonts w:ascii="Times New Roman" w:hAnsi="Times New Roman" w:cs="Times New Roman"/>
          <w:sz w:val="28"/>
          <w:szCs w:val="28"/>
        </w:rPr>
        <w:t>los artículos 211 y 212 de la Ley 2294 de 2023</w:t>
      </w:r>
      <w:r w:rsidRPr="00152C0F">
        <w:rPr>
          <w:rFonts w:ascii="Times New Roman" w:hAnsi="Times New Roman" w:cs="Times New Roman"/>
          <w:sz w:val="28"/>
          <w:szCs w:val="28"/>
        </w:rPr>
        <w:t>.</w:t>
      </w:r>
    </w:p>
    <w:p w:rsidR="0005545E" w:rsidRPr="00152C0F" w:rsidRDefault="00152C0F" w:rsidP="0005545E">
      <w:pPr>
        <w:pStyle w:val="Prrafodelista"/>
        <w:ind w:left="0"/>
        <w:jc w:val="both"/>
        <w:rPr>
          <w:rFonts w:ascii="Times New Roman" w:hAnsi="Times New Roman" w:cs="Times New Roman"/>
          <w:sz w:val="28"/>
          <w:szCs w:val="28"/>
        </w:rPr>
      </w:pPr>
    </w:p>
    <w:p w:rsidR="009A0F49"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Según precisan, </w:t>
      </w:r>
      <w:r w:rsidRPr="00152C0F">
        <w:rPr>
          <w:rFonts w:ascii="Times New Roman" w:hAnsi="Times New Roman" w:cs="Times New Roman"/>
          <w:sz w:val="28"/>
          <w:szCs w:val="28"/>
        </w:rPr>
        <w:t xml:space="preserve">estas normas </w:t>
      </w:r>
      <w:r w:rsidRPr="00152C0F">
        <w:rPr>
          <w:rFonts w:ascii="Times New Roman" w:hAnsi="Times New Roman" w:cs="Times New Roman"/>
          <w:sz w:val="28"/>
          <w:szCs w:val="28"/>
        </w:rPr>
        <w:t xml:space="preserve">no desconocen el principio </w:t>
      </w:r>
      <w:r w:rsidRPr="00152C0F">
        <w:rPr>
          <w:rFonts w:ascii="Times New Roman" w:hAnsi="Times New Roman" w:cs="Times New Roman"/>
          <w:sz w:val="28"/>
          <w:szCs w:val="28"/>
        </w:rPr>
        <w:t xml:space="preserve">de </w:t>
      </w:r>
      <w:r w:rsidRPr="00152C0F">
        <w:rPr>
          <w:rFonts w:ascii="Times New Roman" w:hAnsi="Times New Roman" w:cs="Times New Roman"/>
          <w:sz w:val="28"/>
          <w:szCs w:val="28"/>
        </w:rPr>
        <w:t xml:space="preserve">unidad de materia porque </w:t>
      </w:r>
      <w:r w:rsidRPr="00152C0F">
        <w:rPr>
          <w:rFonts w:ascii="Times New Roman" w:hAnsi="Times New Roman" w:cs="Times New Roman"/>
          <w:sz w:val="28"/>
          <w:szCs w:val="28"/>
        </w:rPr>
        <w:t xml:space="preserve">las medidas que adoptan </w:t>
      </w:r>
      <w:r w:rsidRPr="00152C0F">
        <w:rPr>
          <w:rFonts w:ascii="Times New Roman" w:hAnsi="Times New Roman" w:cs="Times New Roman"/>
          <w:sz w:val="28"/>
          <w:szCs w:val="28"/>
        </w:rPr>
        <w:t>están directamente relacionad</w:t>
      </w:r>
      <w:r w:rsidRPr="00152C0F">
        <w:rPr>
          <w:rFonts w:ascii="Times New Roman" w:hAnsi="Times New Roman" w:cs="Times New Roman"/>
          <w:sz w:val="28"/>
          <w:szCs w:val="28"/>
        </w:rPr>
        <w:t>a</w:t>
      </w:r>
      <w:r w:rsidRPr="00152C0F">
        <w:rPr>
          <w:rFonts w:ascii="Times New Roman" w:hAnsi="Times New Roman" w:cs="Times New Roman"/>
          <w:sz w:val="28"/>
          <w:szCs w:val="28"/>
        </w:rPr>
        <w:t xml:space="preserve">s con los objetivos del plan nacional de desarrollo, cumplen una función planificadora fundamental para la correcta administración y destinación de los bienes del FRISCO, </w:t>
      </w:r>
      <w:r w:rsidRPr="00152C0F">
        <w:rPr>
          <w:rFonts w:ascii="Times New Roman" w:hAnsi="Times New Roman" w:cs="Times New Roman"/>
          <w:sz w:val="28"/>
          <w:szCs w:val="28"/>
        </w:rPr>
        <w:t xml:space="preserve">y </w:t>
      </w:r>
      <w:r w:rsidRPr="00152C0F">
        <w:rPr>
          <w:rFonts w:ascii="Times New Roman" w:hAnsi="Times New Roman" w:cs="Times New Roman"/>
          <w:sz w:val="28"/>
          <w:szCs w:val="28"/>
        </w:rPr>
        <w:t xml:space="preserve">son </w:t>
      </w:r>
      <w:r w:rsidRPr="00152C0F">
        <w:rPr>
          <w:rFonts w:ascii="Times New Roman" w:hAnsi="Times New Roman" w:cs="Times New Roman"/>
          <w:sz w:val="28"/>
          <w:szCs w:val="28"/>
        </w:rPr>
        <w:t xml:space="preserve">instrumentos necesarios para la </w:t>
      </w:r>
      <w:r w:rsidRPr="00152C0F">
        <w:rPr>
          <w:rFonts w:ascii="Times New Roman" w:hAnsi="Times New Roman" w:cs="Times New Roman"/>
          <w:sz w:val="28"/>
          <w:szCs w:val="28"/>
        </w:rPr>
        <w:t xml:space="preserve">efectiva </w:t>
      </w:r>
      <w:r w:rsidRPr="00152C0F">
        <w:rPr>
          <w:rFonts w:ascii="Times New Roman" w:hAnsi="Times New Roman" w:cs="Times New Roman"/>
          <w:sz w:val="28"/>
          <w:szCs w:val="28"/>
        </w:rPr>
        <w:t>ejecución de los proyectos y objetivos</w:t>
      </w:r>
      <w:r w:rsidRPr="00152C0F">
        <w:rPr>
          <w:rFonts w:ascii="Times New Roman" w:hAnsi="Times New Roman" w:cs="Times New Roman"/>
          <w:sz w:val="28"/>
          <w:szCs w:val="28"/>
        </w:rPr>
        <w:t xml:space="preserve"> del plan</w:t>
      </w:r>
      <w:r w:rsidRPr="00152C0F">
        <w:rPr>
          <w:rFonts w:ascii="Times New Roman" w:hAnsi="Times New Roman" w:cs="Times New Roman"/>
          <w:sz w:val="28"/>
          <w:szCs w:val="28"/>
        </w:rPr>
        <w:t xml:space="preserve"> nacional de desarrollo</w:t>
      </w:r>
      <w:r w:rsidRPr="00152C0F">
        <w:rPr>
          <w:rFonts w:ascii="Times New Roman" w:hAnsi="Times New Roman" w:cs="Times New Roman"/>
          <w:sz w:val="28"/>
          <w:szCs w:val="28"/>
        </w:rPr>
        <w:t xml:space="preserve">, así como </w:t>
      </w:r>
      <w:r w:rsidRPr="00152C0F">
        <w:rPr>
          <w:rFonts w:ascii="Times New Roman" w:hAnsi="Times New Roman" w:cs="Times New Roman"/>
          <w:sz w:val="28"/>
          <w:szCs w:val="28"/>
        </w:rPr>
        <w:t xml:space="preserve">para </w:t>
      </w:r>
      <w:r w:rsidRPr="00152C0F">
        <w:rPr>
          <w:rFonts w:ascii="Times New Roman" w:hAnsi="Times New Roman" w:cs="Times New Roman"/>
          <w:sz w:val="28"/>
          <w:szCs w:val="28"/>
        </w:rPr>
        <w:t xml:space="preserve">las líneas </w:t>
      </w:r>
      <w:r w:rsidRPr="00152C0F">
        <w:rPr>
          <w:rFonts w:ascii="Times New Roman" w:hAnsi="Times New Roman" w:cs="Times New Roman"/>
          <w:sz w:val="28"/>
          <w:szCs w:val="28"/>
        </w:rPr>
        <w:t xml:space="preserve">de acción </w:t>
      </w:r>
      <w:r w:rsidRPr="00152C0F">
        <w:rPr>
          <w:rFonts w:ascii="Times New Roman" w:hAnsi="Times New Roman" w:cs="Times New Roman"/>
          <w:sz w:val="28"/>
          <w:szCs w:val="28"/>
        </w:rPr>
        <w:t>del plan plurianual de inversiones</w:t>
      </w:r>
      <w:r w:rsidRPr="00152C0F">
        <w:rPr>
          <w:rFonts w:ascii="Times New Roman" w:hAnsi="Times New Roman" w:cs="Times New Roman"/>
          <w:sz w:val="28"/>
          <w:szCs w:val="28"/>
        </w:rPr>
        <w:t>.</w:t>
      </w:r>
    </w:p>
    <w:p w:rsidR="006D0490" w:rsidRPr="00152C0F" w:rsidRDefault="00152C0F" w:rsidP="00873039">
      <w:pPr>
        <w:rPr>
          <w:rFonts w:ascii="Times New Roman" w:hAnsi="Times New Roman" w:cs="Times New Roman"/>
          <w:sz w:val="28"/>
          <w:szCs w:val="28"/>
        </w:rPr>
      </w:pPr>
    </w:p>
    <w:p w:rsidR="000338B6"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primer lugar, </w:t>
      </w:r>
      <w:r w:rsidRPr="00152C0F">
        <w:rPr>
          <w:rFonts w:ascii="Times New Roman" w:hAnsi="Times New Roman" w:cs="Times New Roman"/>
          <w:sz w:val="28"/>
          <w:szCs w:val="28"/>
        </w:rPr>
        <w:t>en relación con el artículo 211, señalan que la exclusión de la prescripción adquisitiva protege la integridad de los bienes del FRIS</w:t>
      </w:r>
      <w:r w:rsidRPr="00152C0F">
        <w:rPr>
          <w:rFonts w:ascii="Times New Roman" w:hAnsi="Times New Roman" w:cs="Times New Roman"/>
          <w:sz w:val="28"/>
          <w:szCs w:val="28"/>
        </w:rPr>
        <w:t>CO, bajo la custodia de su administrador (la SAE, o el administrador que corresponda), y evita posibles disputas sobre su titularidad, lo que asegura la estabilidad y continuidad en la gestión de estos activos</w:t>
      </w:r>
      <w:r w:rsidRPr="00152C0F">
        <w:rPr>
          <w:rFonts w:ascii="Times New Roman" w:hAnsi="Times New Roman" w:cs="Times New Roman"/>
          <w:sz w:val="28"/>
          <w:szCs w:val="28"/>
        </w:rPr>
        <w:t xml:space="preserve">, antes de que finalice </w:t>
      </w:r>
      <w:r w:rsidRPr="00152C0F">
        <w:rPr>
          <w:rFonts w:ascii="Times New Roman" w:hAnsi="Times New Roman" w:cs="Times New Roman"/>
          <w:sz w:val="28"/>
          <w:szCs w:val="28"/>
        </w:rPr>
        <w:t>el proceso de extinción</w:t>
      </w:r>
      <w:r w:rsidRPr="00152C0F">
        <w:rPr>
          <w:rFonts w:ascii="Times New Roman" w:hAnsi="Times New Roman" w:cs="Times New Roman"/>
          <w:sz w:val="28"/>
          <w:szCs w:val="28"/>
        </w:rPr>
        <w:t xml:space="preserve"> de dominio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A diferencia de la postura del demandante, </w:t>
      </w:r>
      <w:r w:rsidRPr="00152C0F">
        <w:rPr>
          <w:rFonts w:ascii="Times New Roman" w:hAnsi="Times New Roman" w:cs="Times New Roman"/>
          <w:sz w:val="28"/>
          <w:szCs w:val="28"/>
        </w:rPr>
        <w:t xml:space="preserve">indican </w:t>
      </w:r>
      <w:r w:rsidRPr="00152C0F">
        <w:rPr>
          <w:rFonts w:ascii="Times New Roman" w:hAnsi="Times New Roman" w:cs="Times New Roman"/>
          <w:sz w:val="28"/>
          <w:szCs w:val="28"/>
        </w:rPr>
        <w:t xml:space="preserve">que se trata de una disposición necesaria, </w:t>
      </w:r>
      <w:r w:rsidRPr="00152C0F">
        <w:rPr>
          <w:rFonts w:ascii="Times New Roman" w:hAnsi="Times New Roman" w:cs="Times New Roman"/>
          <w:sz w:val="28"/>
          <w:szCs w:val="28"/>
        </w:rPr>
        <w:t xml:space="preserve">ya que </w:t>
      </w:r>
      <w:r w:rsidRPr="00152C0F">
        <w:rPr>
          <w:rFonts w:ascii="Times New Roman" w:hAnsi="Times New Roman" w:cs="Times New Roman"/>
          <w:sz w:val="28"/>
          <w:szCs w:val="28"/>
        </w:rPr>
        <w:t>se dirige</w:t>
      </w:r>
      <w:r w:rsidRPr="00152C0F">
        <w:rPr>
          <w:rFonts w:ascii="Times New Roman" w:hAnsi="Times New Roman" w:cs="Times New Roman"/>
          <w:sz w:val="28"/>
          <w:szCs w:val="28"/>
        </w:rPr>
        <w:t xml:space="preserve"> a los bienes del FRISCO “afectados con medidas cautelares en proceso de extinción de dominio”</w:t>
      </w:r>
      <w:r w:rsidRPr="00152C0F">
        <w:rPr>
          <w:rStyle w:val="Refdenotaalpie"/>
          <w:rFonts w:ascii="Times New Roman" w:hAnsi="Times New Roman" w:cs="Times New Roman"/>
          <w:sz w:val="28"/>
          <w:szCs w:val="28"/>
        </w:rPr>
        <w:footnoteReference w:id="31"/>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por cuanto aquellos respecto de los cuales ya se ha declarado la extinción del dominio </w:t>
      </w:r>
      <w:r w:rsidRPr="00152C0F">
        <w:rPr>
          <w:rFonts w:ascii="Times New Roman" w:hAnsi="Times New Roman" w:cs="Times New Roman"/>
          <w:sz w:val="28"/>
          <w:szCs w:val="28"/>
        </w:rPr>
        <w:t xml:space="preserve">están amparados por la reserva de imprescriptibilidad, en los términos de los artículos 42 </w:t>
      </w:r>
      <w:r w:rsidRPr="00152C0F">
        <w:rPr>
          <w:rFonts w:ascii="Times New Roman" w:hAnsi="Times New Roman" w:cs="Times New Roman"/>
          <w:sz w:val="28"/>
          <w:szCs w:val="28"/>
        </w:rPr>
        <w:t>de la Ley 1537 de 2012 y 375</w:t>
      </w:r>
      <w:r w:rsidRPr="00152C0F">
        <w:rPr>
          <w:rFonts w:ascii="Times New Roman" w:hAnsi="Times New Roman" w:cs="Times New Roman"/>
          <w:sz w:val="28"/>
          <w:szCs w:val="28"/>
        </w:rPr>
        <w:t>, ordinal 4,</w:t>
      </w:r>
      <w:r w:rsidRPr="00152C0F">
        <w:rPr>
          <w:rFonts w:ascii="Times New Roman" w:hAnsi="Times New Roman" w:cs="Times New Roman"/>
          <w:sz w:val="28"/>
          <w:szCs w:val="28"/>
        </w:rPr>
        <w:t xml:space="preserve"> del Código General del Proceso</w:t>
      </w:r>
      <w:r w:rsidRPr="00152C0F">
        <w:rPr>
          <w:rStyle w:val="Refdenotaalpie"/>
          <w:rFonts w:ascii="Times New Roman" w:hAnsi="Times New Roman" w:cs="Times New Roman"/>
          <w:sz w:val="28"/>
          <w:szCs w:val="28"/>
        </w:rPr>
        <w:footnoteReference w:id="32"/>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I</w:t>
      </w:r>
      <w:r w:rsidRPr="00152C0F">
        <w:rPr>
          <w:rFonts w:ascii="Times New Roman" w:hAnsi="Times New Roman" w:cs="Times New Roman"/>
          <w:sz w:val="28"/>
          <w:szCs w:val="28"/>
        </w:rPr>
        <w:t>ndi</w:t>
      </w:r>
      <w:r w:rsidRPr="00152C0F">
        <w:rPr>
          <w:rFonts w:ascii="Times New Roman" w:hAnsi="Times New Roman" w:cs="Times New Roman"/>
          <w:sz w:val="28"/>
          <w:szCs w:val="28"/>
        </w:rPr>
        <w:t xml:space="preserve">can </w:t>
      </w:r>
      <w:r w:rsidRPr="00152C0F">
        <w:rPr>
          <w:rFonts w:ascii="Times New Roman" w:hAnsi="Times New Roman" w:cs="Times New Roman"/>
          <w:sz w:val="28"/>
          <w:szCs w:val="28"/>
        </w:rPr>
        <w:t xml:space="preserve">que </w:t>
      </w:r>
      <w:r w:rsidRPr="00152C0F">
        <w:rPr>
          <w:rFonts w:ascii="Times New Roman" w:hAnsi="Times New Roman" w:cs="Times New Roman"/>
          <w:sz w:val="28"/>
          <w:szCs w:val="28"/>
        </w:rPr>
        <w:t xml:space="preserve">la medida </w:t>
      </w:r>
      <w:r w:rsidRPr="00152C0F">
        <w:rPr>
          <w:rFonts w:ascii="Times New Roman" w:hAnsi="Times New Roman" w:cs="Times New Roman"/>
          <w:sz w:val="28"/>
          <w:szCs w:val="28"/>
        </w:rPr>
        <w:t xml:space="preserve">optimiza </w:t>
      </w:r>
      <w:r w:rsidRPr="00152C0F">
        <w:rPr>
          <w:rFonts w:ascii="Times New Roman" w:hAnsi="Times New Roman" w:cs="Times New Roman"/>
          <w:sz w:val="28"/>
          <w:szCs w:val="28"/>
        </w:rPr>
        <w:t xml:space="preserve">la </w:t>
      </w:r>
      <w:r w:rsidRPr="00152C0F">
        <w:rPr>
          <w:rFonts w:ascii="Times New Roman" w:hAnsi="Times New Roman" w:cs="Times New Roman"/>
          <w:sz w:val="28"/>
          <w:szCs w:val="28"/>
        </w:rPr>
        <w:t>gestión</w:t>
      </w:r>
      <w:r w:rsidRPr="00152C0F">
        <w:rPr>
          <w:rFonts w:ascii="Times New Roman" w:hAnsi="Times New Roman" w:cs="Times New Roman"/>
          <w:sz w:val="28"/>
          <w:szCs w:val="28"/>
        </w:rPr>
        <w:t xml:space="preserve"> de estos bienes</w:t>
      </w:r>
      <w:r w:rsidRPr="00152C0F">
        <w:rPr>
          <w:rFonts w:ascii="Times New Roman" w:hAnsi="Times New Roman" w:cs="Times New Roman"/>
          <w:sz w:val="28"/>
          <w:szCs w:val="28"/>
        </w:rPr>
        <w:t xml:space="preserve">, al impedir que sean ocultados, negociados o utilizados por redes criminales, lo cual asegura que permanezcan disponibles para </w:t>
      </w:r>
      <w:r w:rsidRPr="00152C0F">
        <w:rPr>
          <w:rFonts w:ascii="Times New Roman" w:hAnsi="Times New Roman" w:cs="Times New Roman"/>
          <w:sz w:val="28"/>
          <w:szCs w:val="28"/>
        </w:rPr>
        <w:t>las destinaciones permanentes o provisionales establecidas en la ley</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entre estas, </w:t>
      </w:r>
      <w:r w:rsidRPr="00152C0F">
        <w:rPr>
          <w:rFonts w:ascii="Times New Roman" w:hAnsi="Times New Roman" w:cs="Times New Roman"/>
          <w:sz w:val="28"/>
          <w:szCs w:val="28"/>
        </w:rPr>
        <w:t>“la educación, la salud, los proyectos de interés social, los proyectos productivos en el marco de la paz total, la vivienda digna para la población vulnerable en términos socioeconómicos y a la justicia”</w:t>
      </w:r>
      <w:r w:rsidRPr="00152C0F">
        <w:rPr>
          <w:rStyle w:val="Refdenotaalpie"/>
          <w:rFonts w:ascii="Times New Roman" w:hAnsi="Times New Roman" w:cs="Times New Roman"/>
          <w:sz w:val="28"/>
          <w:szCs w:val="28"/>
        </w:rPr>
        <w:footnoteReference w:id="33"/>
      </w:r>
      <w:r w:rsidRPr="00152C0F">
        <w:rPr>
          <w:rFonts w:ascii="Times New Roman" w:hAnsi="Times New Roman" w:cs="Times New Roman"/>
          <w:sz w:val="28"/>
          <w:szCs w:val="28"/>
        </w:rPr>
        <w:t>.</w:t>
      </w:r>
    </w:p>
    <w:p w:rsidR="002B30A9" w:rsidRPr="00152C0F" w:rsidRDefault="00152C0F" w:rsidP="002B30A9">
      <w:pPr>
        <w:pStyle w:val="Prrafodelista"/>
        <w:ind w:left="0"/>
        <w:jc w:val="both"/>
        <w:rPr>
          <w:rFonts w:ascii="Times New Roman" w:hAnsi="Times New Roman" w:cs="Times New Roman"/>
          <w:sz w:val="28"/>
          <w:szCs w:val="28"/>
        </w:rPr>
      </w:pPr>
    </w:p>
    <w:p w:rsidR="002B30A9"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En relación con el artículo 212</w:t>
      </w:r>
      <w:r w:rsidRPr="00152C0F">
        <w:rPr>
          <w:rFonts w:ascii="Times New Roman" w:hAnsi="Times New Roman" w:cs="Times New Roman"/>
          <w:sz w:val="28"/>
          <w:szCs w:val="28"/>
        </w:rPr>
        <w:t xml:space="preserve"> acu</w:t>
      </w:r>
      <w:r w:rsidRPr="00152C0F">
        <w:rPr>
          <w:rFonts w:ascii="Times New Roman" w:hAnsi="Times New Roman" w:cs="Times New Roman"/>
          <w:sz w:val="28"/>
          <w:szCs w:val="28"/>
        </w:rPr>
        <w:t>sado</w:t>
      </w:r>
      <w:r w:rsidRPr="00152C0F">
        <w:rPr>
          <w:rFonts w:ascii="Times New Roman" w:hAnsi="Times New Roman" w:cs="Times New Roman"/>
          <w:sz w:val="28"/>
          <w:szCs w:val="28"/>
        </w:rPr>
        <w:t xml:space="preserve">, </w:t>
      </w:r>
      <w:r w:rsidRPr="00152C0F">
        <w:rPr>
          <w:rFonts w:ascii="Times New Roman" w:hAnsi="Times New Roman" w:cs="Times New Roman"/>
          <w:sz w:val="28"/>
          <w:szCs w:val="28"/>
          <w:lang w:val="es-ES"/>
        </w:rPr>
        <w:t xml:space="preserve">al disponer que las medidas cautelares en los procesos de extinción de dominio </w:t>
      </w:r>
      <w:r w:rsidRPr="00152C0F">
        <w:rPr>
          <w:rFonts w:ascii="Times New Roman" w:hAnsi="Times New Roman" w:cs="Times New Roman"/>
          <w:sz w:val="28"/>
          <w:szCs w:val="28"/>
          <w:lang w:val="es-ES"/>
        </w:rPr>
        <w:t xml:space="preserve">estén </w:t>
      </w:r>
      <w:r w:rsidRPr="00152C0F">
        <w:rPr>
          <w:rFonts w:ascii="Times New Roman" w:hAnsi="Times New Roman" w:cs="Times New Roman"/>
          <w:sz w:val="28"/>
          <w:szCs w:val="28"/>
          <w:lang w:val="es-ES"/>
        </w:rPr>
        <w:t>vigentes hasta que exista una orden judicial definitiva que disponga su cancelación</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o una sentencia ejecutoriada que ponga fin al proceso</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se </w:t>
      </w:r>
      <w:r w:rsidRPr="00152C0F">
        <w:rPr>
          <w:rFonts w:ascii="Times New Roman" w:hAnsi="Times New Roman" w:cs="Times New Roman"/>
          <w:sz w:val="28"/>
          <w:szCs w:val="28"/>
          <w:lang w:val="es-ES"/>
        </w:rPr>
        <w:t xml:space="preserve">garantiza la custodia </w:t>
      </w:r>
      <w:r w:rsidRPr="00152C0F">
        <w:rPr>
          <w:rFonts w:ascii="Times New Roman" w:hAnsi="Times New Roman" w:cs="Times New Roman"/>
          <w:sz w:val="28"/>
          <w:szCs w:val="28"/>
          <w:lang w:val="es-ES"/>
        </w:rPr>
        <w:t>de los bienes objeto de</w:t>
      </w:r>
      <w:r w:rsidRPr="00152C0F">
        <w:rPr>
          <w:rFonts w:ascii="Times New Roman" w:hAnsi="Times New Roman" w:cs="Times New Roman"/>
          <w:sz w:val="28"/>
          <w:szCs w:val="28"/>
          <w:lang w:val="es-ES"/>
        </w:rPr>
        <w:t>l proceso</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al evitar </w:t>
      </w:r>
      <w:r w:rsidRPr="00152C0F">
        <w:rPr>
          <w:rFonts w:ascii="Times New Roman" w:hAnsi="Times New Roman" w:cs="Times New Roman"/>
          <w:sz w:val="28"/>
          <w:szCs w:val="28"/>
          <w:lang w:val="es-ES"/>
        </w:rPr>
        <w:t xml:space="preserve">su uso indebido durante </w:t>
      </w:r>
      <w:r w:rsidRPr="00152C0F">
        <w:rPr>
          <w:rFonts w:ascii="Times New Roman" w:hAnsi="Times New Roman" w:cs="Times New Roman"/>
          <w:sz w:val="28"/>
          <w:szCs w:val="28"/>
          <w:lang w:val="es-ES"/>
        </w:rPr>
        <w:t xml:space="preserve">su </w:t>
      </w:r>
      <w:r w:rsidRPr="00152C0F">
        <w:rPr>
          <w:rFonts w:ascii="Times New Roman" w:hAnsi="Times New Roman" w:cs="Times New Roman"/>
          <w:sz w:val="28"/>
          <w:szCs w:val="28"/>
          <w:lang w:val="es-ES"/>
        </w:rPr>
        <w:t>trámite</w:t>
      </w:r>
      <w:r w:rsidRPr="00152C0F">
        <w:rPr>
          <w:rStyle w:val="Refdenotaalpie"/>
          <w:rFonts w:ascii="Times New Roman" w:hAnsi="Times New Roman" w:cs="Times New Roman"/>
          <w:sz w:val="28"/>
          <w:szCs w:val="28"/>
          <w:lang w:val="es-ES"/>
        </w:rPr>
        <w:footnoteReference w:id="34"/>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rPr>
        <w:t>Según indic</w:t>
      </w:r>
      <w:r w:rsidRPr="00152C0F">
        <w:rPr>
          <w:rFonts w:ascii="Times New Roman" w:hAnsi="Times New Roman" w:cs="Times New Roman"/>
          <w:sz w:val="28"/>
          <w:szCs w:val="28"/>
        </w:rPr>
        <w:t>a</w:t>
      </w:r>
      <w:r w:rsidRPr="00152C0F">
        <w:rPr>
          <w:rFonts w:ascii="Times New Roman" w:hAnsi="Times New Roman" w:cs="Times New Roman"/>
          <w:sz w:val="28"/>
          <w:szCs w:val="28"/>
        </w:rPr>
        <w:t xml:space="preserve"> el Departamento Nacional de Planeación, se trata de una disposición necesaria, </w:t>
      </w:r>
      <w:r w:rsidRPr="00152C0F">
        <w:rPr>
          <w:rFonts w:ascii="Times New Roman" w:hAnsi="Times New Roman" w:cs="Times New Roman"/>
          <w:sz w:val="28"/>
          <w:szCs w:val="28"/>
        </w:rPr>
        <w:t>por cuanto,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de conformidad con lo dispuesto </w:t>
      </w:r>
      <w:r w:rsidRPr="00152C0F">
        <w:rPr>
          <w:rFonts w:ascii="Times New Roman" w:hAnsi="Times New Roman" w:cs="Times New Roman"/>
          <w:sz w:val="28"/>
          <w:szCs w:val="28"/>
        </w:rPr>
        <w:t>en</w:t>
      </w:r>
      <w:r w:rsidRPr="00152C0F">
        <w:rPr>
          <w:rFonts w:ascii="Times New Roman" w:hAnsi="Times New Roman" w:cs="Times New Roman"/>
          <w:sz w:val="28"/>
          <w:szCs w:val="28"/>
        </w:rPr>
        <w:t xml:space="preserve"> el artículo </w:t>
      </w:r>
      <w:r w:rsidRPr="00152C0F">
        <w:rPr>
          <w:rFonts w:ascii="Times New Roman" w:hAnsi="Times New Roman" w:cs="Times New Roman"/>
          <w:sz w:val="28"/>
          <w:szCs w:val="28"/>
        </w:rPr>
        <w:t xml:space="preserve">64 de la Ley 1579 de 2012, </w:t>
      </w:r>
      <w:r w:rsidRPr="00152C0F">
        <w:rPr>
          <w:rFonts w:ascii="Times New Roman" w:hAnsi="Times New Roman" w:cs="Times New Roman"/>
          <w:sz w:val="28"/>
          <w:szCs w:val="28"/>
        </w:rPr>
        <w:t>l</w:t>
      </w:r>
      <w:r w:rsidRPr="00152C0F">
        <w:rPr>
          <w:rFonts w:ascii="Times New Roman" w:hAnsi="Times New Roman" w:cs="Times New Roman"/>
          <w:sz w:val="28"/>
          <w:szCs w:val="28"/>
        </w:rPr>
        <w:t xml:space="preserve">as inscripciones de las medidas cautelares tienen una vigencia </w:t>
      </w:r>
      <w:r w:rsidRPr="00152C0F">
        <w:rPr>
          <w:rFonts w:ascii="Times New Roman" w:hAnsi="Times New Roman" w:cs="Times New Roman"/>
          <w:sz w:val="28"/>
          <w:szCs w:val="28"/>
        </w:rPr>
        <w:t xml:space="preserve">máxima de diez años, que se pueden prorrogar </w:t>
      </w:r>
      <w:r w:rsidRPr="00152C0F">
        <w:rPr>
          <w:rFonts w:ascii="Times New Roman" w:hAnsi="Times New Roman" w:cs="Times New Roman"/>
          <w:sz w:val="28"/>
          <w:szCs w:val="28"/>
        </w:rPr>
        <w:t xml:space="preserve">hasta por la mitad del término </w:t>
      </w:r>
      <w:r w:rsidRPr="00152C0F">
        <w:rPr>
          <w:rFonts w:ascii="Times New Roman" w:hAnsi="Times New Roman" w:cs="Times New Roman"/>
          <w:sz w:val="28"/>
          <w:szCs w:val="28"/>
        </w:rPr>
        <w:t xml:space="preserve">y en máximo </w:t>
      </w:r>
      <w:r w:rsidRPr="00152C0F">
        <w:rPr>
          <w:rFonts w:ascii="Times New Roman" w:hAnsi="Times New Roman" w:cs="Times New Roman"/>
          <w:sz w:val="28"/>
          <w:szCs w:val="28"/>
        </w:rPr>
        <w:t>dos ocasiones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así</w:t>
      </w:r>
      <w:r w:rsidRPr="00152C0F">
        <w:rPr>
          <w:rFonts w:ascii="Times New Roman" w:hAnsi="Times New Roman" w:cs="Times New Roman"/>
          <w:sz w:val="28"/>
          <w:szCs w:val="28"/>
        </w:rPr>
        <w:t xml:space="preserve">, luego de la introducción de la disposición acusada, </w:t>
      </w:r>
      <w:r w:rsidRPr="00152C0F">
        <w:rPr>
          <w:rFonts w:ascii="Times New Roman" w:hAnsi="Times New Roman" w:cs="Times New Roman"/>
          <w:sz w:val="28"/>
          <w:szCs w:val="28"/>
        </w:rPr>
        <w:t>las m</w:t>
      </w:r>
      <w:r w:rsidRPr="00152C0F">
        <w:rPr>
          <w:rFonts w:ascii="Times New Roman" w:hAnsi="Times New Roman" w:cs="Times New Roman"/>
          <w:sz w:val="28"/>
          <w:szCs w:val="28"/>
        </w:rPr>
        <w:t xml:space="preserve">edidas cautelares </w:t>
      </w:r>
      <w:r w:rsidRPr="00152C0F">
        <w:rPr>
          <w:rFonts w:ascii="Times New Roman" w:hAnsi="Times New Roman" w:cs="Times New Roman"/>
          <w:sz w:val="28"/>
          <w:szCs w:val="28"/>
        </w:rPr>
        <w:t xml:space="preserve">estarán </w:t>
      </w:r>
      <w:r w:rsidRPr="00152C0F">
        <w:rPr>
          <w:rFonts w:ascii="Times New Roman" w:hAnsi="Times New Roman" w:cs="Times New Roman"/>
          <w:sz w:val="28"/>
          <w:szCs w:val="28"/>
        </w:rPr>
        <w:t>vigentes “hasta tanto se expida una orden judicial que disponga su cancelación o se obtenga una sentencia ejecutoriada que ponga fin al proceso judicial en el que fueron decretadas”</w:t>
      </w:r>
      <w:r w:rsidRPr="00152C0F">
        <w:rPr>
          <w:rStyle w:val="Refdenotaalpie"/>
          <w:rFonts w:ascii="Times New Roman" w:hAnsi="Times New Roman" w:cs="Times New Roman"/>
          <w:sz w:val="28"/>
          <w:szCs w:val="28"/>
        </w:rPr>
        <w:footnoteReference w:id="35"/>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En atención a su objeto,</w:t>
      </w:r>
      <w:r w:rsidRPr="00152C0F">
        <w:rPr>
          <w:rFonts w:ascii="Times New Roman" w:hAnsi="Times New Roman" w:cs="Times New Roman"/>
          <w:sz w:val="28"/>
          <w:szCs w:val="28"/>
        </w:rPr>
        <w:t xml:space="preserve"> al igual que ocurre con el artículo 211 acusado,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el artículo 212 </w:t>
      </w:r>
      <w:r w:rsidRPr="00152C0F">
        <w:rPr>
          <w:rFonts w:ascii="Times New Roman" w:hAnsi="Times New Roman" w:cs="Times New Roman"/>
          <w:sz w:val="28"/>
          <w:szCs w:val="28"/>
        </w:rPr>
        <w:t xml:space="preserve">busca </w:t>
      </w:r>
      <w:r w:rsidRPr="00152C0F">
        <w:rPr>
          <w:rFonts w:ascii="Times New Roman" w:hAnsi="Times New Roman" w:cs="Times New Roman"/>
          <w:sz w:val="28"/>
          <w:szCs w:val="28"/>
          <w:lang w:val="es-ES"/>
        </w:rPr>
        <w:t xml:space="preserve">evitar que los bienes objeto de extinción de dominio sean ocultados, gravados, enajenados o destruidos mientras se resuelve </w:t>
      </w:r>
      <w:r w:rsidRPr="00152C0F">
        <w:rPr>
          <w:rFonts w:ascii="Times New Roman" w:hAnsi="Times New Roman" w:cs="Times New Roman"/>
          <w:sz w:val="28"/>
          <w:szCs w:val="28"/>
          <w:lang w:val="es-ES"/>
        </w:rPr>
        <w:t xml:space="preserve">sobre </w:t>
      </w:r>
      <w:r w:rsidRPr="00152C0F">
        <w:rPr>
          <w:rFonts w:ascii="Times New Roman" w:hAnsi="Times New Roman" w:cs="Times New Roman"/>
          <w:sz w:val="28"/>
          <w:szCs w:val="28"/>
          <w:lang w:val="es-ES"/>
        </w:rPr>
        <w:t xml:space="preserve">su situación </w:t>
      </w:r>
      <w:r w:rsidRPr="00152C0F">
        <w:rPr>
          <w:rFonts w:ascii="Times New Roman" w:hAnsi="Times New Roman" w:cs="Times New Roman"/>
          <w:sz w:val="28"/>
          <w:szCs w:val="28"/>
          <w:lang w:val="es-ES"/>
        </w:rPr>
        <w:t>jurídica</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lo cual </w:t>
      </w:r>
      <w:r w:rsidRPr="00152C0F">
        <w:rPr>
          <w:rFonts w:ascii="Times New Roman" w:hAnsi="Times New Roman" w:cs="Times New Roman"/>
          <w:sz w:val="28"/>
          <w:szCs w:val="28"/>
          <w:lang w:val="es-ES"/>
        </w:rPr>
        <w:t>asegura su disponibilid</w:t>
      </w:r>
      <w:r w:rsidRPr="00152C0F">
        <w:rPr>
          <w:rFonts w:ascii="Times New Roman" w:hAnsi="Times New Roman" w:cs="Times New Roman"/>
          <w:sz w:val="28"/>
          <w:szCs w:val="28"/>
          <w:lang w:val="es-ES"/>
        </w:rPr>
        <w:t>ad para el Estado.</w:t>
      </w:r>
    </w:p>
    <w:p w:rsidR="009A0F49" w:rsidRPr="00152C0F" w:rsidRDefault="00152C0F" w:rsidP="001D5D91">
      <w:pPr>
        <w:pStyle w:val="Prrafodelista"/>
        <w:ind w:left="0"/>
        <w:jc w:val="both"/>
        <w:rPr>
          <w:rFonts w:ascii="Times New Roman" w:hAnsi="Times New Roman" w:cs="Times New Roman"/>
          <w:sz w:val="28"/>
          <w:szCs w:val="28"/>
        </w:rPr>
      </w:pPr>
    </w:p>
    <w:p w:rsidR="006E6A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w:t>
      </w:r>
      <w:r w:rsidRPr="00152C0F">
        <w:rPr>
          <w:rFonts w:ascii="Times New Roman" w:hAnsi="Times New Roman" w:cs="Times New Roman"/>
          <w:sz w:val="28"/>
          <w:szCs w:val="28"/>
        </w:rPr>
        <w:t xml:space="preserve">segundo </w:t>
      </w:r>
      <w:r w:rsidRPr="00152C0F">
        <w:rPr>
          <w:rFonts w:ascii="Times New Roman" w:hAnsi="Times New Roman" w:cs="Times New Roman"/>
          <w:sz w:val="28"/>
          <w:szCs w:val="28"/>
        </w:rPr>
        <w:t xml:space="preserve">lugar, precisan que </w:t>
      </w:r>
      <w:r w:rsidRPr="00152C0F">
        <w:rPr>
          <w:rFonts w:ascii="Times New Roman" w:hAnsi="Times New Roman" w:cs="Times New Roman"/>
          <w:sz w:val="28"/>
          <w:szCs w:val="28"/>
        </w:rPr>
        <w:t xml:space="preserve">las disposiciones acusadas </w:t>
      </w:r>
      <w:r w:rsidRPr="00152C0F">
        <w:rPr>
          <w:rFonts w:ascii="Times New Roman" w:hAnsi="Times New Roman" w:cs="Times New Roman"/>
          <w:sz w:val="28"/>
          <w:szCs w:val="28"/>
        </w:rPr>
        <w:t>“tienen por objeto impulsar el cumplimiento de los proyectos del plan que tienen como una de sus fuentes de financiación los bienes respecto de los cuales se declare la extinción</w:t>
      </w:r>
      <w:r w:rsidRPr="00152C0F">
        <w:rPr>
          <w:rFonts w:ascii="Times New Roman" w:hAnsi="Times New Roman" w:cs="Times New Roman"/>
          <w:sz w:val="28"/>
          <w:szCs w:val="28"/>
        </w:rPr>
        <w:t xml:space="preserve"> de dominio a favor del Estado</w:t>
      </w:r>
      <w:r w:rsidRPr="00152C0F">
        <w:rPr>
          <w:rFonts w:ascii="Times New Roman" w:hAnsi="Times New Roman" w:cs="Times New Roman"/>
          <w:sz w:val="28"/>
          <w:szCs w:val="28"/>
        </w:rPr>
        <w:t>”</w:t>
      </w:r>
      <w:r w:rsidRPr="00152C0F">
        <w:rPr>
          <w:rStyle w:val="Refdenotaalpie"/>
          <w:rFonts w:ascii="Times New Roman" w:hAnsi="Times New Roman" w:cs="Times New Roman"/>
          <w:sz w:val="28"/>
          <w:szCs w:val="28"/>
        </w:rPr>
        <w:footnoteReference w:id="36"/>
      </w:r>
      <w:r w:rsidRPr="00152C0F">
        <w:rPr>
          <w:rFonts w:ascii="Times New Roman" w:hAnsi="Times New Roman" w:cs="Times New Roman"/>
          <w:sz w:val="28"/>
          <w:szCs w:val="28"/>
        </w:rPr>
        <w:t xml:space="preserve">. Para estos efectos, </w:t>
      </w:r>
      <w:r w:rsidRPr="00152C0F">
        <w:rPr>
          <w:rFonts w:ascii="Times New Roman" w:hAnsi="Times New Roman" w:cs="Times New Roman"/>
          <w:sz w:val="28"/>
          <w:szCs w:val="28"/>
        </w:rPr>
        <w:t>indican</w:t>
      </w:r>
      <w:r w:rsidRPr="00152C0F">
        <w:rPr>
          <w:rFonts w:ascii="Times New Roman" w:hAnsi="Times New Roman" w:cs="Times New Roman"/>
          <w:sz w:val="28"/>
          <w:szCs w:val="28"/>
        </w:rPr>
        <w:t>, de un lado,</w:t>
      </w:r>
      <w:r w:rsidRPr="00152C0F">
        <w:rPr>
          <w:rFonts w:ascii="Times New Roman" w:hAnsi="Times New Roman" w:cs="Times New Roman"/>
          <w:sz w:val="28"/>
          <w:szCs w:val="28"/>
        </w:rPr>
        <w:t xml:space="preserve"> que </w:t>
      </w:r>
      <w:r w:rsidRPr="00152C0F">
        <w:rPr>
          <w:rFonts w:ascii="Times New Roman" w:hAnsi="Times New Roman" w:cs="Times New Roman"/>
          <w:sz w:val="28"/>
          <w:szCs w:val="28"/>
        </w:rPr>
        <w:t>están directamente relacionadas</w:t>
      </w:r>
      <w:r w:rsidRPr="00152C0F">
        <w:rPr>
          <w:rFonts w:ascii="Times New Roman" w:hAnsi="Times New Roman" w:cs="Times New Roman"/>
          <w:sz w:val="28"/>
          <w:szCs w:val="28"/>
        </w:rPr>
        <w:t xml:space="preserve"> y son instrumentos idóneos y necesarios para la ejecución </w:t>
      </w:r>
      <w:r w:rsidRPr="00152C0F">
        <w:rPr>
          <w:rFonts w:ascii="Times New Roman" w:hAnsi="Times New Roman" w:cs="Times New Roman"/>
          <w:sz w:val="28"/>
          <w:szCs w:val="28"/>
        </w:rPr>
        <w:t xml:space="preserve">de </w:t>
      </w:r>
      <w:r w:rsidRPr="00152C0F">
        <w:rPr>
          <w:rFonts w:ascii="Times New Roman" w:hAnsi="Times New Roman" w:cs="Times New Roman"/>
          <w:sz w:val="28"/>
          <w:szCs w:val="28"/>
        </w:rPr>
        <w:t xml:space="preserve">tres </w:t>
      </w:r>
      <w:r w:rsidRPr="00152C0F">
        <w:rPr>
          <w:rFonts w:ascii="Times New Roman" w:hAnsi="Times New Roman" w:cs="Times New Roman"/>
          <w:sz w:val="28"/>
          <w:szCs w:val="28"/>
        </w:rPr>
        <w:t>“</w:t>
      </w:r>
      <w:r w:rsidRPr="00152C0F">
        <w:rPr>
          <w:rFonts w:ascii="Times New Roman" w:hAnsi="Times New Roman" w:cs="Times New Roman"/>
          <w:sz w:val="28"/>
          <w:szCs w:val="28"/>
        </w:rPr>
        <w:t>estrategias</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cada una asociada a un </w:t>
      </w:r>
      <w:r w:rsidRPr="00152C0F">
        <w:rPr>
          <w:rFonts w:ascii="Times New Roman" w:hAnsi="Times New Roman" w:cs="Times New Roman"/>
          <w:sz w:val="28"/>
          <w:szCs w:val="28"/>
        </w:rPr>
        <w:t xml:space="preserve">“catalizador” </w:t>
      </w:r>
      <w:r w:rsidRPr="00152C0F">
        <w:rPr>
          <w:rFonts w:ascii="Times New Roman" w:hAnsi="Times New Roman" w:cs="Times New Roman"/>
          <w:sz w:val="28"/>
          <w:szCs w:val="28"/>
        </w:rPr>
        <w:t xml:space="preserve">distinto, </w:t>
      </w:r>
      <w:r w:rsidRPr="00152C0F">
        <w:rPr>
          <w:rFonts w:ascii="Times New Roman" w:hAnsi="Times New Roman" w:cs="Times New Roman"/>
          <w:sz w:val="28"/>
          <w:szCs w:val="28"/>
        </w:rPr>
        <w:t xml:space="preserve">de un “habilitador estructural común”, </w:t>
      </w:r>
      <w:r w:rsidRPr="00152C0F">
        <w:rPr>
          <w:rFonts w:ascii="Times New Roman" w:hAnsi="Times New Roman" w:cs="Times New Roman"/>
          <w:sz w:val="28"/>
          <w:szCs w:val="28"/>
        </w:rPr>
        <w:t xml:space="preserve">del </w:t>
      </w:r>
      <w:r w:rsidRPr="00152C0F">
        <w:rPr>
          <w:rFonts w:ascii="Times New Roman" w:hAnsi="Times New Roman" w:cs="Times New Roman"/>
          <w:sz w:val="28"/>
          <w:szCs w:val="28"/>
        </w:rPr>
        <w:t xml:space="preserve">segundo </w:t>
      </w:r>
      <w:r w:rsidRPr="00152C0F">
        <w:rPr>
          <w:rFonts w:ascii="Times New Roman" w:hAnsi="Times New Roman" w:cs="Times New Roman"/>
          <w:sz w:val="28"/>
          <w:szCs w:val="28"/>
        </w:rPr>
        <w:t>“eje de transformación”</w:t>
      </w:r>
      <w:r w:rsidRPr="00152C0F">
        <w:rPr>
          <w:rFonts w:ascii="Times New Roman" w:hAnsi="Times New Roman" w:cs="Times New Roman"/>
          <w:sz w:val="28"/>
          <w:szCs w:val="28"/>
        </w:rPr>
        <w:t>, denominado “Seguridad humana y justicia social”</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del </w:t>
      </w:r>
      <w:r w:rsidRPr="00152C0F">
        <w:rPr>
          <w:rFonts w:ascii="Times New Roman" w:hAnsi="Times New Roman" w:cs="Times New Roman"/>
          <w:sz w:val="28"/>
          <w:szCs w:val="28"/>
        </w:rPr>
        <w:t>Plan Nacional de Desarrollo 2022-2026, “Colombia Potencia Mundial de la Vida”</w:t>
      </w:r>
      <w:r w:rsidRPr="00152C0F">
        <w:rPr>
          <w:rStyle w:val="Refdenotaalpie"/>
          <w:rFonts w:ascii="Times New Roman" w:hAnsi="Times New Roman" w:cs="Times New Roman"/>
          <w:sz w:val="28"/>
          <w:szCs w:val="28"/>
        </w:rPr>
        <w:footnoteReference w:id="37"/>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De otro lado, </w:t>
      </w:r>
      <w:r w:rsidRPr="00152C0F">
        <w:rPr>
          <w:rFonts w:ascii="Times New Roman" w:hAnsi="Times New Roman" w:cs="Times New Roman"/>
          <w:sz w:val="28"/>
          <w:szCs w:val="28"/>
        </w:rPr>
        <w:t>señalan</w:t>
      </w:r>
      <w:r w:rsidRPr="00152C0F">
        <w:rPr>
          <w:rFonts w:ascii="Times New Roman" w:hAnsi="Times New Roman" w:cs="Times New Roman"/>
          <w:sz w:val="28"/>
          <w:szCs w:val="28"/>
        </w:rPr>
        <w:t xml:space="preserve"> que </w:t>
      </w:r>
      <w:r w:rsidRPr="00152C0F">
        <w:rPr>
          <w:rFonts w:ascii="Times New Roman" w:hAnsi="Times New Roman" w:cs="Times New Roman"/>
          <w:sz w:val="28"/>
          <w:szCs w:val="28"/>
        </w:rPr>
        <w:t xml:space="preserve">las </w:t>
      </w:r>
      <w:r w:rsidRPr="00152C0F">
        <w:rPr>
          <w:rFonts w:ascii="Times New Roman" w:hAnsi="Times New Roman" w:cs="Times New Roman"/>
          <w:sz w:val="28"/>
          <w:szCs w:val="28"/>
        </w:rPr>
        <w:t xml:space="preserve">disposiciones </w:t>
      </w:r>
      <w:r w:rsidRPr="00152C0F">
        <w:rPr>
          <w:rFonts w:ascii="Times New Roman" w:hAnsi="Times New Roman" w:cs="Times New Roman"/>
          <w:sz w:val="28"/>
          <w:szCs w:val="28"/>
        </w:rPr>
        <w:t>son</w:t>
      </w:r>
      <w:r w:rsidRPr="00152C0F">
        <w:rPr>
          <w:rFonts w:ascii="Times New Roman" w:hAnsi="Times New Roman" w:cs="Times New Roman"/>
          <w:sz w:val="28"/>
          <w:szCs w:val="28"/>
        </w:rPr>
        <w:t xml:space="preserve"> coher</w:t>
      </w:r>
      <w:r w:rsidRPr="00152C0F">
        <w:rPr>
          <w:rFonts w:ascii="Times New Roman" w:hAnsi="Times New Roman" w:cs="Times New Roman"/>
          <w:sz w:val="28"/>
          <w:szCs w:val="28"/>
        </w:rPr>
        <w:t>e</w:t>
      </w:r>
      <w:r w:rsidRPr="00152C0F">
        <w:rPr>
          <w:rFonts w:ascii="Times New Roman" w:hAnsi="Times New Roman" w:cs="Times New Roman"/>
          <w:sz w:val="28"/>
          <w:szCs w:val="28"/>
        </w:rPr>
        <w:t xml:space="preserve">ntes </w:t>
      </w:r>
      <w:r w:rsidRPr="00152C0F">
        <w:rPr>
          <w:rFonts w:ascii="Times New Roman" w:hAnsi="Times New Roman" w:cs="Times New Roman"/>
          <w:sz w:val="28"/>
          <w:szCs w:val="28"/>
        </w:rPr>
        <w:t xml:space="preserve">con </w:t>
      </w:r>
      <w:r w:rsidRPr="00152C0F">
        <w:rPr>
          <w:rFonts w:ascii="Times New Roman" w:hAnsi="Times New Roman" w:cs="Times New Roman"/>
          <w:sz w:val="28"/>
          <w:szCs w:val="28"/>
        </w:rPr>
        <w:t xml:space="preserve">las líneas </w:t>
      </w:r>
      <w:r w:rsidRPr="00152C0F">
        <w:rPr>
          <w:rFonts w:ascii="Times New Roman" w:hAnsi="Times New Roman" w:cs="Times New Roman"/>
          <w:sz w:val="28"/>
          <w:szCs w:val="28"/>
        </w:rPr>
        <w:t xml:space="preserve">generales </w:t>
      </w:r>
      <w:r w:rsidRPr="00152C0F">
        <w:rPr>
          <w:rFonts w:ascii="Times New Roman" w:hAnsi="Times New Roman" w:cs="Times New Roman"/>
          <w:sz w:val="28"/>
          <w:szCs w:val="28"/>
        </w:rPr>
        <w:t>de acción del plan plurianual de inversiones</w:t>
      </w:r>
      <w:r w:rsidRPr="00152C0F">
        <w:rPr>
          <w:rFonts w:ascii="Times New Roman" w:hAnsi="Times New Roman" w:cs="Times New Roman"/>
          <w:sz w:val="28"/>
          <w:szCs w:val="28"/>
        </w:rPr>
        <w:t>, en particular</w:t>
      </w:r>
      <w:r w:rsidRPr="00152C0F">
        <w:rPr>
          <w:rFonts w:ascii="Times New Roman" w:hAnsi="Times New Roman" w:cs="Times New Roman"/>
          <w:sz w:val="28"/>
          <w:szCs w:val="28"/>
        </w:rPr>
        <w:t xml:space="preserve"> las</w:t>
      </w:r>
      <w:r w:rsidRPr="00152C0F">
        <w:rPr>
          <w:rFonts w:ascii="Times New Roman" w:hAnsi="Times New Roman" w:cs="Times New Roman"/>
          <w:sz w:val="28"/>
          <w:szCs w:val="28"/>
        </w:rPr>
        <w:t xml:space="preserve"> asociadas a su eje de transformación “</w:t>
      </w:r>
      <w:r w:rsidRPr="00152C0F">
        <w:rPr>
          <w:rFonts w:ascii="Times New Roman" w:hAnsi="Times New Roman" w:cs="Times New Roman"/>
          <w:sz w:val="28"/>
          <w:szCs w:val="28"/>
        </w:rPr>
        <w:t xml:space="preserve">Seguridad Humana y Justicia </w:t>
      </w:r>
      <w:r w:rsidRPr="00152C0F">
        <w:rPr>
          <w:rFonts w:ascii="Times New Roman" w:hAnsi="Times New Roman" w:cs="Times New Roman"/>
          <w:sz w:val="28"/>
          <w:szCs w:val="28"/>
        </w:rPr>
        <w:t>Social”</w:t>
      </w:r>
      <w:r w:rsidRPr="00152C0F">
        <w:rPr>
          <w:rStyle w:val="Refdenotaalpie"/>
          <w:rFonts w:ascii="Times New Roman" w:hAnsi="Times New Roman" w:cs="Times New Roman"/>
          <w:sz w:val="28"/>
          <w:szCs w:val="28"/>
        </w:rPr>
        <w:footnoteReference w:id="38"/>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así como con sus </w:t>
      </w:r>
      <w:r w:rsidRPr="00152C0F">
        <w:rPr>
          <w:rFonts w:ascii="Times New Roman" w:hAnsi="Times New Roman" w:cs="Times New Roman"/>
          <w:sz w:val="28"/>
          <w:szCs w:val="28"/>
        </w:rPr>
        <w:t>“Líneas de inversión y proyectos estratégicos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tanto en el componente de </w:t>
      </w:r>
      <w:r w:rsidRPr="00152C0F">
        <w:rPr>
          <w:rFonts w:ascii="Times New Roman" w:hAnsi="Times New Roman" w:cs="Times New Roman"/>
          <w:sz w:val="28"/>
          <w:szCs w:val="28"/>
        </w:rPr>
        <w:t xml:space="preserve">“Inversiones Estratégicas Nacionales” </w:t>
      </w:r>
      <w:r w:rsidRPr="00152C0F">
        <w:rPr>
          <w:rFonts w:ascii="Times New Roman" w:hAnsi="Times New Roman" w:cs="Times New Roman"/>
          <w:sz w:val="28"/>
          <w:szCs w:val="28"/>
        </w:rPr>
        <w:t>como respecto de los “Proyectos estratégicos de impacto regional”</w:t>
      </w:r>
      <w:r w:rsidRPr="00152C0F">
        <w:rPr>
          <w:rStyle w:val="Refdenotaalpie"/>
          <w:rFonts w:ascii="Times New Roman" w:hAnsi="Times New Roman" w:cs="Times New Roman"/>
          <w:sz w:val="28"/>
          <w:szCs w:val="28"/>
        </w:rPr>
        <w:footnoteReference w:id="39"/>
      </w:r>
      <w:r w:rsidRPr="00152C0F">
        <w:rPr>
          <w:rFonts w:ascii="Times New Roman" w:hAnsi="Times New Roman" w:cs="Times New Roman"/>
          <w:sz w:val="28"/>
          <w:szCs w:val="28"/>
        </w:rPr>
        <w:t>.</w:t>
      </w:r>
    </w:p>
    <w:p w:rsidR="006602D2" w:rsidRPr="00152C0F" w:rsidRDefault="00152C0F" w:rsidP="006602D2">
      <w:pPr>
        <w:pStyle w:val="Prrafodelista"/>
        <w:rPr>
          <w:rFonts w:ascii="Times New Roman" w:hAnsi="Times New Roman" w:cs="Times New Roman"/>
          <w:sz w:val="28"/>
          <w:szCs w:val="28"/>
        </w:rPr>
      </w:pPr>
    </w:p>
    <w:p w:rsidR="00B87D6F"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cuanto a lo primero, </w:t>
      </w:r>
      <w:r w:rsidRPr="00152C0F">
        <w:rPr>
          <w:rFonts w:ascii="Times New Roman" w:hAnsi="Times New Roman" w:cs="Times New Roman"/>
          <w:sz w:val="28"/>
          <w:szCs w:val="28"/>
        </w:rPr>
        <w:t xml:space="preserve">de conformidad con las </w:t>
      </w:r>
      <w:r w:rsidRPr="00152C0F">
        <w:rPr>
          <w:rFonts w:ascii="Times New Roman" w:hAnsi="Times New Roman" w:cs="Times New Roman"/>
          <w:sz w:val="28"/>
          <w:szCs w:val="28"/>
        </w:rPr>
        <w:t xml:space="preserve">“Bases del Plan Nacional de Desarrollo 2022-2026 Colombia Potencia Mundial </w:t>
      </w:r>
      <w:r w:rsidRPr="00152C0F">
        <w:rPr>
          <w:rFonts w:ascii="Times New Roman" w:hAnsi="Times New Roman" w:cs="Times New Roman"/>
          <w:sz w:val="28"/>
          <w:szCs w:val="28"/>
        </w:rPr>
        <w:t>de la Vida”</w:t>
      </w:r>
      <w:r w:rsidRPr="00152C0F">
        <w:rPr>
          <w:rStyle w:val="Refdenotaalpie"/>
          <w:rFonts w:ascii="Times New Roman" w:hAnsi="Times New Roman" w:cs="Times New Roman"/>
          <w:sz w:val="28"/>
          <w:szCs w:val="28"/>
        </w:rPr>
        <w:footnoteReference w:id="40"/>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las </w:t>
      </w:r>
      <w:r w:rsidRPr="00152C0F">
        <w:rPr>
          <w:rFonts w:ascii="Times New Roman" w:hAnsi="Times New Roman" w:cs="Times New Roman"/>
          <w:sz w:val="28"/>
          <w:szCs w:val="28"/>
        </w:rPr>
        <w:t xml:space="preserve">tres “estrategias” </w:t>
      </w:r>
      <w:r w:rsidRPr="00152C0F">
        <w:rPr>
          <w:rFonts w:ascii="Times New Roman" w:hAnsi="Times New Roman" w:cs="Times New Roman"/>
          <w:sz w:val="28"/>
          <w:szCs w:val="28"/>
        </w:rPr>
        <w:t xml:space="preserve">se integran de la siguiente forma </w:t>
      </w:r>
      <w:r w:rsidRPr="00152C0F">
        <w:rPr>
          <w:rFonts w:ascii="Times New Roman" w:hAnsi="Times New Roman" w:cs="Times New Roman"/>
          <w:sz w:val="28"/>
          <w:szCs w:val="28"/>
        </w:rPr>
        <w:t>a</w:t>
      </w:r>
      <w:r w:rsidRPr="00152C0F">
        <w:rPr>
          <w:rFonts w:ascii="Times New Roman" w:hAnsi="Times New Roman" w:cs="Times New Roman"/>
          <w:sz w:val="28"/>
          <w:szCs w:val="28"/>
        </w:rPr>
        <w:t xml:space="preserve">l </w:t>
      </w:r>
      <w:r w:rsidRPr="00152C0F">
        <w:rPr>
          <w:rFonts w:ascii="Times New Roman" w:hAnsi="Times New Roman" w:cs="Times New Roman"/>
          <w:sz w:val="28"/>
          <w:szCs w:val="28"/>
        </w:rPr>
        <w:t>habilitador estructural</w:t>
      </w:r>
      <w:r w:rsidRPr="00152C0F">
        <w:rPr>
          <w:rFonts w:ascii="Times New Roman" w:hAnsi="Times New Roman" w:cs="Times New Roman"/>
          <w:sz w:val="28"/>
          <w:szCs w:val="28"/>
        </w:rPr>
        <w:t xml:space="preserve"> “A. Habilitadores que potencian la seguridad humana y las oportunidades de bienestar”</w:t>
      </w:r>
      <w:r w:rsidRPr="00152C0F">
        <w:rPr>
          <w:rFonts w:ascii="Times New Roman" w:hAnsi="Times New Roman" w:cs="Times New Roman"/>
          <w:sz w:val="28"/>
          <w:szCs w:val="28"/>
        </w:rPr>
        <w:t>, del eje de transformación “2. Seguridad humana y justicia social”</w:t>
      </w:r>
      <w:r w:rsidRPr="00152C0F">
        <w:rPr>
          <w:rFonts w:ascii="Times New Roman" w:hAnsi="Times New Roman" w:cs="Times New Roman"/>
          <w:sz w:val="28"/>
          <w:szCs w:val="28"/>
        </w:rPr>
        <w:t>:</w:t>
      </w:r>
    </w:p>
    <w:p w:rsidR="00B87D6F" w:rsidRPr="00152C0F" w:rsidRDefault="00152C0F" w:rsidP="00B87D6F">
      <w:pPr>
        <w:pStyle w:val="Prrafodelista"/>
        <w:rPr>
          <w:rFonts w:ascii="Times New Roman" w:hAnsi="Times New Roman" w:cs="Times New Roman"/>
          <w:sz w:val="28"/>
          <w:szCs w:val="28"/>
        </w:rPr>
      </w:pPr>
    </w:p>
    <w:p w:rsidR="00695191"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La </w:t>
      </w:r>
      <w:r w:rsidRPr="00152C0F">
        <w:rPr>
          <w:rFonts w:ascii="Times New Roman" w:hAnsi="Times New Roman" w:cs="Times New Roman"/>
          <w:sz w:val="28"/>
          <w:szCs w:val="28"/>
        </w:rPr>
        <w:t>primera estrategia hace parte d</w:t>
      </w:r>
      <w:r w:rsidRPr="00152C0F">
        <w:rPr>
          <w:rFonts w:ascii="Times New Roman" w:hAnsi="Times New Roman" w:cs="Times New Roman"/>
          <w:sz w:val="28"/>
          <w:szCs w:val="28"/>
        </w:rPr>
        <w:t>el c</w:t>
      </w:r>
      <w:r w:rsidRPr="00152C0F">
        <w:rPr>
          <w:rFonts w:ascii="Times New Roman" w:hAnsi="Times New Roman" w:cs="Times New Roman"/>
          <w:sz w:val="28"/>
          <w:szCs w:val="28"/>
        </w:rPr>
        <w:t>atalizador “</w:t>
      </w:r>
      <w:r w:rsidRPr="00152C0F">
        <w:rPr>
          <w:rFonts w:ascii="Times New Roman" w:hAnsi="Times New Roman" w:cs="Times New Roman"/>
          <w:sz w:val="28"/>
          <w:szCs w:val="28"/>
        </w:rPr>
        <w:t xml:space="preserve">6. </w:t>
      </w:r>
      <w:r w:rsidRPr="00152C0F">
        <w:rPr>
          <w:rFonts w:ascii="Times New Roman" w:hAnsi="Times New Roman" w:cs="Times New Roman"/>
          <w:sz w:val="28"/>
          <w:szCs w:val="28"/>
        </w:rPr>
        <w:t>Control institucional del territorio para minimizar las amenazas al bienestar de las personas y las comunidades</w:t>
      </w:r>
      <w:r w:rsidRPr="00152C0F">
        <w:rPr>
          <w:rFonts w:ascii="Times New Roman" w:hAnsi="Times New Roman" w:cs="Times New Roman"/>
          <w:sz w:val="28"/>
          <w:szCs w:val="28"/>
        </w:rPr>
        <w:t>”</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y consiste en la </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b. </w:t>
      </w:r>
      <w:r w:rsidRPr="00152C0F">
        <w:rPr>
          <w:rFonts w:ascii="Times New Roman" w:hAnsi="Times New Roman" w:cs="Times New Roman"/>
          <w:sz w:val="28"/>
          <w:szCs w:val="28"/>
        </w:rPr>
        <w:t>Desarticulación corresponsable del multicrimen”</w:t>
      </w:r>
      <w:r w:rsidRPr="00152C0F">
        <w:rPr>
          <w:rFonts w:ascii="Times New Roman" w:hAnsi="Times New Roman" w:cs="Times New Roman"/>
          <w:sz w:val="28"/>
          <w:szCs w:val="28"/>
        </w:rPr>
        <w:t>, de la cual resaltan el</w:t>
      </w:r>
      <w:r w:rsidRPr="00152C0F">
        <w:rPr>
          <w:rFonts w:ascii="Times New Roman" w:hAnsi="Times New Roman" w:cs="Times New Roman"/>
          <w:sz w:val="28"/>
          <w:szCs w:val="28"/>
        </w:rPr>
        <w:t xml:space="preserve"> siguiente apartado: “En materia de extinción de dominio, la Sociedad de Activos Especiales (SAE) en articulación con la Unidad de Información y Análisis Financiero (UIAF), coordinarán estrategias para impedir que el crimen organizado haga usufructo de est</w:t>
      </w:r>
      <w:r w:rsidRPr="00152C0F">
        <w:rPr>
          <w:rFonts w:ascii="Times New Roman" w:hAnsi="Times New Roman" w:cs="Times New Roman"/>
          <w:sz w:val="28"/>
          <w:szCs w:val="28"/>
        </w:rPr>
        <w:t>os activos y continúen siendo usados en sus redes criminales”.</w:t>
      </w:r>
      <w:r w:rsidRPr="00152C0F">
        <w:rPr>
          <w:rFonts w:ascii="Times New Roman" w:hAnsi="Times New Roman" w:cs="Times New Roman"/>
          <w:sz w:val="28"/>
          <w:szCs w:val="28"/>
        </w:rPr>
        <w:t xml:space="preserve"> Precisan que la imprescriptibilidad de los bienes del FRISCO y la sujeción a la decisión judicial del levantamiento de las medidas cautelares respecto de los bienes objeto de extinción de domin</w:t>
      </w:r>
      <w:r w:rsidRPr="00152C0F">
        <w:rPr>
          <w:rFonts w:ascii="Times New Roman" w:hAnsi="Times New Roman" w:cs="Times New Roman"/>
          <w:sz w:val="28"/>
          <w:szCs w:val="28"/>
        </w:rPr>
        <w:t>io</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aseguran que estos permanezcan bajo la administración del Estado, lo que contribuye a la desarticulación de estas estructuras criminales, ya que impide que </w:t>
      </w:r>
      <w:r w:rsidRPr="00152C0F">
        <w:rPr>
          <w:rFonts w:ascii="Times New Roman" w:hAnsi="Times New Roman" w:cs="Times New Roman"/>
          <w:sz w:val="28"/>
          <w:szCs w:val="28"/>
        </w:rPr>
        <w:t xml:space="preserve">los bienes </w:t>
      </w:r>
      <w:r w:rsidRPr="00152C0F">
        <w:rPr>
          <w:rFonts w:ascii="Times New Roman" w:hAnsi="Times New Roman" w:cs="Times New Roman"/>
          <w:sz w:val="28"/>
          <w:szCs w:val="28"/>
        </w:rPr>
        <w:t>retornen a tales estructuras, o se lucren mediante su uso por parte de testaferros</w:t>
      </w:r>
      <w:r w:rsidRPr="00152C0F">
        <w:rPr>
          <w:rStyle w:val="Refdenotaalpie"/>
          <w:rFonts w:ascii="Times New Roman" w:hAnsi="Times New Roman" w:cs="Times New Roman"/>
          <w:sz w:val="28"/>
          <w:szCs w:val="28"/>
        </w:rPr>
        <w:footnoteReference w:id="41"/>
      </w:r>
      <w:r w:rsidRPr="00152C0F">
        <w:rPr>
          <w:rFonts w:ascii="Times New Roman" w:hAnsi="Times New Roman" w:cs="Times New Roman"/>
          <w:sz w:val="28"/>
          <w:szCs w:val="28"/>
        </w:rPr>
        <w:t>.</w:t>
      </w:r>
    </w:p>
    <w:p w:rsidR="00695191" w:rsidRPr="00152C0F" w:rsidRDefault="00152C0F" w:rsidP="00617410">
      <w:pPr>
        <w:rPr>
          <w:rFonts w:ascii="Times New Roman" w:hAnsi="Times New Roman" w:cs="Times New Roman"/>
          <w:sz w:val="28"/>
          <w:szCs w:val="28"/>
        </w:rPr>
      </w:pPr>
    </w:p>
    <w:p w:rsidR="00695191"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La segunda estrategia hace parte del c</w:t>
      </w:r>
      <w:r w:rsidRPr="00152C0F">
        <w:rPr>
          <w:rFonts w:ascii="Times New Roman" w:hAnsi="Times New Roman" w:cs="Times New Roman"/>
          <w:sz w:val="28"/>
          <w:szCs w:val="28"/>
        </w:rPr>
        <w:t>atalizador “12. Humanización de la política criminal y superación del Estado de Cosas inconstitucional en materia penitenciaria y carcelaria”</w:t>
      </w:r>
      <w:r w:rsidRPr="00152C0F">
        <w:rPr>
          <w:rFonts w:ascii="Times New Roman" w:hAnsi="Times New Roman" w:cs="Times New Roman"/>
          <w:sz w:val="28"/>
          <w:szCs w:val="28"/>
        </w:rPr>
        <w:t xml:space="preserve"> y consiste en la </w:t>
      </w:r>
      <w:r w:rsidRPr="00152C0F">
        <w:rPr>
          <w:rFonts w:ascii="Times New Roman" w:hAnsi="Times New Roman" w:cs="Times New Roman"/>
          <w:sz w:val="28"/>
          <w:szCs w:val="28"/>
        </w:rPr>
        <w:t>“f. Extinción de dominio para el beneficio social</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Esta </w:t>
      </w:r>
      <w:r w:rsidRPr="00152C0F">
        <w:rPr>
          <w:rFonts w:ascii="Times New Roman" w:hAnsi="Times New Roman" w:cs="Times New Roman"/>
          <w:sz w:val="28"/>
          <w:szCs w:val="28"/>
        </w:rPr>
        <w:t>estrategia consiste en lo siguiente: “Se realizarán ajustes normativos e institucionales, en articulación con el poder judicial, para garantizar mayor efectividad de los procesos judiciales de extinción de domin</w:t>
      </w:r>
      <w:r w:rsidRPr="00152C0F">
        <w:rPr>
          <w:rFonts w:ascii="Times New Roman" w:hAnsi="Times New Roman" w:cs="Times New Roman"/>
          <w:sz w:val="28"/>
          <w:szCs w:val="28"/>
        </w:rPr>
        <w:t>i</w:t>
      </w:r>
      <w:r w:rsidRPr="00152C0F">
        <w:rPr>
          <w:rFonts w:ascii="Times New Roman" w:hAnsi="Times New Roman" w:cs="Times New Roman"/>
          <w:sz w:val="28"/>
          <w:szCs w:val="28"/>
        </w:rPr>
        <w:t xml:space="preserve">o, y la administración y destinación de los </w:t>
      </w:r>
      <w:r w:rsidRPr="00152C0F">
        <w:rPr>
          <w:rFonts w:ascii="Times New Roman" w:hAnsi="Times New Roman" w:cs="Times New Roman"/>
          <w:sz w:val="28"/>
          <w:szCs w:val="28"/>
        </w:rPr>
        <w:t>bienes para el desarrollo de modelos cooperativos y asociativos de las poblaciones vulnerables y promoción de la economía popular, así como para la vivienda de población en proceso de reincorporación. Este proceso permitirá que la gestión de los activos ad</w:t>
      </w:r>
      <w:r w:rsidRPr="00152C0F">
        <w:rPr>
          <w:rFonts w:ascii="Times New Roman" w:hAnsi="Times New Roman" w:cs="Times New Roman"/>
          <w:sz w:val="28"/>
          <w:szCs w:val="28"/>
        </w:rPr>
        <w:t>ministrados por la Sociedad de Activos Especiales (SAE) se realice de manera eficiente, planificada y transparente”.</w:t>
      </w:r>
    </w:p>
    <w:p w:rsidR="00695191" w:rsidRPr="00152C0F" w:rsidRDefault="00152C0F" w:rsidP="00695191">
      <w:pPr>
        <w:pStyle w:val="Prrafodelista"/>
        <w:rPr>
          <w:rFonts w:ascii="Times New Roman" w:hAnsi="Times New Roman" w:cs="Times New Roman"/>
          <w:sz w:val="28"/>
          <w:szCs w:val="28"/>
        </w:rPr>
      </w:pPr>
    </w:p>
    <w:p w:rsidR="00E57DCA"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La tercera estrategia hace parte del c</w:t>
      </w:r>
      <w:r w:rsidRPr="00152C0F">
        <w:rPr>
          <w:rFonts w:ascii="Times New Roman" w:hAnsi="Times New Roman" w:cs="Times New Roman"/>
          <w:sz w:val="28"/>
          <w:szCs w:val="28"/>
        </w:rPr>
        <w:t>atalizador “14. Regulación de las drogas: del prohibicionismo a la dignificación de las personas, co</w:t>
      </w:r>
      <w:r w:rsidRPr="00152C0F">
        <w:rPr>
          <w:rFonts w:ascii="Times New Roman" w:hAnsi="Times New Roman" w:cs="Times New Roman"/>
          <w:sz w:val="28"/>
          <w:szCs w:val="28"/>
        </w:rPr>
        <w:t>munidades, territorios y el medio ambiente”</w:t>
      </w:r>
      <w:r w:rsidRPr="00152C0F">
        <w:rPr>
          <w:rFonts w:ascii="Times New Roman" w:hAnsi="Times New Roman" w:cs="Times New Roman"/>
          <w:sz w:val="28"/>
          <w:szCs w:val="28"/>
        </w:rPr>
        <w:t xml:space="preserve">, y consiste en la </w:t>
      </w:r>
      <w:r w:rsidRPr="00152C0F">
        <w:rPr>
          <w:rFonts w:ascii="Times New Roman" w:hAnsi="Times New Roman" w:cs="Times New Roman"/>
          <w:sz w:val="28"/>
          <w:szCs w:val="28"/>
        </w:rPr>
        <w:t>“</w:t>
      </w:r>
      <w:r w:rsidRPr="00152C0F">
        <w:rPr>
          <w:rFonts w:ascii="Times New Roman" w:hAnsi="Times New Roman" w:cs="Times New Roman"/>
          <w:sz w:val="28"/>
          <w:szCs w:val="28"/>
        </w:rPr>
        <w:t>b. Transformación integral de los territorios, tránsito a la legalidad, cuidado de la naturaleza y protección de la vida</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De esta estrategia resaltan, en especial, lo siguiente: “Se formulará </w:t>
      </w:r>
      <w:r w:rsidRPr="00152C0F">
        <w:rPr>
          <w:rFonts w:ascii="Times New Roman" w:hAnsi="Times New Roman" w:cs="Times New Roman"/>
          <w:sz w:val="28"/>
          <w:szCs w:val="28"/>
        </w:rPr>
        <w:t>una política nacional de drogas que impulse la transición gradual de economías ilegales a legales por medio de la transformación territorial y la implementación de modelos económicos sostenibles que dignifiquen a las comunidades y protejan la naturaleza, d</w:t>
      </w:r>
      <w:r w:rsidRPr="00152C0F">
        <w:rPr>
          <w:rFonts w:ascii="Times New Roman" w:hAnsi="Times New Roman" w:cs="Times New Roman"/>
          <w:sz w:val="28"/>
          <w:szCs w:val="28"/>
        </w:rPr>
        <w:t>onde se impulsen estrategias de reconversión productiva preferentemente de carácter colectivo con enfoque territorial […] Finalmente, el Gobierno Nacional, a través de la Sociedad de Activos Especiales (SAE) gestionará y administrará los activos extintos y</w:t>
      </w:r>
      <w:r w:rsidRPr="00152C0F">
        <w:rPr>
          <w:rFonts w:ascii="Times New Roman" w:hAnsi="Times New Roman" w:cs="Times New Roman"/>
          <w:sz w:val="28"/>
          <w:szCs w:val="28"/>
        </w:rPr>
        <w:t xml:space="preserve"> en proceso de extinción de dominio de forma articulada con el nuevo paradigma de la política de drogas y la Paz Total”.</w:t>
      </w:r>
    </w:p>
    <w:p w:rsidR="00375190" w:rsidRPr="00152C0F" w:rsidRDefault="00152C0F" w:rsidP="00773157">
      <w:pPr>
        <w:jc w:val="both"/>
        <w:rPr>
          <w:rFonts w:ascii="Times New Roman" w:hAnsi="Times New Roman" w:cs="Times New Roman"/>
          <w:sz w:val="28"/>
          <w:szCs w:val="28"/>
        </w:rPr>
      </w:pPr>
    </w:p>
    <w:p w:rsidR="00010D94"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w:t>
      </w:r>
      <w:r w:rsidRPr="00152C0F">
        <w:rPr>
          <w:rFonts w:ascii="Times New Roman" w:hAnsi="Times New Roman" w:cs="Times New Roman"/>
          <w:sz w:val="28"/>
          <w:szCs w:val="28"/>
        </w:rPr>
        <w:t xml:space="preserve">relación con </w:t>
      </w:r>
      <w:r w:rsidRPr="00152C0F">
        <w:rPr>
          <w:rFonts w:ascii="Times New Roman" w:hAnsi="Times New Roman" w:cs="Times New Roman"/>
          <w:sz w:val="28"/>
          <w:szCs w:val="28"/>
        </w:rPr>
        <w:t xml:space="preserve">la segunda </w:t>
      </w:r>
      <w:r w:rsidRPr="00152C0F">
        <w:rPr>
          <w:rFonts w:ascii="Times New Roman" w:hAnsi="Times New Roman" w:cs="Times New Roman"/>
          <w:sz w:val="28"/>
          <w:szCs w:val="28"/>
        </w:rPr>
        <w:t>y tercera estrategia</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afirma</w:t>
      </w:r>
      <w:r w:rsidRPr="00152C0F">
        <w:rPr>
          <w:rFonts w:ascii="Times New Roman" w:hAnsi="Times New Roman" w:cs="Times New Roman"/>
          <w:sz w:val="28"/>
          <w:szCs w:val="28"/>
        </w:rPr>
        <w:t>n</w:t>
      </w:r>
      <w:r w:rsidRPr="00152C0F">
        <w:rPr>
          <w:rFonts w:ascii="Times New Roman" w:hAnsi="Times New Roman" w:cs="Times New Roman"/>
          <w:sz w:val="28"/>
          <w:szCs w:val="28"/>
        </w:rPr>
        <w:t xml:space="preserve"> que el artículo 211 </w:t>
      </w:r>
      <w:r w:rsidRPr="00152C0F">
        <w:rPr>
          <w:rFonts w:ascii="Times New Roman" w:hAnsi="Times New Roman" w:cs="Times New Roman"/>
          <w:sz w:val="28"/>
          <w:szCs w:val="28"/>
        </w:rPr>
        <w:t xml:space="preserve">asegura la disponibilidad de </w:t>
      </w:r>
      <w:r w:rsidRPr="00152C0F">
        <w:rPr>
          <w:rFonts w:ascii="Times New Roman" w:hAnsi="Times New Roman" w:cs="Times New Roman"/>
          <w:sz w:val="28"/>
          <w:szCs w:val="28"/>
        </w:rPr>
        <w:t>los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bienes </w:t>
      </w:r>
      <w:r w:rsidRPr="00152C0F">
        <w:rPr>
          <w:rFonts w:ascii="Times New Roman" w:hAnsi="Times New Roman" w:cs="Times New Roman"/>
          <w:sz w:val="28"/>
          <w:szCs w:val="28"/>
        </w:rPr>
        <w:t xml:space="preserve">de que trata la disposición </w:t>
      </w:r>
      <w:r w:rsidRPr="00152C0F">
        <w:rPr>
          <w:rFonts w:ascii="Times New Roman" w:hAnsi="Times New Roman" w:cs="Times New Roman"/>
          <w:sz w:val="28"/>
          <w:szCs w:val="28"/>
        </w:rPr>
        <w:t>para que puedan ser destinados a proyectos sociales, cooperativos y asociativos que beneficien a comunidades vulnerables</w:t>
      </w:r>
      <w:r w:rsidRPr="00152C0F">
        <w:rPr>
          <w:rFonts w:ascii="Times New Roman" w:hAnsi="Times New Roman" w:cs="Times New Roman"/>
          <w:sz w:val="28"/>
          <w:szCs w:val="28"/>
        </w:rPr>
        <w:t>, al igual que se facilita su uso en programas de transformación territorial y económica, lo que apoya el tr</w:t>
      </w:r>
      <w:r w:rsidRPr="00152C0F">
        <w:rPr>
          <w:rFonts w:ascii="Times New Roman" w:hAnsi="Times New Roman" w:cs="Times New Roman"/>
          <w:sz w:val="28"/>
          <w:szCs w:val="28"/>
        </w:rPr>
        <w:t>ánsito a la legalidad</w:t>
      </w:r>
      <w:r w:rsidRPr="00152C0F">
        <w:rPr>
          <w:rStyle w:val="Refdenotaalpie"/>
          <w:rFonts w:ascii="Times New Roman" w:hAnsi="Times New Roman" w:cs="Times New Roman"/>
          <w:sz w:val="28"/>
          <w:szCs w:val="28"/>
        </w:rPr>
        <w:footnoteReference w:id="42"/>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En relación con el artículo 212, señalan que esta estrategia pretende utilizar los bienes extinguidos para fines sociales y comunitarios, razón por la cual, la norma asegura que los bienes permanezcan bajo custodia estatal hasta la </w:t>
      </w:r>
      <w:r w:rsidRPr="00152C0F">
        <w:rPr>
          <w:rFonts w:ascii="Times New Roman" w:hAnsi="Times New Roman" w:cs="Times New Roman"/>
          <w:sz w:val="28"/>
          <w:szCs w:val="28"/>
        </w:rPr>
        <w:t xml:space="preserve">resolución definitiva del proceso, </w:t>
      </w:r>
      <w:r w:rsidRPr="00152C0F">
        <w:rPr>
          <w:rFonts w:ascii="Times New Roman" w:hAnsi="Times New Roman" w:cs="Times New Roman"/>
          <w:sz w:val="28"/>
          <w:szCs w:val="28"/>
        </w:rPr>
        <w:t xml:space="preserve">lo que </w:t>
      </w:r>
      <w:r w:rsidRPr="00152C0F">
        <w:rPr>
          <w:rFonts w:ascii="Times New Roman" w:hAnsi="Times New Roman" w:cs="Times New Roman"/>
          <w:sz w:val="28"/>
          <w:szCs w:val="28"/>
        </w:rPr>
        <w:t xml:space="preserve">facilita su destinación </w:t>
      </w:r>
      <w:r w:rsidRPr="00152C0F">
        <w:rPr>
          <w:rFonts w:ascii="Times New Roman" w:hAnsi="Times New Roman" w:cs="Times New Roman"/>
          <w:sz w:val="28"/>
          <w:szCs w:val="28"/>
        </w:rPr>
        <w:t xml:space="preserve">a </w:t>
      </w:r>
      <w:r w:rsidRPr="00152C0F">
        <w:rPr>
          <w:rFonts w:ascii="Times New Roman" w:hAnsi="Times New Roman" w:cs="Times New Roman"/>
          <w:sz w:val="28"/>
          <w:szCs w:val="28"/>
        </w:rPr>
        <w:t xml:space="preserve">las citadas </w:t>
      </w:r>
      <w:r w:rsidRPr="00152C0F">
        <w:rPr>
          <w:rFonts w:ascii="Times New Roman" w:hAnsi="Times New Roman" w:cs="Times New Roman"/>
          <w:sz w:val="28"/>
          <w:szCs w:val="28"/>
        </w:rPr>
        <w:t>finalidades</w:t>
      </w:r>
      <w:r w:rsidRPr="00152C0F">
        <w:rPr>
          <w:rStyle w:val="Refdenotaalpie"/>
          <w:rFonts w:ascii="Times New Roman" w:hAnsi="Times New Roman" w:cs="Times New Roman"/>
          <w:sz w:val="28"/>
          <w:szCs w:val="28"/>
        </w:rPr>
        <w:footnoteReference w:id="43"/>
      </w:r>
      <w:r w:rsidRPr="00152C0F">
        <w:rPr>
          <w:rFonts w:ascii="Times New Roman" w:hAnsi="Times New Roman" w:cs="Times New Roman"/>
          <w:sz w:val="28"/>
          <w:szCs w:val="28"/>
        </w:rPr>
        <w:t>.</w:t>
      </w:r>
    </w:p>
    <w:p w:rsidR="00676E54" w:rsidRPr="00152C0F" w:rsidRDefault="00152C0F" w:rsidP="00A553C9">
      <w:pPr>
        <w:rPr>
          <w:rFonts w:ascii="Times New Roman" w:hAnsi="Times New Roman" w:cs="Times New Roman"/>
          <w:sz w:val="28"/>
          <w:szCs w:val="28"/>
        </w:rPr>
      </w:pPr>
    </w:p>
    <w:p w:rsidR="00056390"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cuanto a lo segundo, </w:t>
      </w:r>
      <w:r w:rsidRPr="00152C0F">
        <w:rPr>
          <w:rFonts w:ascii="Times New Roman" w:hAnsi="Times New Roman" w:cs="Times New Roman"/>
          <w:sz w:val="28"/>
          <w:szCs w:val="28"/>
        </w:rPr>
        <w:t xml:space="preserve">esto es, </w:t>
      </w:r>
      <w:r w:rsidRPr="00152C0F">
        <w:rPr>
          <w:rFonts w:ascii="Times New Roman" w:hAnsi="Times New Roman" w:cs="Times New Roman"/>
          <w:sz w:val="28"/>
          <w:szCs w:val="28"/>
        </w:rPr>
        <w:t xml:space="preserve">a </w:t>
      </w:r>
      <w:r w:rsidRPr="00152C0F">
        <w:rPr>
          <w:rFonts w:ascii="Times New Roman" w:hAnsi="Times New Roman" w:cs="Times New Roman"/>
          <w:sz w:val="28"/>
          <w:szCs w:val="28"/>
        </w:rPr>
        <w:t xml:space="preserve">la coherencia </w:t>
      </w:r>
      <w:r w:rsidRPr="00152C0F">
        <w:rPr>
          <w:rFonts w:ascii="Times New Roman" w:hAnsi="Times New Roman" w:cs="Times New Roman"/>
          <w:sz w:val="28"/>
          <w:szCs w:val="28"/>
        </w:rPr>
        <w:t xml:space="preserve">de las </w:t>
      </w:r>
      <w:r w:rsidRPr="00152C0F">
        <w:rPr>
          <w:rFonts w:ascii="Times New Roman" w:hAnsi="Times New Roman" w:cs="Times New Roman"/>
          <w:sz w:val="28"/>
          <w:szCs w:val="28"/>
        </w:rPr>
        <w:t xml:space="preserve">disposiciones </w:t>
      </w:r>
      <w:r w:rsidRPr="00152C0F">
        <w:rPr>
          <w:rFonts w:ascii="Times New Roman" w:hAnsi="Times New Roman" w:cs="Times New Roman"/>
          <w:sz w:val="28"/>
          <w:szCs w:val="28"/>
        </w:rPr>
        <w:t xml:space="preserve">demandadas </w:t>
      </w:r>
      <w:r w:rsidRPr="00152C0F">
        <w:rPr>
          <w:rFonts w:ascii="Times New Roman" w:hAnsi="Times New Roman" w:cs="Times New Roman"/>
          <w:sz w:val="28"/>
          <w:szCs w:val="28"/>
        </w:rPr>
        <w:t>con las líneas generales de acción del plan plurianual de inversiones</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se </w:t>
      </w:r>
      <w:r w:rsidRPr="00152C0F">
        <w:rPr>
          <w:rFonts w:ascii="Times New Roman" w:hAnsi="Times New Roman" w:cs="Times New Roman"/>
          <w:sz w:val="28"/>
          <w:szCs w:val="28"/>
        </w:rPr>
        <w:t>pronunci</w:t>
      </w:r>
      <w:r w:rsidRPr="00152C0F">
        <w:rPr>
          <w:rFonts w:ascii="Times New Roman" w:hAnsi="Times New Roman" w:cs="Times New Roman"/>
          <w:sz w:val="28"/>
          <w:szCs w:val="28"/>
        </w:rPr>
        <w:t>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de manera particular </w:t>
      </w:r>
      <w:r w:rsidRPr="00152C0F">
        <w:rPr>
          <w:rFonts w:ascii="Times New Roman" w:hAnsi="Times New Roman" w:cs="Times New Roman"/>
          <w:sz w:val="28"/>
          <w:szCs w:val="28"/>
        </w:rPr>
        <w:t xml:space="preserve">el Departamento Nacional de Planeación. </w:t>
      </w:r>
      <w:r w:rsidRPr="00152C0F">
        <w:rPr>
          <w:rFonts w:ascii="Times New Roman" w:hAnsi="Times New Roman" w:cs="Times New Roman"/>
          <w:sz w:val="28"/>
          <w:szCs w:val="28"/>
        </w:rPr>
        <w:t xml:space="preserve">Según indica, </w:t>
      </w:r>
      <w:r w:rsidRPr="00152C0F">
        <w:rPr>
          <w:rFonts w:ascii="Times New Roman" w:hAnsi="Times New Roman" w:cs="Times New Roman"/>
          <w:sz w:val="28"/>
          <w:szCs w:val="28"/>
        </w:rPr>
        <w:t>“las transformaciones a las cuales se destina el mayor porcentaje de los recursos del Plan Plurianual de Inversiones son: Seguridad Humana y Justicia Social con el 63,7% d</w:t>
      </w:r>
      <w:r w:rsidRPr="00152C0F">
        <w:rPr>
          <w:rFonts w:ascii="Times New Roman" w:hAnsi="Times New Roman" w:cs="Times New Roman"/>
          <w:sz w:val="28"/>
          <w:szCs w:val="28"/>
        </w:rPr>
        <w:t>e los recursos, que es justamente la transformación a la cual se encuentran asociadas los objetivos y estragias [sic] que persiguen las normas impugnadas”</w:t>
      </w:r>
      <w:r w:rsidRPr="00152C0F">
        <w:rPr>
          <w:rStyle w:val="Refdenotaalpie"/>
          <w:rFonts w:ascii="Times New Roman" w:hAnsi="Times New Roman" w:cs="Times New Roman"/>
          <w:sz w:val="28"/>
          <w:szCs w:val="28"/>
        </w:rPr>
        <w:footnoteReference w:id="44"/>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T</w:t>
      </w:r>
      <w:r w:rsidRPr="00152C0F">
        <w:rPr>
          <w:rFonts w:ascii="Times New Roman" w:hAnsi="Times New Roman" w:cs="Times New Roman"/>
          <w:sz w:val="28"/>
          <w:szCs w:val="28"/>
        </w:rPr>
        <w:t xml:space="preserve">ambién precisa </w:t>
      </w:r>
      <w:r w:rsidRPr="00152C0F">
        <w:rPr>
          <w:rFonts w:ascii="Times New Roman" w:hAnsi="Times New Roman" w:cs="Times New Roman"/>
          <w:sz w:val="28"/>
          <w:szCs w:val="28"/>
        </w:rPr>
        <w:t xml:space="preserve">que </w:t>
      </w:r>
      <w:r w:rsidRPr="00152C0F">
        <w:rPr>
          <w:rFonts w:ascii="Times New Roman" w:hAnsi="Times New Roman" w:cs="Times New Roman"/>
          <w:sz w:val="28"/>
          <w:szCs w:val="28"/>
        </w:rPr>
        <w:t xml:space="preserve">“los recursos que el Plan Plurianual de Inversiones asigna a las </w:t>
      </w:r>
      <w:r w:rsidRPr="00152C0F">
        <w:rPr>
          <w:rFonts w:ascii="Times New Roman" w:hAnsi="Times New Roman" w:cs="Times New Roman"/>
          <w:sz w:val="28"/>
          <w:szCs w:val="28"/>
        </w:rPr>
        <w:t>transformaciones ‘Convergencia Regional’ y ‘Derecho humano a la alimentación’ están orientadas a cumplir las finalidades que persiguen las normas impugnadas, garantizar la disponibilidad en cabeza del estado [sic] de los bienes en proceso de extinción de d</w:t>
      </w:r>
      <w:r w:rsidRPr="00152C0F">
        <w:rPr>
          <w:rFonts w:ascii="Times New Roman" w:hAnsi="Times New Roman" w:cs="Times New Roman"/>
          <w:sz w:val="28"/>
          <w:szCs w:val="28"/>
        </w:rPr>
        <w:t>ominio para destinarlos al ‘(…) desarrollo de modelos cooperativos y asociativos de las poblaciones vulnerables y promoción de la economía popular, así como para la vivienda de población en proceso de reincorporación (…)’; y a la implementación de la polít</w:t>
      </w:r>
      <w:r w:rsidRPr="00152C0F">
        <w:rPr>
          <w:rFonts w:ascii="Times New Roman" w:hAnsi="Times New Roman" w:cs="Times New Roman"/>
          <w:sz w:val="28"/>
          <w:szCs w:val="28"/>
        </w:rPr>
        <w:t>ica de drogas y paz total, tal como se establece en los apartados de las Bases del Plan antes relacionados”</w:t>
      </w:r>
      <w:r w:rsidRPr="00152C0F">
        <w:rPr>
          <w:rStyle w:val="Refdenotaalpie"/>
          <w:rFonts w:ascii="Times New Roman" w:hAnsi="Times New Roman" w:cs="Times New Roman"/>
          <w:sz w:val="28"/>
          <w:szCs w:val="28"/>
        </w:rPr>
        <w:footnoteReference w:id="45"/>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Además, señala que, igualmente, “los recursos que se asignan en el Plan Plurianual de Inversiones al cumplimiento de varios puntos del Acuerdo de </w:t>
      </w:r>
      <w:r w:rsidRPr="00152C0F">
        <w:rPr>
          <w:rFonts w:ascii="Times New Roman" w:hAnsi="Times New Roman" w:cs="Times New Roman"/>
          <w:sz w:val="28"/>
          <w:szCs w:val="28"/>
        </w:rPr>
        <w:t>Paz coinciden con las finalidades que</w:t>
      </w:r>
      <w:r w:rsidRPr="00152C0F">
        <w:rPr>
          <w:rFonts w:ascii="Times New Roman" w:hAnsi="Times New Roman" w:cs="Times New Roman"/>
          <w:sz w:val="28"/>
          <w:szCs w:val="28"/>
        </w:rPr>
        <w:t xml:space="preserve"> persiguen las normas impugnadas”</w:t>
      </w:r>
      <w:r w:rsidRPr="00152C0F">
        <w:rPr>
          <w:rStyle w:val="Refdenotaalpie"/>
          <w:rFonts w:ascii="Times New Roman" w:hAnsi="Times New Roman" w:cs="Times New Roman"/>
          <w:sz w:val="28"/>
          <w:szCs w:val="28"/>
        </w:rPr>
        <w:footnoteReference w:id="46"/>
      </w:r>
      <w:r w:rsidRPr="00152C0F">
        <w:rPr>
          <w:rFonts w:ascii="Times New Roman" w:hAnsi="Times New Roman" w:cs="Times New Roman"/>
          <w:sz w:val="28"/>
          <w:szCs w:val="28"/>
        </w:rPr>
        <w:t xml:space="preserve">. </w:t>
      </w:r>
    </w:p>
    <w:p w:rsidR="00B961DC" w:rsidRPr="00152C0F" w:rsidRDefault="00152C0F" w:rsidP="00A553C9">
      <w:pPr>
        <w:rPr>
          <w:rFonts w:ascii="Times New Roman" w:hAnsi="Times New Roman" w:cs="Times New Roman"/>
          <w:sz w:val="28"/>
          <w:szCs w:val="28"/>
        </w:rPr>
      </w:pPr>
    </w:p>
    <w:p w:rsidR="00DF544C" w:rsidRPr="00152C0F" w:rsidRDefault="00152C0F" w:rsidP="00A17EA0">
      <w:pPr>
        <w:pStyle w:val="Estilo1"/>
        <w:numPr>
          <w:ilvl w:val="0"/>
          <w:numId w:val="3"/>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 xml:space="preserve">Argumentos de quienes solicitan </w:t>
      </w:r>
      <w:r w:rsidRPr="00152C0F">
        <w:rPr>
          <w:rStyle w:val="Ttulo1Car"/>
          <w:rFonts w:ascii="Times New Roman" w:hAnsi="Times New Roman" w:cs="Times New Roman"/>
          <w:bCs/>
          <w:color w:val="auto"/>
          <w:sz w:val="28"/>
          <w:szCs w:val="28"/>
        </w:rPr>
        <w:t>la</w:t>
      </w:r>
      <w:r w:rsidRPr="00152C0F">
        <w:rPr>
          <w:rStyle w:val="Ttulo1Car"/>
          <w:rFonts w:ascii="Times New Roman" w:hAnsi="Times New Roman" w:cs="Times New Roman"/>
          <w:bCs/>
          <w:color w:val="auto"/>
          <w:sz w:val="28"/>
          <w:szCs w:val="28"/>
        </w:rPr>
        <w:t xml:space="preserve"> declaratoria de </w:t>
      </w:r>
      <w:r w:rsidRPr="00152C0F">
        <w:rPr>
          <w:rStyle w:val="Ttulo1Car"/>
          <w:rFonts w:ascii="Times New Roman" w:hAnsi="Times New Roman" w:cs="Times New Roman"/>
          <w:bCs/>
          <w:color w:val="auto"/>
          <w:sz w:val="28"/>
          <w:szCs w:val="28"/>
        </w:rPr>
        <w:t>in</w:t>
      </w:r>
      <w:r w:rsidRPr="00152C0F">
        <w:rPr>
          <w:rStyle w:val="Ttulo1Car"/>
          <w:rFonts w:ascii="Times New Roman" w:hAnsi="Times New Roman" w:cs="Times New Roman"/>
          <w:bCs/>
          <w:color w:val="auto"/>
          <w:sz w:val="28"/>
          <w:szCs w:val="28"/>
        </w:rPr>
        <w:t>exequibilidad</w:t>
      </w:r>
    </w:p>
    <w:p w:rsidR="00DF544C" w:rsidRPr="00152C0F" w:rsidRDefault="00152C0F" w:rsidP="00A553C9">
      <w:pPr>
        <w:jc w:val="both"/>
        <w:rPr>
          <w:rFonts w:ascii="Times New Roman" w:hAnsi="Times New Roman" w:cs="Times New Roman"/>
          <w:b/>
          <w:sz w:val="28"/>
          <w:szCs w:val="28"/>
        </w:rPr>
      </w:pPr>
    </w:p>
    <w:p w:rsidR="00B20E0C"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La </w:t>
      </w:r>
      <w:r w:rsidRPr="00152C0F">
        <w:rPr>
          <w:rFonts w:ascii="Times New Roman" w:hAnsi="Times New Roman" w:cs="Times New Roman"/>
          <w:b/>
          <w:bCs/>
          <w:sz w:val="28"/>
          <w:szCs w:val="28"/>
        </w:rPr>
        <w:t>Universidad Externado de Colombia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el </w:t>
      </w:r>
      <w:r w:rsidRPr="00152C0F">
        <w:rPr>
          <w:rFonts w:ascii="Times New Roman" w:hAnsi="Times New Roman" w:cs="Times New Roman"/>
          <w:b/>
          <w:bCs/>
          <w:sz w:val="28"/>
          <w:szCs w:val="28"/>
        </w:rPr>
        <w:t>Instituto Colombiano de Derecho Procesal</w:t>
      </w:r>
      <w:r w:rsidRPr="00152C0F">
        <w:rPr>
          <w:rFonts w:ascii="Times New Roman" w:hAnsi="Times New Roman" w:cs="Times New Roman"/>
          <w:sz w:val="28"/>
          <w:szCs w:val="28"/>
        </w:rPr>
        <w:t xml:space="preserve"> y </w:t>
      </w:r>
      <w:r w:rsidRPr="00152C0F">
        <w:rPr>
          <w:rFonts w:ascii="Times New Roman" w:hAnsi="Times New Roman" w:cs="Times New Roman"/>
          <w:sz w:val="28"/>
          <w:szCs w:val="28"/>
        </w:rPr>
        <w:t xml:space="preserve">la </w:t>
      </w:r>
      <w:r w:rsidRPr="00152C0F">
        <w:rPr>
          <w:rFonts w:ascii="Times New Roman" w:hAnsi="Times New Roman" w:cs="Times New Roman"/>
          <w:b/>
          <w:bCs/>
          <w:sz w:val="28"/>
          <w:szCs w:val="28"/>
        </w:rPr>
        <w:t xml:space="preserve">Universidad Pontificia </w:t>
      </w:r>
      <w:r w:rsidRPr="00152C0F">
        <w:rPr>
          <w:rFonts w:ascii="Times New Roman" w:hAnsi="Times New Roman" w:cs="Times New Roman"/>
          <w:b/>
          <w:bCs/>
          <w:sz w:val="28"/>
          <w:szCs w:val="28"/>
        </w:rPr>
        <w:t>Bolivariana –Sede Medellín–</w:t>
      </w:r>
      <w:r w:rsidRPr="00152C0F">
        <w:rPr>
          <w:rFonts w:ascii="Times New Roman" w:hAnsi="Times New Roman" w:cs="Times New Roman"/>
          <w:sz w:val="28"/>
          <w:szCs w:val="28"/>
        </w:rPr>
        <w:t xml:space="preserve"> solicitan la declaratoria de inexequibilidad de </w:t>
      </w:r>
      <w:r w:rsidRPr="00152C0F">
        <w:rPr>
          <w:rFonts w:ascii="Times New Roman" w:hAnsi="Times New Roman" w:cs="Times New Roman"/>
          <w:sz w:val="28"/>
          <w:szCs w:val="28"/>
        </w:rPr>
        <w:t>los artículos 211 y 212 de la Ley 2294 de 2023</w:t>
      </w:r>
      <w:r w:rsidRPr="00152C0F">
        <w:rPr>
          <w:rFonts w:ascii="Times New Roman" w:hAnsi="Times New Roman" w:cs="Times New Roman"/>
          <w:sz w:val="28"/>
          <w:szCs w:val="28"/>
        </w:rPr>
        <w:t>.</w:t>
      </w:r>
    </w:p>
    <w:p w:rsidR="00B20E0C" w:rsidRPr="00152C0F" w:rsidRDefault="00152C0F" w:rsidP="00B20E0C">
      <w:pPr>
        <w:pStyle w:val="Prrafodelista"/>
        <w:ind w:left="0"/>
        <w:jc w:val="both"/>
        <w:rPr>
          <w:rFonts w:ascii="Times New Roman" w:hAnsi="Times New Roman" w:cs="Times New Roman"/>
          <w:sz w:val="28"/>
          <w:szCs w:val="28"/>
        </w:rPr>
      </w:pPr>
    </w:p>
    <w:p w:rsidR="009D24A6"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A partir de </w:t>
      </w:r>
      <w:r w:rsidRPr="00152C0F">
        <w:rPr>
          <w:rFonts w:ascii="Times New Roman" w:hAnsi="Times New Roman" w:cs="Times New Roman"/>
          <w:sz w:val="28"/>
          <w:szCs w:val="28"/>
        </w:rPr>
        <w:t xml:space="preserve">razonamientos análogos, </w:t>
      </w:r>
      <w:r w:rsidRPr="00152C0F">
        <w:rPr>
          <w:rFonts w:ascii="Times New Roman" w:hAnsi="Times New Roman" w:cs="Times New Roman"/>
          <w:sz w:val="28"/>
          <w:szCs w:val="28"/>
        </w:rPr>
        <w:t xml:space="preserve">y especialmente con fundamento en </w:t>
      </w:r>
      <w:r w:rsidRPr="00152C0F">
        <w:rPr>
          <w:rFonts w:ascii="Times New Roman" w:hAnsi="Times New Roman" w:cs="Times New Roman"/>
          <w:sz w:val="28"/>
          <w:szCs w:val="28"/>
        </w:rPr>
        <w:t xml:space="preserve">las consideraciones de la Sentencia </w:t>
      </w:r>
      <w:r w:rsidRPr="00152C0F">
        <w:rPr>
          <w:rFonts w:ascii="Times New Roman" w:hAnsi="Times New Roman" w:cs="Times New Roman"/>
          <w:sz w:val="28"/>
          <w:szCs w:val="28"/>
        </w:rPr>
        <w:t>C-161 de 2022, l</w:t>
      </w:r>
      <w:r w:rsidRPr="00152C0F">
        <w:rPr>
          <w:rFonts w:ascii="Times New Roman" w:hAnsi="Times New Roman" w:cs="Times New Roman"/>
          <w:sz w:val="28"/>
          <w:szCs w:val="28"/>
        </w:rPr>
        <w:t xml:space="preserve">a Universidad Externado </w:t>
      </w:r>
      <w:r w:rsidRPr="00152C0F">
        <w:rPr>
          <w:rFonts w:ascii="Times New Roman" w:hAnsi="Times New Roman" w:cs="Times New Roman"/>
          <w:sz w:val="28"/>
          <w:szCs w:val="28"/>
        </w:rPr>
        <w:t xml:space="preserve">de Colombia </w:t>
      </w:r>
      <w:r w:rsidRPr="00152C0F">
        <w:rPr>
          <w:rFonts w:ascii="Times New Roman" w:hAnsi="Times New Roman" w:cs="Times New Roman"/>
          <w:sz w:val="28"/>
          <w:szCs w:val="28"/>
        </w:rPr>
        <w:t xml:space="preserve">y el Instituto Colombiano de Derecho Procesal </w:t>
      </w:r>
      <w:r w:rsidRPr="00152C0F">
        <w:rPr>
          <w:rFonts w:ascii="Times New Roman" w:hAnsi="Times New Roman" w:cs="Times New Roman"/>
          <w:sz w:val="28"/>
          <w:szCs w:val="28"/>
        </w:rPr>
        <w:t xml:space="preserve">consideran que </w:t>
      </w:r>
      <w:r w:rsidRPr="00152C0F">
        <w:rPr>
          <w:rFonts w:ascii="Times New Roman" w:hAnsi="Times New Roman" w:cs="Times New Roman"/>
          <w:sz w:val="28"/>
          <w:szCs w:val="28"/>
        </w:rPr>
        <w:t>las disposiciones son incompatibles con el principio de unidad de materia</w:t>
      </w:r>
      <w:r w:rsidRPr="00152C0F">
        <w:rPr>
          <w:rFonts w:ascii="Times New Roman" w:hAnsi="Times New Roman" w:cs="Times New Roman"/>
          <w:sz w:val="28"/>
          <w:szCs w:val="28"/>
        </w:rPr>
        <w:t xml:space="preserve">, en la medida en que </w:t>
      </w:r>
      <w:r w:rsidRPr="00152C0F">
        <w:rPr>
          <w:rFonts w:ascii="Times New Roman" w:hAnsi="Times New Roman" w:cs="Times New Roman"/>
          <w:sz w:val="28"/>
          <w:szCs w:val="28"/>
        </w:rPr>
        <w:t xml:space="preserve">incorporan medidas </w:t>
      </w:r>
      <w:r w:rsidRPr="00152C0F">
        <w:rPr>
          <w:rFonts w:ascii="Times New Roman" w:hAnsi="Times New Roman" w:cs="Times New Roman"/>
          <w:sz w:val="28"/>
          <w:szCs w:val="28"/>
        </w:rPr>
        <w:t xml:space="preserve">permanentes, no limitadas </w:t>
      </w:r>
      <w:r w:rsidRPr="00152C0F">
        <w:rPr>
          <w:rFonts w:ascii="Times New Roman" w:hAnsi="Times New Roman" w:cs="Times New Roman"/>
          <w:sz w:val="28"/>
          <w:szCs w:val="28"/>
        </w:rPr>
        <w:t>a la vigencia cuatr</w:t>
      </w:r>
      <w:r w:rsidRPr="00152C0F">
        <w:rPr>
          <w:rFonts w:ascii="Times New Roman" w:hAnsi="Times New Roman" w:cs="Times New Roman"/>
          <w:sz w:val="28"/>
          <w:szCs w:val="28"/>
        </w:rPr>
        <w:t xml:space="preserve">ienal del plan, que, además, </w:t>
      </w:r>
      <w:r w:rsidRPr="00152C0F">
        <w:rPr>
          <w:rFonts w:ascii="Times New Roman" w:hAnsi="Times New Roman" w:cs="Times New Roman"/>
          <w:sz w:val="28"/>
          <w:szCs w:val="28"/>
        </w:rPr>
        <w:t>no tienen una conexidad directa e inmediata con sus objetivos.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Según señalan, la “inclusión de una reforma con vocación de permanencia sin la debida justificación de su necesidad o relevancia directa y específica para los fines</w:t>
      </w:r>
      <w:r w:rsidRPr="00152C0F">
        <w:rPr>
          <w:rFonts w:ascii="Times New Roman" w:hAnsi="Times New Roman" w:cs="Times New Roman"/>
          <w:sz w:val="28"/>
          <w:szCs w:val="28"/>
        </w:rPr>
        <w:t xml:space="preserve"> del plan es un ejemplo de vulneración al principio de unidad de materia, según el criterio referido por la Corte Constitucional”</w:t>
      </w:r>
      <w:r w:rsidRPr="00152C0F">
        <w:rPr>
          <w:rStyle w:val="Refdenotaalpie"/>
          <w:rFonts w:ascii="Times New Roman" w:hAnsi="Times New Roman" w:cs="Times New Roman"/>
          <w:sz w:val="28"/>
          <w:szCs w:val="28"/>
        </w:rPr>
        <w:footnoteReference w:id="47"/>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De manera específica, además, en relación con el artículo 211, afirman que “viola el principio de unidad de materia, dado qu</w:t>
      </w:r>
      <w:r w:rsidRPr="00152C0F">
        <w:rPr>
          <w:rFonts w:ascii="Times New Roman" w:hAnsi="Times New Roman" w:cs="Times New Roman"/>
          <w:sz w:val="28"/>
          <w:szCs w:val="28"/>
        </w:rPr>
        <w:t>e establece una medida permanente que no muestra una relación directa e inmediata con los objetivos del Plan Nacional de Desarrollo, centrados en la administración y destinación efectiva de bienes para el beneficio social”</w:t>
      </w:r>
      <w:r w:rsidRPr="00152C0F">
        <w:rPr>
          <w:rStyle w:val="Refdenotaalpie"/>
          <w:rFonts w:ascii="Times New Roman" w:hAnsi="Times New Roman" w:cs="Times New Roman"/>
          <w:sz w:val="28"/>
          <w:szCs w:val="28"/>
        </w:rPr>
        <w:footnoteReference w:id="48"/>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Si bien, </w:t>
      </w:r>
      <w:r w:rsidRPr="00152C0F">
        <w:rPr>
          <w:rFonts w:ascii="Times New Roman" w:hAnsi="Times New Roman" w:cs="Times New Roman"/>
          <w:sz w:val="28"/>
          <w:szCs w:val="28"/>
        </w:rPr>
        <w:t xml:space="preserve">respecto </w:t>
      </w:r>
      <w:r w:rsidRPr="00152C0F">
        <w:rPr>
          <w:rFonts w:ascii="Times New Roman" w:hAnsi="Times New Roman" w:cs="Times New Roman"/>
          <w:sz w:val="28"/>
          <w:szCs w:val="28"/>
        </w:rPr>
        <w:t xml:space="preserve">de </w:t>
      </w:r>
      <w:r w:rsidRPr="00152C0F">
        <w:rPr>
          <w:rFonts w:ascii="Times New Roman" w:hAnsi="Times New Roman" w:cs="Times New Roman"/>
          <w:sz w:val="28"/>
          <w:szCs w:val="28"/>
        </w:rPr>
        <w:t>ambas disp</w:t>
      </w:r>
      <w:r w:rsidRPr="00152C0F">
        <w:rPr>
          <w:rFonts w:ascii="Times New Roman" w:hAnsi="Times New Roman" w:cs="Times New Roman"/>
          <w:sz w:val="28"/>
          <w:szCs w:val="28"/>
        </w:rPr>
        <w:t xml:space="preserve">osiciones </w:t>
      </w:r>
      <w:r w:rsidRPr="00152C0F">
        <w:rPr>
          <w:rFonts w:ascii="Times New Roman" w:hAnsi="Times New Roman" w:cs="Times New Roman"/>
          <w:sz w:val="28"/>
          <w:szCs w:val="28"/>
        </w:rPr>
        <w:t>present</w:t>
      </w:r>
      <w:r w:rsidRPr="00152C0F">
        <w:rPr>
          <w:rFonts w:ascii="Times New Roman" w:hAnsi="Times New Roman" w:cs="Times New Roman"/>
          <w:sz w:val="28"/>
          <w:szCs w:val="28"/>
        </w:rPr>
        <w:t>a</w:t>
      </w:r>
      <w:r w:rsidRPr="00152C0F">
        <w:rPr>
          <w:rFonts w:ascii="Times New Roman" w:hAnsi="Times New Roman" w:cs="Times New Roman"/>
          <w:sz w:val="28"/>
          <w:szCs w:val="28"/>
        </w:rPr>
        <w:t>n</w:t>
      </w:r>
      <w:r w:rsidRPr="00152C0F">
        <w:rPr>
          <w:rFonts w:ascii="Times New Roman" w:hAnsi="Times New Roman" w:cs="Times New Roman"/>
          <w:sz w:val="28"/>
          <w:szCs w:val="28"/>
        </w:rPr>
        <w:t xml:space="preserve"> otra serie de argumentos sustantivos para justificar su incompatibilidad con la Constitución</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a estos no hará referencia la Sala, ya que no </w:t>
      </w:r>
      <w:r w:rsidRPr="00152C0F">
        <w:rPr>
          <w:rFonts w:ascii="Times New Roman" w:hAnsi="Times New Roman" w:cs="Times New Roman"/>
          <w:sz w:val="28"/>
          <w:szCs w:val="28"/>
        </w:rPr>
        <w:t xml:space="preserve">solo no </w:t>
      </w:r>
      <w:r w:rsidRPr="00152C0F">
        <w:rPr>
          <w:rFonts w:ascii="Times New Roman" w:hAnsi="Times New Roman" w:cs="Times New Roman"/>
          <w:sz w:val="28"/>
          <w:szCs w:val="28"/>
        </w:rPr>
        <w:t>constituyen parámetros de control en el presente asunto</w:t>
      </w:r>
      <w:r w:rsidRPr="00152C0F">
        <w:rPr>
          <w:rFonts w:ascii="Times New Roman" w:hAnsi="Times New Roman" w:cs="Times New Roman"/>
          <w:sz w:val="28"/>
          <w:szCs w:val="28"/>
        </w:rPr>
        <w:t>, sino que tal proceder es incomp</w:t>
      </w:r>
      <w:r w:rsidRPr="00152C0F">
        <w:rPr>
          <w:rFonts w:ascii="Times New Roman" w:hAnsi="Times New Roman" w:cs="Times New Roman"/>
          <w:sz w:val="28"/>
          <w:szCs w:val="28"/>
        </w:rPr>
        <w:t>atible con el carácter rogado de la jurisdicción constitucional</w:t>
      </w:r>
      <w:r w:rsidRPr="00152C0F">
        <w:rPr>
          <w:rFonts w:ascii="Times New Roman" w:hAnsi="Times New Roman" w:cs="Times New Roman"/>
          <w:sz w:val="28"/>
          <w:szCs w:val="28"/>
        </w:rPr>
        <w:t>, en materia del control abstracto de las leyes</w:t>
      </w:r>
      <w:r w:rsidRPr="00152C0F">
        <w:rPr>
          <w:rFonts w:ascii="Times New Roman" w:hAnsi="Times New Roman" w:cs="Times New Roman"/>
          <w:sz w:val="28"/>
          <w:szCs w:val="28"/>
        </w:rPr>
        <w:t>.</w:t>
      </w:r>
    </w:p>
    <w:p w:rsidR="00A553C9" w:rsidRPr="00152C0F" w:rsidRDefault="00152C0F" w:rsidP="00A553C9">
      <w:pPr>
        <w:pStyle w:val="Prrafodelista"/>
        <w:ind w:left="0"/>
        <w:jc w:val="both"/>
        <w:rPr>
          <w:rFonts w:ascii="Times New Roman" w:hAnsi="Times New Roman" w:cs="Times New Roman"/>
          <w:sz w:val="28"/>
          <w:szCs w:val="28"/>
          <w:lang w:val="es-ES" w:eastAsia="es-ES"/>
        </w:rPr>
      </w:pPr>
    </w:p>
    <w:p w:rsidR="005F7963" w:rsidRPr="00152C0F" w:rsidRDefault="00152C0F" w:rsidP="00A17EA0">
      <w:pPr>
        <w:pStyle w:val="Prrafodelista"/>
        <w:numPr>
          <w:ilvl w:val="0"/>
          <w:numId w:val="2"/>
        </w:numPr>
        <w:ind w:left="0" w:firstLine="0"/>
        <w:jc w:val="both"/>
        <w:rPr>
          <w:rFonts w:ascii="Times New Roman" w:hAnsi="Times New Roman" w:cs="Times New Roman"/>
          <w:sz w:val="28"/>
          <w:szCs w:val="28"/>
          <w:lang w:val="es-ES" w:eastAsia="es-ES"/>
        </w:rPr>
      </w:pPr>
      <w:r w:rsidRPr="00152C0F">
        <w:rPr>
          <w:rFonts w:ascii="Times New Roman" w:hAnsi="Times New Roman" w:cs="Times New Roman"/>
          <w:sz w:val="28"/>
          <w:szCs w:val="28"/>
          <w:lang w:val="es-ES" w:eastAsia="es-ES"/>
        </w:rPr>
        <w:t>A partir de la jurisprudencia contenida en las sentencias C-092 de 2018, C-415 de 2020, C-030 de 2021, C-049 de 2022 y C-537 de 2023</w:t>
      </w:r>
      <w:r w:rsidRPr="00152C0F">
        <w:rPr>
          <w:rFonts w:ascii="Times New Roman" w:hAnsi="Times New Roman" w:cs="Times New Roman"/>
          <w:sz w:val="28"/>
          <w:szCs w:val="28"/>
          <w:lang w:val="es-ES" w:eastAsia="es-ES"/>
        </w:rPr>
        <w:t>, p</w:t>
      </w:r>
      <w:r w:rsidRPr="00152C0F">
        <w:rPr>
          <w:rFonts w:ascii="Times New Roman" w:hAnsi="Times New Roman" w:cs="Times New Roman"/>
          <w:sz w:val="28"/>
          <w:szCs w:val="28"/>
          <w:lang w:val="es-ES" w:eastAsia="es-ES"/>
        </w:rPr>
        <w:t>ara l</w:t>
      </w:r>
      <w:r w:rsidRPr="00152C0F">
        <w:rPr>
          <w:rFonts w:ascii="Times New Roman" w:hAnsi="Times New Roman" w:cs="Times New Roman"/>
          <w:sz w:val="28"/>
          <w:szCs w:val="28"/>
          <w:lang w:val="es-ES" w:eastAsia="es-ES"/>
        </w:rPr>
        <w:t xml:space="preserve">a </w:t>
      </w:r>
      <w:r w:rsidRPr="00152C0F">
        <w:rPr>
          <w:rFonts w:ascii="Times New Roman" w:hAnsi="Times New Roman" w:cs="Times New Roman"/>
          <w:sz w:val="28"/>
          <w:szCs w:val="28"/>
          <w:lang w:val="es-ES" w:eastAsia="es-ES"/>
        </w:rPr>
        <w:t>Universidad Pontificia Bolivariana –sede Medellín–</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las disposiciones demandadas “transgreden el principio de unidad de materia especialmente exigible para la modificación de leyes con vocación de permanencia a través del plan nacional de desarrollo”, ya qu</w:t>
      </w:r>
      <w:r w:rsidRPr="00152C0F">
        <w:rPr>
          <w:rFonts w:ascii="Times New Roman" w:hAnsi="Times New Roman" w:cs="Times New Roman"/>
          <w:sz w:val="28"/>
          <w:szCs w:val="28"/>
          <w:lang w:val="es-ES" w:eastAsia="es-ES"/>
        </w:rPr>
        <w:t xml:space="preserve">e </w:t>
      </w:r>
      <w:r w:rsidRPr="00152C0F">
        <w:rPr>
          <w:rFonts w:ascii="Times New Roman" w:hAnsi="Times New Roman" w:cs="Times New Roman"/>
          <w:sz w:val="28"/>
          <w:szCs w:val="28"/>
          <w:lang w:val="es-ES" w:eastAsia="es-ES"/>
        </w:rPr>
        <w:t>“</w:t>
      </w:r>
      <w:r w:rsidRPr="00152C0F">
        <w:rPr>
          <w:rFonts w:ascii="Times New Roman" w:hAnsi="Times New Roman" w:cs="Times New Roman"/>
          <w:sz w:val="28"/>
          <w:szCs w:val="28"/>
          <w:lang w:val="es-ES" w:eastAsia="es-ES"/>
        </w:rPr>
        <w:t>no poseen un fin planificador y de impulso a la ejecución del plan cuatrienal</w:t>
      </w:r>
      <w:r w:rsidRPr="00152C0F">
        <w:rPr>
          <w:rFonts w:ascii="Times New Roman" w:hAnsi="Times New Roman" w:cs="Times New Roman"/>
          <w:sz w:val="28"/>
          <w:szCs w:val="28"/>
          <w:lang w:val="es-ES" w:eastAsia="es-ES"/>
        </w:rPr>
        <w:t>”.</w:t>
      </w:r>
      <w:r w:rsidRPr="00152C0F">
        <w:rPr>
          <w:rFonts w:ascii="Times New Roman" w:hAnsi="Times New Roman" w:cs="Times New Roman"/>
          <w:sz w:val="28"/>
          <w:szCs w:val="28"/>
          <w:lang w:val="es-ES" w:eastAsia="es-ES"/>
        </w:rPr>
        <w:t xml:space="preserve"> </w:t>
      </w:r>
    </w:p>
    <w:p w:rsidR="005F7963" w:rsidRPr="00152C0F" w:rsidRDefault="00152C0F" w:rsidP="005F7963">
      <w:pPr>
        <w:pStyle w:val="Prrafodelista"/>
        <w:rPr>
          <w:rFonts w:ascii="Times New Roman" w:hAnsi="Times New Roman" w:cs="Times New Roman"/>
          <w:sz w:val="28"/>
          <w:szCs w:val="28"/>
          <w:lang w:val="es-ES" w:eastAsia="es-ES"/>
        </w:rPr>
      </w:pPr>
    </w:p>
    <w:p w:rsidR="003F2567" w:rsidRPr="00152C0F" w:rsidRDefault="00152C0F" w:rsidP="00A17EA0">
      <w:pPr>
        <w:pStyle w:val="Prrafodelista"/>
        <w:numPr>
          <w:ilvl w:val="0"/>
          <w:numId w:val="2"/>
        </w:numPr>
        <w:ind w:left="0" w:firstLine="0"/>
        <w:jc w:val="both"/>
        <w:rPr>
          <w:rFonts w:ascii="Times New Roman" w:hAnsi="Times New Roman" w:cs="Times New Roman"/>
          <w:sz w:val="28"/>
          <w:szCs w:val="28"/>
          <w:lang w:val="es-ES" w:eastAsia="es-ES"/>
        </w:rPr>
      </w:pPr>
      <w:r w:rsidRPr="00152C0F">
        <w:rPr>
          <w:rFonts w:ascii="Times New Roman" w:hAnsi="Times New Roman" w:cs="Times New Roman"/>
          <w:sz w:val="28"/>
          <w:szCs w:val="28"/>
          <w:lang w:val="es-ES" w:eastAsia="es-ES"/>
        </w:rPr>
        <w:t>De un lado</w:t>
      </w:r>
      <w:r w:rsidRPr="00152C0F">
        <w:rPr>
          <w:rFonts w:ascii="Times New Roman" w:hAnsi="Times New Roman" w:cs="Times New Roman"/>
          <w:sz w:val="28"/>
          <w:szCs w:val="28"/>
          <w:lang w:val="es-ES" w:eastAsia="es-ES"/>
        </w:rPr>
        <w:t>, precisa que se trata de disposiciones permanentes</w:t>
      </w:r>
      <w:r w:rsidRPr="00152C0F">
        <w:rPr>
          <w:rFonts w:ascii="Times New Roman" w:hAnsi="Times New Roman" w:cs="Times New Roman"/>
          <w:sz w:val="28"/>
          <w:szCs w:val="28"/>
          <w:lang w:val="es-ES" w:eastAsia="es-ES"/>
        </w:rPr>
        <w:t>,</w:t>
      </w:r>
      <w:r w:rsidRPr="00152C0F">
        <w:rPr>
          <w:rFonts w:ascii="Times New Roman" w:hAnsi="Times New Roman" w:cs="Times New Roman"/>
          <w:sz w:val="28"/>
          <w:szCs w:val="28"/>
          <w:lang w:val="es-ES" w:eastAsia="es-ES"/>
        </w:rPr>
        <w:t xml:space="preserve"> que modifican la </w:t>
      </w:r>
      <w:r w:rsidRPr="00152C0F">
        <w:rPr>
          <w:rFonts w:ascii="Times New Roman" w:hAnsi="Times New Roman" w:cs="Times New Roman"/>
          <w:sz w:val="28"/>
          <w:szCs w:val="28"/>
          <w:lang w:val="es-ES" w:eastAsia="es-ES"/>
        </w:rPr>
        <w:t xml:space="preserve">regulación en materia de extinción </w:t>
      </w:r>
      <w:r w:rsidRPr="00152C0F">
        <w:rPr>
          <w:rFonts w:ascii="Times New Roman" w:hAnsi="Times New Roman" w:cs="Times New Roman"/>
          <w:sz w:val="28"/>
          <w:szCs w:val="28"/>
          <w:lang w:val="es-ES" w:eastAsia="es-ES"/>
        </w:rPr>
        <w:t xml:space="preserve">del dominio: el artículo 211 </w:t>
      </w:r>
      <w:r w:rsidRPr="00152C0F">
        <w:rPr>
          <w:rFonts w:ascii="Times New Roman" w:hAnsi="Times New Roman" w:cs="Times New Roman"/>
          <w:sz w:val="28"/>
          <w:szCs w:val="28"/>
          <w:lang w:val="es-ES" w:eastAsia="es-ES"/>
        </w:rPr>
        <w:t xml:space="preserve">prohíbe la prescripción de los bienes </w:t>
      </w:r>
      <w:r w:rsidRPr="00152C0F">
        <w:rPr>
          <w:rFonts w:ascii="Times New Roman" w:hAnsi="Times New Roman" w:cs="Times New Roman"/>
          <w:sz w:val="28"/>
          <w:szCs w:val="28"/>
          <w:lang w:val="es-ES" w:eastAsia="es-ES"/>
        </w:rPr>
        <w:t xml:space="preserve">con medidas cautelares </w:t>
      </w:r>
      <w:r w:rsidRPr="00152C0F">
        <w:rPr>
          <w:rFonts w:ascii="Times New Roman" w:hAnsi="Times New Roman" w:cs="Times New Roman"/>
          <w:sz w:val="28"/>
          <w:szCs w:val="28"/>
          <w:lang w:val="es-ES" w:eastAsia="es-ES"/>
        </w:rPr>
        <w:t xml:space="preserve">en </w:t>
      </w:r>
      <w:r w:rsidRPr="00152C0F">
        <w:rPr>
          <w:rFonts w:ascii="Times New Roman" w:hAnsi="Times New Roman" w:cs="Times New Roman"/>
          <w:sz w:val="28"/>
          <w:szCs w:val="28"/>
          <w:lang w:val="es-ES" w:eastAsia="es-ES"/>
        </w:rPr>
        <w:t xml:space="preserve">estos </w:t>
      </w:r>
      <w:r w:rsidRPr="00152C0F">
        <w:rPr>
          <w:rFonts w:ascii="Times New Roman" w:hAnsi="Times New Roman" w:cs="Times New Roman"/>
          <w:sz w:val="28"/>
          <w:szCs w:val="28"/>
          <w:lang w:val="es-ES" w:eastAsia="es-ES"/>
        </w:rPr>
        <w:t>proceso</w:t>
      </w:r>
      <w:r w:rsidRPr="00152C0F">
        <w:rPr>
          <w:rFonts w:ascii="Times New Roman" w:hAnsi="Times New Roman" w:cs="Times New Roman"/>
          <w:sz w:val="28"/>
          <w:szCs w:val="28"/>
          <w:lang w:val="es-ES" w:eastAsia="es-ES"/>
        </w:rPr>
        <w:t>s</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prohibición que en el régimen de la </w:t>
      </w:r>
      <w:r w:rsidRPr="00152C0F">
        <w:rPr>
          <w:rFonts w:ascii="Times New Roman" w:hAnsi="Times New Roman" w:cs="Times New Roman"/>
          <w:sz w:val="28"/>
          <w:szCs w:val="28"/>
          <w:lang w:val="es-ES" w:eastAsia="es-ES"/>
        </w:rPr>
        <w:t xml:space="preserve">Ley 1708 de 2014 era aplicable </w:t>
      </w:r>
      <w:r w:rsidRPr="00152C0F">
        <w:rPr>
          <w:rFonts w:ascii="Times New Roman" w:hAnsi="Times New Roman" w:cs="Times New Roman"/>
          <w:sz w:val="28"/>
          <w:szCs w:val="28"/>
          <w:lang w:val="es-ES" w:eastAsia="es-ES"/>
        </w:rPr>
        <w:t xml:space="preserve">únicamente </w:t>
      </w:r>
      <w:r w:rsidRPr="00152C0F">
        <w:rPr>
          <w:rFonts w:ascii="Times New Roman" w:hAnsi="Times New Roman" w:cs="Times New Roman"/>
          <w:sz w:val="28"/>
          <w:szCs w:val="28"/>
          <w:lang w:val="es-ES" w:eastAsia="es-ES"/>
        </w:rPr>
        <w:t xml:space="preserve">a </w:t>
      </w:r>
      <w:r w:rsidRPr="00152C0F">
        <w:rPr>
          <w:rFonts w:ascii="Times New Roman" w:hAnsi="Times New Roman" w:cs="Times New Roman"/>
          <w:sz w:val="28"/>
          <w:szCs w:val="28"/>
          <w:lang w:val="es-ES" w:eastAsia="es-ES"/>
        </w:rPr>
        <w:t xml:space="preserve">los bienes sobre los que </w:t>
      </w:r>
      <w:r w:rsidRPr="00152C0F">
        <w:rPr>
          <w:rFonts w:ascii="Times New Roman" w:hAnsi="Times New Roman" w:cs="Times New Roman"/>
          <w:sz w:val="28"/>
          <w:szCs w:val="28"/>
          <w:lang w:val="es-ES" w:eastAsia="es-ES"/>
        </w:rPr>
        <w:t xml:space="preserve">hubiese </w:t>
      </w:r>
      <w:r w:rsidRPr="00152C0F">
        <w:rPr>
          <w:rFonts w:ascii="Times New Roman" w:hAnsi="Times New Roman" w:cs="Times New Roman"/>
          <w:sz w:val="28"/>
          <w:szCs w:val="28"/>
          <w:lang w:val="es-ES" w:eastAsia="es-ES"/>
        </w:rPr>
        <w:t>reca</w:t>
      </w:r>
      <w:r w:rsidRPr="00152C0F">
        <w:rPr>
          <w:rFonts w:ascii="Times New Roman" w:hAnsi="Times New Roman" w:cs="Times New Roman"/>
          <w:sz w:val="28"/>
          <w:szCs w:val="28"/>
          <w:lang w:val="es-ES" w:eastAsia="es-ES"/>
        </w:rPr>
        <w:t>ído</w:t>
      </w:r>
      <w:r w:rsidRPr="00152C0F">
        <w:rPr>
          <w:rFonts w:ascii="Times New Roman" w:hAnsi="Times New Roman" w:cs="Times New Roman"/>
          <w:sz w:val="28"/>
          <w:szCs w:val="28"/>
          <w:lang w:val="es-ES" w:eastAsia="es-ES"/>
        </w:rPr>
        <w:t xml:space="preserve"> una sentencia ejecutoriada que declarar</w:t>
      </w:r>
      <w:r w:rsidRPr="00152C0F">
        <w:rPr>
          <w:rFonts w:ascii="Times New Roman" w:hAnsi="Times New Roman" w:cs="Times New Roman"/>
          <w:sz w:val="28"/>
          <w:szCs w:val="28"/>
          <w:lang w:val="es-ES" w:eastAsia="es-ES"/>
        </w:rPr>
        <w:t>a</w:t>
      </w:r>
      <w:r w:rsidRPr="00152C0F">
        <w:rPr>
          <w:rFonts w:ascii="Times New Roman" w:hAnsi="Times New Roman" w:cs="Times New Roman"/>
          <w:sz w:val="28"/>
          <w:szCs w:val="28"/>
          <w:lang w:val="es-ES" w:eastAsia="es-ES"/>
        </w:rPr>
        <w:t xml:space="preserve"> la pérdida del derecho de dominio</w:t>
      </w:r>
      <w:r w:rsidRPr="00152C0F">
        <w:rPr>
          <w:rFonts w:ascii="Times New Roman" w:hAnsi="Times New Roman" w:cs="Times New Roman"/>
          <w:sz w:val="28"/>
          <w:szCs w:val="28"/>
          <w:lang w:val="es-ES" w:eastAsia="es-ES"/>
        </w:rPr>
        <w:t>. El artículo 212</w:t>
      </w:r>
      <w:r w:rsidRPr="00152C0F">
        <w:rPr>
          <w:rFonts w:ascii="Times New Roman" w:hAnsi="Times New Roman" w:cs="Times New Roman"/>
          <w:sz w:val="28"/>
          <w:szCs w:val="28"/>
          <w:lang w:val="es-ES" w:eastAsia="es-ES"/>
        </w:rPr>
        <w:t>, por su parte,</w:t>
      </w:r>
      <w:r w:rsidRPr="00152C0F">
        <w:rPr>
          <w:rFonts w:ascii="Times New Roman" w:hAnsi="Times New Roman" w:cs="Times New Roman"/>
          <w:sz w:val="28"/>
          <w:szCs w:val="28"/>
          <w:lang w:val="es-ES" w:eastAsia="es-ES"/>
        </w:rPr>
        <w:t xml:space="preserve"> sujeta el levantamiento de las medidas cautelares </w:t>
      </w:r>
      <w:r w:rsidRPr="00152C0F">
        <w:rPr>
          <w:rFonts w:ascii="Times New Roman" w:hAnsi="Times New Roman" w:cs="Times New Roman"/>
          <w:sz w:val="28"/>
          <w:szCs w:val="28"/>
          <w:lang w:val="es-ES" w:eastAsia="es-ES"/>
        </w:rPr>
        <w:t xml:space="preserve">a la existencia de </w:t>
      </w:r>
      <w:r w:rsidRPr="00152C0F">
        <w:rPr>
          <w:rFonts w:ascii="Times New Roman" w:hAnsi="Times New Roman" w:cs="Times New Roman"/>
          <w:sz w:val="28"/>
          <w:szCs w:val="28"/>
          <w:lang w:val="es-ES" w:eastAsia="es-ES"/>
        </w:rPr>
        <w:t xml:space="preserve">una orden judicial de cancelación o </w:t>
      </w:r>
      <w:r w:rsidRPr="00152C0F">
        <w:rPr>
          <w:rFonts w:ascii="Times New Roman" w:hAnsi="Times New Roman" w:cs="Times New Roman"/>
          <w:sz w:val="28"/>
          <w:szCs w:val="28"/>
          <w:lang w:val="es-ES" w:eastAsia="es-ES"/>
        </w:rPr>
        <w:t xml:space="preserve">hasta tanto </w:t>
      </w:r>
      <w:r w:rsidRPr="00152C0F">
        <w:rPr>
          <w:rFonts w:ascii="Times New Roman" w:hAnsi="Times New Roman" w:cs="Times New Roman"/>
          <w:sz w:val="28"/>
          <w:szCs w:val="28"/>
          <w:lang w:val="es-ES" w:eastAsia="es-ES"/>
        </w:rPr>
        <w:t>se profiera la sentencia que ponga fin al proceso</w:t>
      </w:r>
      <w:r w:rsidRPr="00152C0F">
        <w:rPr>
          <w:rFonts w:ascii="Times New Roman" w:hAnsi="Times New Roman" w:cs="Times New Roman"/>
          <w:sz w:val="28"/>
          <w:szCs w:val="28"/>
          <w:lang w:val="es-ES" w:eastAsia="es-ES"/>
        </w:rPr>
        <w:t xml:space="preserve">. Esta </w:t>
      </w:r>
      <w:r w:rsidRPr="00152C0F">
        <w:rPr>
          <w:rFonts w:ascii="Times New Roman" w:hAnsi="Times New Roman" w:cs="Times New Roman"/>
          <w:sz w:val="28"/>
          <w:szCs w:val="28"/>
          <w:lang w:val="es-ES" w:eastAsia="es-ES"/>
        </w:rPr>
        <w:t>regulación modif</w:t>
      </w:r>
      <w:r w:rsidRPr="00152C0F">
        <w:rPr>
          <w:rFonts w:ascii="Times New Roman" w:hAnsi="Times New Roman" w:cs="Times New Roman"/>
          <w:sz w:val="28"/>
          <w:szCs w:val="28"/>
          <w:lang w:val="es-ES" w:eastAsia="es-ES"/>
        </w:rPr>
        <w:t xml:space="preserve">ica la prevista </w:t>
      </w:r>
      <w:r w:rsidRPr="00152C0F">
        <w:rPr>
          <w:rFonts w:ascii="Times New Roman" w:hAnsi="Times New Roman" w:cs="Times New Roman"/>
          <w:sz w:val="28"/>
          <w:szCs w:val="28"/>
          <w:lang w:val="es-ES" w:eastAsia="es-ES"/>
        </w:rPr>
        <w:t xml:space="preserve">“en el inciso 2 del numeral 2° del artículo 26” de la Ley </w:t>
      </w:r>
      <w:r w:rsidRPr="00152C0F">
        <w:rPr>
          <w:rFonts w:ascii="Times New Roman" w:hAnsi="Times New Roman" w:cs="Times New Roman"/>
          <w:sz w:val="28"/>
          <w:szCs w:val="28"/>
          <w:lang w:val="es-ES" w:eastAsia="es-ES"/>
        </w:rPr>
        <w:t>1708 de 2014</w:t>
      </w:r>
      <w:r w:rsidRPr="00152C0F">
        <w:rPr>
          <w:rFonts w:ascii="Times New Roman" w:hAnsi="Times New Roman" w:cs="Times New Roman"/>
          <w:sz w:val="28"/>
          <w:szCs w:val="28"/>
          <w:lang w:val="es-ES" w:eastAsia="es-ES"/>
        </w:rPr>
        <w:t>,</w:t>
      </w:r>
      <w:r w:rsidRPr="00152C0F">
        <w:rPr>
          <w:rFonts w:ascii="Times New Roman" w:hAnsi="Times New Roman" w:cs="Times New Roman"/>
          <w:sz w:val="28"/>
          <w:szCs w:val="28"/>
          <w:lang w:val="es-ES" w:eastAsia="es-ES"/>
        </w:rPr>
        <w:t xml:space="preserve"> que sujetaba </w:t>
      </w:r>
      <w:r w:rsidRPr="00152C0F">
        <w:rPr>
          <w:rFonts w:ascii="Times New Roman" w:hAnsi="Times New Roman" w:cs="Times New Roman"/>
          <w:sz w:val="28"/>
          <w:szCs w:val="28"/>
          <w:lang w:val="es-ES" w:eastAsia="es-ES"/>
        </w:rPr>
        <w:t xml:space="preserve">el trámite de las </w:t>
      </w:r>
      <w:r w:rsidRPr="00152C0F">
        <w:rPr>
          <w:rFonts w:ascii="Times New Roman" w:hAnsi="Times New Roman" w:cs="Times New Roman"/>
          <w:sz w:val="28"/>
          <w:szCs w:val="28"/>
          <w:lang w:val="es-ES" w:eastAsia="es-ES"/>
        </w:rPr>
        <w:t xml:space="preserve">medidas cautelares </w:t>
      </w:r>
      <w:r w:rsidRPr="00152C0F">
        <w:rPr>
          <w:rFonts w:ascii="Times New Roman" w:hAnsi="Times New Roman" w:cs="Times New Roman"/>
          <w:sz w:val="28"/>
          <w:szCs w:val="28"/>
          <w:lang w:val="es-ES" w:eastAsia="es-ES"/>
        </w:rPr>
        <w:t xml:space="preserve">a lo dispuesto en </w:t>
      </w:r>
      <w:r w:rsidRPr="00152C0F">
        <w:rPr>
          <w:rFonts w:ascii="Times New Roman" w:hAnsi="Times New Roman" w:cs="Times New Roman"/>
          <w:sz w:val="28"/>
          <w:szCs w:val="28"/>
          <w:lang w:val="es-ES" w:eastAsia="es-ES"/>
        </w:rPr>
        <w:t xml:space="preserve">el </w:t>
      </w:r>
      <w:r w:rsidRPr="00152C0F">
        <w:rPr>
          <w:rFonts w:ascii="Times New Roman" w:hAnsi="Times New Roman" w:cs="Times New Roman"/>
          <w:sz w:val="28"/>
          <w:szCs w:val="28"/>
          <w:lang w:val="es-ES" w:eastAsia="es-ES"/>
        </w:rPr>
        <w:t>“</w:t>
      </w:r>
      <w:r w:rsidRPr="00152C0F">
        <w:rPr>
          <w:rFonts w:ascii="Times New Roman" w:hAnsi="Times New Roman" w:cs="Times New Roman"/>
          <w:sz w:val="28"/>
          <w:szCs w:val="28"/>
          <w:lang w:val="es-ES" w:eastAsia="es-ES"/>
        </w:rPr>
        <w:t>Código General del Proceso</w:t>
      </w:r>
      <w:r w:rsidRPr="00152C0F">
        <w:rPr>
          <w:rFonts w:ascii="Times New Roman" w:hAnsi="Times New Roman" w:cs="Times New Roman"/>
          <w:sz w:val="28"/>
          <w:szCs w:val="28"/>
          <w:lang w:val="es-ES" w:eastAsia="es-ES"/>
        </w:rPr>
        <w:t>”</w:t>
      </w:r>
      <w:r w:rsidRPr="00152C0F">
        <w:rPr>
          <w:rFonts w:ascii="Times New Roman" w:hAnsi="Times New Roman" w:cs="Times New Roman"/>
          <w:sz w:val="28"/>
          <w:szCs w:val="28"/>
          <w:lang w:val="es-ES" w:eastAsia="es-ES"/>
        </w:rPr>
        <w:t xml:space="preserve"> [sic]</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de conformidad con el </w:t>
      </w:r>
      <w:r w:rsidRPr="00152C0F">
        <w:rPr>
          <w:rFonts w:ascii="Times New Roman" w:hAnsi="Times New Roman" w:cs="Times New Roman"/>
          <w:sz w:val="28"/>
          <w:szCs w:val="28"/>
          <w:lang w:val="es-ES" w:eastAsia="es-ES"/>
        </w:rPr>
        <w:t>cual, tales medidas tienen “</w:t>
      </w:r>
      <w:r w:rsidRPr="00152C0F">
        <w:rPr>
          <w:rFonts w:ascii="Times New Roman" w:hAnsi="Times New Roman" w:cs="Times New Roman"/>
          <w:sz w:val="28"/>
          <w:szCs w:val="28"/>
          <w:lang w:val="es-ES" w:eastAsia="es-ES"/>
        </w:rPr>
        <w:t xml:space="preserve">una </w:t>
      </w:r>
      <w:r w:rsidRPr="00152C0F">
        <w:rPr>
          <w:rFonts w:ascii="Times New Roman" w:hAnsi="Times New Roman" w:cs="Times New Roman"/>
          <w:sz w:val="28"/>
          <w:szCs w:val="28"/>
          <w:lang w:val="es-ES" w:eastAsia="es-ES"/>
        </w:rPr>
        <w:t>vigencia de 10 años para que, cumplido este plazo sean revocadas por el registrador. Esta revocatoria puede verse interrumpida si el juez solicita su prórroga, en cuyo caso quedará el término de 5 años, con la posibilidad de prorrogar por otros dos período</w:t>
      </w:r>
      <w:r w:rsidRPr="00152C0F">
        <w:rPr>
          <w:rFonts w:ascii="Times New Roman" w:hAnsi="Times New Roman" w:cs="Times New Roman"/>
          <w:sz w:val="28"/>
          <w:szCs w:val="28"/>
          <w:lang w:val="es-ES" w:eastAsia="es-ES"/>
        </w:rPr>
        <w:t>s iguales</w:t>
      </w:r>
      <w:r w:rsidRPr="00152C0F">
        <w:rPr>
          <w:rFonts w:ascii="Times New Roman" w:hAnsi="Times New Roman" w:cs="Times New Roman"/>
          <w:sz w:val="28"/>
          <w:szCs w:val="28"/>
          <w:lang w:val="es-ES" w:eastAsia="es-ES"/>
        </w:rPr>
        <w:t>”.</w:t>
      </w:r>
      <w:r w:rsidRPr="00152C0F">
        <w:rPr>
          <w:rFonts w:ascii="Times New Roman" w:hAnsi="Times New Roman" w:cs="Times New Roman"/>
          <w:sz w:val="28"/>
          <w:szCs w:val="28"/>
          <w:lang w:val="es-ES" w:eastAsia="es-ES"/>
        </w:rPr>
        <w:t xml:space="preserve"> Según señala, estas medidas </w:t>
      </w:r>
      <w:r w:rsidRPr="00152C0F">
        <w:rPr>
          <w:rFonts w:ascii="Times New Roman" w:hAnsi="Times New Roman" w:cs="Times New Roman"/>
          <w:sz w:val="28"/>
          <w:szCs w:val="28"/>
          <w:lang w:val="es-ES" w:eastAsia="es-ES"/>
        </w:rPr>
        <w:t xml:space="preserve">desincentivan “que las autoridades judiciales y fiscales vinculadas a este tipo de procesos transiten </w:t>
      </w:r>
      <w:r w:rsidRPr="00152C0F">
        <w:rPr>
          <w:rFonts w:ascii="Times New Roman" w:hAnsi="Times New Roman" w:cs="Times New Roman"/>
          <w:sz w:val="28"/>
          <w:szCs w:val="28"/>
          <w:lang w:val="es-ES" w:eastAsia="es-ES"/>
        </w:rPr>
        <w:t xml:space="preserve">[sic] </w:t>
      </w:r>
      <w:r w:rsidRPr="00152C0F">
        <w:rPr>
          <w:rFonts w:ascii="Times New Roman" w:hAnsi="Times New Roman" w:cs="Times New Roman"/>
          <w:sz w:val="28"/>
          <w:szCs w:val="28"/>
          <w:lang w:val="es-ES" w:eastAsia="es-ES"/>
        </w:rPr>
        <w:t>con celeridad las actuaciones procesales. En la práctica, las normas acusadas suprimen las únicas dos medida</w:t>
      </w:r>
      <w:r w:rsidRPr="00152C0F">
        <w:rPr>
          <w:rFonts w:ascii="Times New Roman" w:hAnsi="Times New Roman" w:cs="Times New Roman"/>
          <w:sz w:val="28"/>
          <w:szCs w:val="28"/>
          <w:lang w:val="es-ES" w:eastAsia="es-ES"/>
        </w:rPr>
        <w:t>s normativas que invitan a las autoridades a no demorar los</w:t>
      </w:r>
      <w:r w:rsidRPr="00152C0F">
        <w:rPr>
          <w:rFonts w:ascii="Times New Roman" w:hAnsi="Times New Roman" w:cs="Times New Roman"/>
          <w:sz w:val="28"/>
          <w:szCs w:val="28"/>
          <w:lang w:val="es-ES" w:eastAsia="es-ES"/>
        </w:rPr>
        <w:t xml:space="preserve"> procesos”.</w:t>
      </w:r>
    </w:p>
    <w:p w:rsidR="003F2567" w:rsidRPr="00152C0F" w:rsidRDefault="00152C0F" w:rsidP="000B33D1">
      <w:pPr>
        <w:pStyle w:val="Prrafodelista"/>
        <w:ind w:left="0"/>
        <w:jc w:val="both"/>
        <w:rPr>
          <w:rFonts w:ascii="Times New Roman" w:hAnsi="Times New Roman" w:cs="Times New Roman"/>
          <w:sz w:val="28"/>
          <w:szCs w:val="28"/>
          <w:lang w:val="es-ES" w:eastAsia="es-ES"/>
        </w:rPr>
      </w:pPr>
    </w:p>
    <w:p w:rsidR="00D46E79" w:rsidRPr="00152C0F" w:rsidRDefault="00152C0F" w:rsidP="00A17EA0">
      <w:pPr>
        <w:pStyle w:val="Prrafodelista"/>
        <w:numPr>
          <w:ilvl w:val="0"/>
          <w:numId w:val="2"/>
        </w:numPr>
        <w:ind w:left="0" w:firstLine="0"/>
        <w:jc w:val="both"/>
        <w:rPr>
          <w:rFonts w:ascii="Times New Roman" w:hAnsi="Times New Roman" w:cs="Times New Roman"/>
          <w:sz w:val="28"/>
          <w:szCs w:val="28"/>
          <w:lang w:val="es-ES" w:eastAsia="es-ES"/>
        </w:rPr>
      </w:pPr>
      <w:r w:rsidRPr="00152C0F">
        <w:rPr>
          <w:rFonts w:ascii="Times New Roman" w:hAnsi="Times New Roman" w:cs="Times New Roman"/>
          <w:sz w:val="28"/>
          <w:szCs w:val="28"/>
          <w:lang w:val="es-ES" w:eastAsia="es-ES"/>
        </w:rPr>
        <w:t>De otro lado</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precisa que</w:t>
      </w:r>
      <w:r w:rsidRPr="00152C0F">
        <w:rPr>
          <w:rFonts w:ascii="Times New Roman" w:hAnsi="Times New Roman" w:cs="Times New Roman"/>
          <w:sz w:val="28"/>
          <w:szCs w:val="28"/>
          <w:lang w:val="es-ES" w:eastAsia="es-ES"/>
        </w:rPr>
        <w:t xml:space="preserve"> las disposiciones demandadas</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“no persiguen un fin planificador ni impulsan la ejecución del plan cuatrianual”</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ya que </w:t>
      </w:r>
      <w:r w:rsidRPr="00152C0F">
        <w:rPr>
          <w:rFonts w:ascii="Times New Roman" w:hAnsi="Times New Roman" w:cs="Times New Roman"/>
          <w:sz w:val="28"/>
          <w:szCs w:val="28"/>
          <w:lang w:val="es-ES" w:eastAsia="es-ES"/>
        </w:rPr>
        <w:t xml:space="preserve">“no guardan relación directa e </w:t>
      </w:r>
      <w:r w:rsidRPr="00152C0F">
        <w:rPr>
          <w:rFonts w:ascii="Times New Roman" w:hAnsi="Times New Roman" w:cs="Times New Roman"/>
          <w:sz w:val="28"/>
          <w:szCs w:val="28"/>
          <w:lang w:val="es-ES" w:eastAsia="es-ES"/>
        </w:rPr>
        <w:t>inmediata”</w:t>
      </w:r>
      <w:r w:rsidRPr="00152C0F">
        <w:rPr>
          <w:rFonts w:ascii="Times New Roman" w:hAnsi="Times New Roman" w:cs="Times New Roman"/>
          <w:sz w:val="28"/>
          <w:szCs w:val="28"/>
          <w:lang w:val="es-ES" w:eastAsia="es-ES"/>
        </w:rPr>
        <w:t xml:space="preserve">, “sino apenas remota o conjetural” con los diferentes catalizadores </w:t>
      </w:r>
      <w:r w:rsidRPr="00152C0F">
        <w:rPr>
          <w:rFonts w:ascii="Times New Roman" w:hAnsi="Times New Roman" w:cs="Times New Roman"/>
          <w:sz w:val="28"/>
          <w:szCs w:val="28"/>
          <w:lang w:val="es-ES" w:eastAsia="es-ES"/>
        </w:rPr>
        <w:t xml:space="preserve">de las bases del plan nacional de desarrollo que </w:t>
      </w:r>
      <w:r w:rsidRPr="00152C0F">
        <w:rPr>
          <w:rFonts w:ascii="Times New Roman" w:hAnsi="Times New Roman" w:cs="Times New Roman"/>
          <w:sz w:val="28"/>
          <w:szCs w:val="28"/>
          <w:lang w:val="es-ES" w:eastAsia="es-ES"/>
        </w:rPr>
        <w:t>se refieren a “varias necesidades explícitas vinculadas con la SAE, el FRISCO y los procesos de extinción de dominio”</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por </w:t>
      </w:r>
      <w:r w:rsidRPr="00152C0F">
        <w:rPr>
          <w:rFonts w:ascii="Times New Roman" w:hAnsi="Times New Roman" w:cs="Times New Roman"/>
          <w:sz w:val="28"/>
          <w:szCs w:val="28"/>
          <w:lang w:val="es-ES" w:eastAsia="es-ES"/>
        </w:rPr>
        <w:t xml:space="preserve">seis </w:t>
      </w:r>
      <w:r w:rsidRPr="00152C0F">
        <w:rPr>
          <w:rFonts w:ascii="Times New Roman" w:hAnsi="Times New Roman" w:cs="Times New Roman"/>
          <w:sz w:val="28"/>
          <w:szCs w:val="28"/>
          <w:lang w:val="es-ES" w:eastAsia="es-ES"/>
        </w:rPr>
        <w:t>razones</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en primer lugar, </w:t>
      </w:r>
      <w:r w:rsidRPr="00152C0F">
        <w:rPr>
          <w:rFonts w:ascii="Times New Roman" w:hAnsi="Times New Roman" w:cs="Times New Roman"/>
          <w:sz w:val="28"/>
          <w:szCs w:val="28"/>
          <w:lang w:val="es-ES" w:eastAsia="es-ES"/>
        </w:rPr>
        <w:t>señala:</w:t>
      </w:r>
    </w:p>
    <w:p w:rsidR="00D46E79" w:rsidRPr="00152C0F" w:rsidRDefault="00152C0F" w:rsidP="00D46E79">
      <w:pPr>
        <w:rPr>
          <w:rFonts w:ascii="Times New Roman" w:hAnsi="Times New Roman" w:cs="Times New Roman"/>
          <w:sz w:val="28"/>
          <w:szCs w:val="28"/>
          <w:lang w:val="es-ES" w:eastAsia="es-ES"/>
        </w:rPr>
      </w:pPr>
    </w:p>
    <w:p w:rsidR="00CD0701" w:rsidRPr="00152C0F" w:rsidRDefault="00152C0F" w:rsidP="00B109F5">
      <w:pPr>
        <w:ind w:left="567" w:right="616"/>
        <w:jc w:val="both"/>
        <w:rPr>
          <w:rFonts w:ascii="Times New Roman" w:hAnsi="Times New Roman" w:cs="Times New Roman"/>
          <w:sz w:val="28"/>
          <w:szCs w:val="24"/>
          <w:lang w:eastAsia="es-ES"/>
        </w:rPr>
      </w:pPr>
      <w:r w:rsidRPr="00152C0F">
        <w:rPr>
          <w:rFonts w:ascii="Times New Roman" w:hAnsi="Times New Roman" w:cs="Times New Roman"/>
          <w:sz w:val="28"/>
          <w:szCs w:val="24"/>
          <w:lang w:eastAsia="es-ES"/>
        </w:rPr>
        <w:t>“La imprescriptibilidad de los bienes involucrados en procesos de extinción de dominio y la prolongación indefinida de las medidas cautelares: (i) no evita que las organizaciones criminales hagan uso de dichos bienes, sum</w:t>
      </w:r>
      <w:r w:rsidRPr="00152C0F">
        <w:rPr>
          <w:rFonts w:ascii="Times New Roman" w:hAnsi="Times New Roman" w:cs="Times New Roman"/>
          <w:sz w:val="28"/>
          <w:szCs w:val="24"/>
          <w:lang w:eastAsia="es-ES"/>
        </w:rPr>
        <w:t xml:space="preserve">ado a que, si esta es la finalidad, el Estado cuenta con otros recursos normativos para evitarlo; (ii) no aporta a la utilidad social de los procesos de extinción de dominio, toda vez que, por el contrario, lo útil socialmente es que la situación jurídica </w:t>
      </w:r>
      <w:r w:rsidRPr="00152C0F">
        <w:rPr>
          <w:rFonts w:ascii="Times New Roman" w:hAnsi="Times New Roman" w:cs="Times New Roman"/>
          <w:sz w:val="28"/>
          <w:szCs w:val="24"/>
          <w:lang w:eastAsia="es-ES"/>
        </w:rPr>
        <w:t>de los bienes afectados en un proceso de esta naturaleza se resuelva con celeridad y eficacia; (iii) lejos de mejorar la gestión y administración de este tipo de bienes, la cual debería conducir a decisiones en un plazo inferior a 10 años, se generan incen</w:t>
      </w:r>
      <w:r w:rsidRPr="00152C0F">
        <w:rPr>
          <w:rFonts w:ascii="Times New Roman" w:hAnsi="Times New Roman" w:cs="Times New Roman"/>
          <w:sz w:val="28"/>
          <w:szCs w:val="24"/>
          <w:lang w:eastAsia="es-ES"/>
        </w:rPr>
        <w:t>tivos normativos para que esta gestión se prolongue aún más; (iv) no aporta a dinamizar la adquisición de bienes que sean objeto de extinción de dominio, sino, por el contrario, a ralentizar”.</w:t>
      </w:r>
    </w:p>
    <w:p w:rsidR="008076DB" w:rsidRPr="00152C0F" w:rsidRDefault="00152C0F" w:rsidP="00B109F5">
      <w:pPr>
        <w:rPr>
          <w:rFonts w:ascii="Times New Roman" w:hAnsi="Times New Roman" w:cs="Times New Roman"/>
          <w:sz w:val="28"/>
          <w:szCs w:val="28"/>
        </w:rPr>
      </w:pPr>
    </w:p>
    <w:p w:rsidR="00CD1AA7" w:rsidRPr="00152C0F" w:rsidRDefault="00152C0F" w:rsidP="00A17EA0">
      <w:pPr>
        <w:pStyle w:val="Prrafodelista"/>
        <w:numPr>
          <w:ilvl w:val="0"/>
          <w:numId w:val="2"/>
        </w:numPr>
        <w:ind w:left="0" w:firstLine="0"/>
        <w:jc w:val="both"/>
        <w:rPr>
          <w:rFonts w:ascii="Times New Roman" w:hAnsi="Times New Roman" w:cs="Times New Roman"/>
          <w:sz w:val="28"/>
          <w:szCs w:val="28"/>
          <w:lang w:val="es-ES" w:eastAsia="es-ES"/>
        </w:rPr>
      </w:pPr>
      <w:r w:rsidRPr="00152C0F">
        <w:rPr>
          <w:rFonts w:ascii="Times New Roman" w:hAnsi="Times New Roman" w:cs="Times New Roman"/>
          <w:sz w:val="28"/>
          <w:szCs w:val="28"/>
        </w:rPr>
        <w:t xml:space="preserve">En segundo lugar, </w:t>
      </w:r>
      <w:r w:rsidRPr="00152C0F">
        <w:rPr>
          <w:rFonts w:ascii="Times New Roman" w:hAnsi="Times New Roman" w:cs="Times New Roman"/>
          <w:sz w:val="28"/>
          <w:szCs w:val="28"/>
        </w:rPr>
        <w:t xml:space="preserve">afirma </w:t>
      </w:r>
      <w:r w:rsidRPr="00152C0F">
        <w:rPr>
          <w:rFonts w:ascii="Times New Roman" w:hAnsi="Times New Roman" w:cs="Times New Roman"/>
          <w:sz w:val="28"/>
          <w:szCs w:val="28"/>
        </w:rPr>
        <w:t xml:space="preserve">que las disposiciones </w:t>
      </w:r>
      <w:r w:rsidRPr="00152C0F">
        <w:rPr>
          <w:rFonts w:ascii="Times New Roman" w:hAnsi="Times New Roman" w:cs="Times New Roman"/>
          <w:sz w:val="28"/>
          <w:szCs w:val="28"/>
          <w:lang w:val="es-ES" w:eastAsia="es-ES"/>
        </w:rPr>
        <w:t xml:space="preserve">“en realidad, buscan solucionar vacíos o inconsistencias normativas predicables del Código de Extinción de Dominio, las cuales deberían ser solucionadas por vía de una ley ordinaria”. En tercer lugar, </w:t>
      </w:r>
      <w:r w:rsidRPr="00152C0F">
        <w:rPr>
          <w:rFonts w:ascii="Times New Roman" w:hAnsi="Times New Roman" w:cs="Times New Roman"/>
          <w:sz w:val="28"/>
          <w:szCs w:val="28"/>
          <w:lang w:val="es-ES" w:eastAsia="es-ES"/>
        </w:rPr>
        <w:t>indica</w:t>
      </w:r>
      <w:r w:rsidRPr="00152C0F">
        <w:rPr>
          <w:rFonts w:ascii="Times New Roman" w:hAnsi="Times New Roman" w:cs="Times New Roman"/>
          <w:sz w:val="28"/>
          <w:szCs w:val="28"/>
          <w:lang w:val="es-ES" w:eastAsia="es-ES"/>
        </w:rPr>
        <w:t xml:space="preserve"> que las relaciones </w:t>
      </w:r>
      <w:r w:rsidRPr="00152C0F">
        <w:rPr>
          <w:rFonts w:ascii="Times New Roman" w:hAnsi="Times New Roman" w:cs="Times New Roman"/>
          <w:sz w:val="28"/>
          <w:szCs w:val="28"/>
          <w:lang w:val="es-ES" w:eastAsia="es-ES"/>
        </w:rPr>
        <w:t xml:space="preserve">entre el contenido normativo </w:t>
      </w:r>
      <w:r w:rsidRPr="00152C0F">
        <w:rPr>
          <w:rFonts w:ascii="Times New Roman" w:hAnsi="Times New Roman" w:cs="Times New Roman"/>
          <w:sz w:val="28"/>
          <w:szCs w:val="28"/>
          <w:lang w:val="es-ES" w:eastAsia="es-ES"/>
        </w:rPr>
        <w:t xml:space="preserve">de las disposiciones y las bases del plan “son artificiosas y remotas, en tanto que no develan </w:t>
      </w:r>
      <w:r w:rsidRPr="00152C0F">
        <w:rPr>
          <w:rFonts w:ascii="Times New Roman" w:hAnsi="Times New Roman" w:cs="Times New Roman"/>
          <w:sz w:val="28"/>
          <w:szCs w:val="28"/>
          <w:lang w:val="es-ES" w:eastAsia="es-ES"/>
        </w:rPr>
        <w:t xml:space="preserve">[sic] </w:t>
      </w:r>
      <w:r w:rsidRPr="00152C0F">
        <w:rPr>
          <w:rFonts w:ascii="Times New Roman" w:hAnsi="Times New Roman" w:cs="Times New Roman"/>
          <w:sz w:val="28"/>
          <w:szCs w:val="28"/>
          <w:lang w:val="es-ES" w:eastAsia="es-ES"/>
        </w:rPr>
        <w:t>un vínculo de conexidad estrecho y específico”</w:t>
      </w:r>
      <w:r w:rsidRPr="00152C0F">
        <w:rPr>
          <w:rFonts w:ascii="Times New Roman" w:hAnsi="Times New Roman" w:cs="Times New Roman"/>
          <w:sz w:val="28"/>
          <w:szCs w:val="28"/>
          <w:lang w:val="es-ES" w:eastAsia="es-ES"/>
        </w:rPr>
        <w:t>; “ni en las bases del PND ni en ninguna de las 28 líneas y casi 180 proyectos del PND se encuentran un desar</w:t>
      </w:r>
      <w:r w:rsidRPr="00152C0F">
        <w:rPr>
          <w:rFonts w:ascii="Times New Roman" w:hAnsi="Times New Roman" w:cs="Times New Roman"/>
          <w:sz w:val="28"/>
          <w:szCs w:val="28"/>
          <w:lang w:val="es-ES" w:eastAsia="es-ES"/>
        </w:rPr>
        <w:t xml:space="preserve">rollo concreto y específico que justifique por qué es necesario [sic] la consagración de estas disposiciones”. </w:t>
      </w:r>
      <w:r w:rsidRPr="00152C0F">
        <w:rPr>
          <w:rFonts w:ascii="Times New Roman" w:hAnsi="Times New Roman" w:cs="Times New Roman"/>
          <w:sz w:val="28"/>
          <w:szCs w:val="28"/>
          <w:lang w:val="es-ES" w:eastAsia="es-ES"/>
        </w:rPr>
        <w:t xml:space="preserve">En cuarto lugar, </w:t>
      </w:r>
      <w:r w:rsidRPr="00152C0F">
        <w:rPr>
          <w:rFonts w:ascii="Times New Roman" w:hAnsi="Times New Roman" w:cs="Times New Roman"/>
          <w:sz w:val="28"/>
          <w:szCs w:val="28"/>
          <w:lang w:val="es-ES" w:eastAsia="es-ES"/>
        </w:rPr>
        <w:t xml:space="preserve">precisa que la admisibilidad de estas disposiciones en la ley aprobatoria del plan nacional de desarrollo </w:t>
      </w:r>
      <w:r w:rsidRPr="00152C0F">
        <w:rPr>
          <w:rFonts w:ascii="Times New Roman" w:hAnsi="Times New Roman" w:cs="Times New Roman"/>
          <w:sz w:val="28"/>
          <w:szCs w:val="28"/>
          <w:lang w:val="es-ES" w:eastAsia="es-ES"/>
        </w:rPr>
        <w:t>“en la práctica” vacía</w:t>
      </w:r>
      <w:r w:rsidRPr="00152C0F">
        <w:rPr>
          <w:rFonts w:ascii="Times New Roman" w:hAnsi="Times New Roman" w:cs="Times New Roman"/>
          <w:sz w:val="28"/>
          <w:szCs w:val="28"/>
          <w:lang w:val="es-ES" w:eastAsia="es-ES"/>
        </w:rPr>
        <w:t xml:space="preserve"> “de contenido la competencia del legislador ordinario”.</w:t>
      </w:r>
      <w:r w:rsidRPr="00152C0F">
        <w:rPr>
          <w:rFonts w:ascii="Times New Roman" w:hAnsi="Times New Roman" w:cs="Times New Roman"/>
          <w:sz w:val="28"/>
          <w:szCs w:val="28"/>
          <w:lang w:val="es-ES" w:eastAsia="es-ES"/>
        </w:rPr>
        <w:t xml:space="preserve"> En quinto lugar, </w:t>
      </w:r>
      <w:r w:rsidRPr="00152C0F">
        <w:rPr>
          <w:rFonts w:ascii="Times New Roman" w:hAnsi="Times New Roman" w:cs="Times New Roman"/>
          <w:sz w:val="28"/>
          <w:szCs w:val="28"/>
          <w:lang w:val="es-ES" w:eastAsia="es-ES"/>
        </w:rPr>
        <w:t xml:space="preserve">afirma </w:t>
      </w:r>
      <w:r w:rsidRPr="00152C0F">
        <w:rPr>
          <w:rFonts w:ascii="Times New Roman" w:hAnsi="Times New Roman" w:cs="Times New Roman"/>
          <w:sz w:val="28"/>
          <w:szCs w:val="28"/>
          <w:lang w:val="es-ES" w:eastAsia="es-ES"/>
        </w:rPr>
        <w:t>que no existe una relación “íntima</w:t>
      </w:r>
      <w:r w:rsidRPr="00152C0F">
        <w:rPr>
          <w:rFonts w:ascii="Times New Roman" w:hAnsi="Times New Roman" w:cs="Times New Roman"/>
          <w:sz w:val="28"/>
          <w:szCs w:val="28"/>
          <w:lang w:val="es-ES" w:eastAsia="es-ES"/>
        </w:rPr>
        <w:t xml:space="preserve"> y necesaria</w:t>
      </w:r>
      <w:r w:rsidRPr="00152C0F">
        <w:rPr>
          <w:rFonts w:ascii="Times New Roman" w:hAnsi="Times New Roman" w:cs="Times New Roman"/>
          <w:sz w:val="28"/>
          <w:szCs w:val="28"/>
          <w:lang w:val="es-ES" w:eastAsia="es-ES"/>
        </w:rPr>
        <w:t>”</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“entre una medida de este tipo y las políticas de Gobierno”, carga argumentativa que debe estar contenida en las bases del plan. Finalmente, </w:t>
      </w:r>
      <w:r w:rsidRPr="00152C0F">
        <w:rPr>
          <w:rFonts w:ascii="Times New Roman" w:hAnsi="Times New Roman" w:cs="Times New Roman"/>
          <w:sz w:val="28"/>
          <w:szCs w:val="28"/>
          <w:lang w:val="es-ES" w:eastAsia="es-ES"/>
        </w:rPr>
        <w:t xml:space="preserve">señala que “el principio de unidad de materia se puede ver conculcado cuando la medida normativa objeto de control </w:t>
      </w:r>
      <w:r w:rsidRPr="00152C0F">
        <w:rPr>
          <w:rFonts w:ascii="Times New Roman" w:hAnsi="Times New Roman" w:cs="Times New Roman"/>
          <w:sz w:val="28"/>
          <w:szCs w:val="28"/>
          <w:lang w:val="es-ES" w:eastAsia="es-ES"/>
        </w:rPr>
        <w:t xml:space="preserve">constitucional es, en realidad, autónoma e independiente a la ley del PND”, como aquí ocurre, </w:t>
      </w:r>
      <w:r w:rsidRPr="00152C0F">
        <w:rPr>
          <w:rFonts w:ascii="Times New Roman" w:hAnsi="Times New Roman" w:cs="Times New Roman"/>
          <w:sz w:val="28"/>
          <w:szCs w:val="28"/>
          <w:lang w:val="es-ES" w:eastAsia="es-ES"/>
        </w:rPr>
        <w:t>lo que da lugar a “una elusión material del debate” legislativo,</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si se considera que </w:t>
      </w:r>
      <w:r w:rsidRPr="00152C0F">
        <w:rPr>
          <w:rFonts w:ascii="Times New Roman" w:hAnsi="Times New Roman" w:cs="Times New Roman"/>
          <w:sz w:val="28"/>
          <w:szCs w:val="28"/>
          <w:lang w:val="es-ES" w:eastAsia="es-ES"/>
        </w:rPr>
        <w:t>las disposiciones demandadas “constituyen un tema autónomo e independiente po</w:t>
      </w:r>
      <w:r w:rsidRPr="00152C0F">
        <w:rPr>
          <w:rFonts w:ascii="Times New Roman" w:hAnsi="Times New Roman" w:cs="Times New Roman"/>
          <w:sz w:val="28"/>
          <w:szCs w:val="28"/>
          <w:lang w:val="es-ES" w:eastAsia="es-ES"/>
        </w:rPr>
        <w:t>r cuanto reforman, con vocación de permanencia, el Código de extinción de dominio (Ley 1708 de 2014), sin que ello persiga un fin planificador relacionado con el cumplimiento cuatrianual de las metas propuestas”.</w:t>
      </w:r>
    </w:p>
    <w:p w:rsidR="00CD1AA7" w:rsidRPr="00152C0F" w:rsidRDefault="00152C0F" w:rsidP="00B109F5">
      <w:pPr>
        <w:pStyle w:val="Prrafodelista"/>
        <w:ind w:left="0"/>
        <w:jc w:val="both"/>
        <w:rPr>
          <w:rFonts w:ascii="Times New Roman" w:hAnsi="Times New Roman" w:cs="Times New Roman"/>
          <w:sz w:val="28"/>
          <w:szCs w:val="28"/>
          <w:lang w:val="es-ES" w:eastAsia="es-ES"/>
        </w:rPr>
      </w:pPr>
    </w:p>
    <w:p w:rsidR="00EF0822" w:rsidRPr="00152C0F" w:rsidRDefault="00152C0F" w:rsidP="00A553C9">
      <w:pPr>
        <w:jc w:val="both"/>
        <w:rPr>
          <w:rFonts w:ascii="Times New Roman" w:hAnsi="Times New Roman" w:cs="Times New Roman"/>
          <w:sz w:val="28"/>
          <w:szCs w:val="28"/>
          <w:lang w:val="es-ES_tradnl"/>
        </w:rPr>
      </w:pPr>
    </w:p>
    <w:p w:rsidR="008278C2" w:rsidRPr="00152C0F" w:rsidRDefault="00152C0F" w:rsidP="00A17EA0">
      <w:pPr>
        <w:pStyle w:val="Estilo1"/>
        <w:numPr>
          <w:ilvl w:val="0"/>
          <w:numId w:val="1"/>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 xml:space="preserve">CONCEPTO DE LA PROCURADORA GENERAL DE LA </w:t>
      </w:r>
      <w:r w:rsidRPr="00152C0F">
        <w:rPr>
          <w:rStyle w:val="Ttulo1Car"/>
          <w:rFonts w:ascii="Times New Roman" w:hAnsi="Times New Roman" w:cs="Times New Roman"/>
          <w:bCs/>
          <w:color w:val="auto"/>
          <w:sz w:val="28"/>
          <w:szCs w:val="28"/>
        </w:rPr>
        <w:t>NACIÓN</w:t>
      </w:r>
    </w:p>
    <w:p w:rsidR="009D02BA" w:rsidRPr="00152C0F" w:rsidRDefault="00152C0F" w:rsidP="00A553C9">
      <w:pPr>
        <w:pStyle w:val="Prrafodelista"/>
        <w:rPr>
          <w:rFonts w:ascii="Times New Roman" w:hAnsi="Times New Roman" w:cs="Times New Roman"/>
          <w:bCs/>
          <w:sz w:val="28"/>
          <w:szCs w:val="28"/>
        </w:rPr>
      </w:pPr>
    </w:p>
    <w:p w:rsidR="00941149" w:rsidRPr="00152C0F" w:rsidRDefault="00152C0F" w:rsidP="00A17EA0">
      <w:pPr>
        <w:pStyle w:val="Prrafodelista"/>
        <w:numPr>
          <w:ilvl w:val="0"/>
          <w:numId w:val="2"/>
        </w:numPr>
        <w:ind w:left="0" w:firstLine="0"/>
        <w:jc w:val="both"/>
        <w:rPr>
          <w:rFonts w:ascii="Times New Roman" w:hAnsi="Times New Roman" w:cs="Times New Roman"/>
          <w:sz w:val="28"/>
          <w:szCs w:val="28"/>
          <w:lang w:val="es-ES"/>
        </w:rPr>
      </w:pPr>
      <w:r w:rsidRPr="00152C0F">
        <w:rPr>
          <w:rFonts w:ascii="Times New Roman" w:hAnsi="Times New Roman" w:cs="Times New Roman"/>
          <w:bCs/>
          <w:sz w:val="28"/>
          <w:szCs w:val="28"/>
        </w:rPr>
        <w:t xml:space="preserve">Mediante el concepto </w:t>
      </w:r>
      <w:r w:rsidRPr="00152C0F">
        <w:rPr>
          <w:rFonts w:ascii="Times New Roman" w:hAnsi="Times New Roman" w:cs="Times New Roman"/>
          <w:bCs/>
          <w:sz w:val="28"/>
          <w:szCs w:val="28"/>
        </w:rPr>
        <w:t xml:space="preserve">N.° </w:t>
      </w:r>
      <w:r w:rsidRPr="00152C0F">
        <w:rPr>
          <w:rFonts w:ascii="Times New Roman" w:hAnsi="Times New Roman" w:cs="Times New Roman"/>
          <w:bCs/>
          <w:sz w:val="28"/>
          <w:szCs w:val="28"/>
        </w:rPr>
        <w:t>7350</w:t>
      </w:r>
      <w:r w:rsidRPr="00152C0F">
        <w:rPr>
          <w:rFonts w:ascii="Times New Roman" w:hAnsi="Times New Roman" w:cs="Times New Roman"/>
          <w:bCs/>
          <w:sz w:val="28"/>
          <w:szCs w:val="28"/>
        </w:rPr>
        <w:t xml:space="preserve">, de </w:t>
      </w:r>
      <w:r w:rsidRPr="00152C0F">
        <w:rPr>
          <w:rFonts w:ascii="Times New Roman" w:hAnsi="Times New Roman" w:cs="Times New Roman"/>
          <w:bCs/>
          <w:sz w:val="28"/>
          <w:szCs w:val="28"/>
        </w:rPr>
        <w:t>mayo 27 de 2024</w:t>
      </w:r>
      <w:r w:rsidRPr="00152C0F">
        <w:rPr>
          <w:rFonts w:ascii="Times New Roman" w:hAnsi="Times New Roman" w:cs="Times New Roman"/>
          <w:bCs/>
          <w:sz w:val="28"/>
          <w:szCs w:val="28"/>
        </w:rPr>
        <w:t>, la Procuradora General de la Nación solicit</w:t>
      </w:r>
      <w:r w:rsidRPr="00152C0F">
        <w:rPr>
          <w:rFonts w:ascii="Times New Roman" w:hAnsi="Times New Roman" w:cs="Times New Roman"/>
          <w:bCs/>
          <w:sz w:val="28"/>
          <w:szCs w:val="28"/>
        </w:rPr>
        <w:t>a</w:t>
      </w:r>
      <w:r w:rsidRPr="00152C0F">
        <w:rPr>
          <w:rFonts w:ascii="Times New Roman" w:hAnsi="Times New Roman" w:cs="Times New Roman"/>
          <w:bCs/>
          <w:sz w:val="28"/>
          <w:szCs w:val="28"/>
        </w:rPr>
        <w:t xml:space="preserve"> la declaratoria de </w:t>
      </w:r>
      <w:r w:rsidRPr="00152C0F">
        <w:rPr>
          <w:rFonts w:ascii="Times New Roman" w:hAnsi="Times New Roman" w:cs="Times New Roman"/>
          <w:bCs/>
          <w:sz w:val="28"/>
          <w:szCs w:val="28"/>
        </w:rPr>
        <w:t>exequibilidad de las disposiciones demandadas</w:t>
      </w:r>
      <w:r w:rsidRPr="00152C0F">
        <w:rPr>
          <w:rFonts w:ascii="Times New Roman" w:hAnsi="Times New Roman" w:cs="Times New Roman"/>
          <w:bCs/>
          <w:sz w:val="28"/>
          <w:szCs w:val="28"/>
        </w:rPr>
        <w:t xml:space="preserve">, </w:t>
      </w:r>
      <w:r w:rsidRPr="00152C0F">
        <w:rPr>
          <w:rFonts w:ascii="Times New Roman" w:hAnsi="Times New Roman" w:cs="Times New Roman"/>
          <w:bCs/>
          <w:sz w:val="28"/>
          <w:szCs w:val="28"/>
        </w:rPr>
        <w:t>“</w:t>
      </w:r>
      <w:r w:rsidRPr="00152C0F">
        <w:rPr>
          <w:rFonts w:ascii="Times New Roman" w:hAnsi="Times New Roman" w:cs="Times New Roman"/>
          <w:bCs/>
          <w:sz w:val="28"/>
          <w:szCs w:val="28"/>
        </w:rPr>
        <w:t xml:space="preserve">ya que es posible identificar una conexidad razonable entre las metas del Plan </w:t>
      </w:r>
      <w:r w:rsidRPr="00152C0F">
        <w:rPr>
          <w:rFonts w:ascii="Times New Roman" w:hAnsi="Times New Roman" w:cs="Times New Roman"/>
          <w:bCs/>
          <w:sz w:val="28"/>
          <w:szCs w:val="28"/>
        </w:rPr>
        <w:t>Nacional de Desarrollo 2022-2026 y las disposiciones acusadas”.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A</w:t>
      </w:r>
      <w:r w:rsidRPr="00152C0F">
        <w:rPr>
          <w:rFonts w:ascii="Times New Roman" w:hAnsi="Times New Roman" w:cs="Times New Roman"/>
          <w:sz w:val="28"/>
          <w:szCs w:val="28"/>
        </w:rPr>
        <w:t xml:space="preserve"> partir de lo indicado en </w:t>
      </w:r>
      <w:r w:rsidRPr="00152C0F">
        <w:rPr>
          <w:rFonts w:ascii="Times New Roman" w:hAnsi="Times New Roman" w:cs="Times New Roman"/>
          <w:sz w:val="28"/>
          <w:szCs w:val="28"/>
        </w:rPr>
        <w:t xml:space="preserve">los conceptos de </w:t>
      </w:r>
      <w:r w:rsidRPr="00152C0F">
        <w:rPr>
          <w:rFonts w:ascii="Times New Roman" w:hAnsi="Times New Roman" w:cs="Times New Roman"/>
          <w:sz w:val="28"/>
          <w:szCs w:val="28"/>
        </w:rPr>
        <w:t>la Secretaría Jurídica de la Presidencia de la República</w:t>
      </w:r>
      <w:r w:rsidRPr="00152C0F">
        <w:rPr>
          <w:rFonts w:ascii="Times New Roman" w:hAnsi="Times New Roman" w:cs="Times New Roman"/>
          <w:sz w:val="28"/>
          <w:szCs w:val="28"/>
        </w:rPr>
        <w:t xml:space="preserve"> y del Departamento Nacional de Planeación</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afirma que</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las disposiciones </w:t>
      </w:r>
      <w:r w:rsidRPr="00152C0F">
        <w:rPr>
          <w:rFonts w:ascii="Times New Roman" w:hAnsi="Times New Roman" w:cs="Times New Roman"/>
          <w:sz w:val="28"/>
          <w:szCs w:val="28"/>
        </w:rPr>
        <w:t xml:space="preserve">demandadas son </w:t>
      </w:r>
      <w:r w:rsidRPr="00152C0F">
        <w:rPr>
          <w:rFonts w:ascii="Times New Roman" w:hAnsi="Times New Roman" w:cs="Times New Roman"/>
          <w:sz w:val="28"/>
          <w:szCs w:val="28"/>
        </w:rPr>
        <w:t>“medidas instrumentales”, por medio de las cuales “</w:t>
      </w:r>
      <w:r w:rsidRPr="00152C0F">
        <w:rPr>
          <w:rFonts w:ascii="Times New Roman" w:hAnsi="Times New Roman" w:cs="Times New Roman"/>
          <w:sz w:val="28"/>
          <w:szCs w:val="28"/>
          <w:lang w:val="es-ES"/>
        </w:rPr>
        <w:t>e</w:t>
      </w:r>
      <w:r w:rsidRPr="00152C0F">
        <w:rPr>
          <w:rFonts w:ascii="Times New Roman" w:hAnsi="Times New Roman" w:cs="Times New Roman"/>
          <w:sz w:val="28"/>
          <w:szCs w:val="28"/>
          <w:lang w:val="es-ES"/>
        </w:rPr>
        <w:t>l Congreso de la República modificó la normativa de los procesos de extinción de dominio a efectos de optimizar su efectividad y</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con ello</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cumplir su finalidad social</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Por tanto, “comparte la posición d</w:t>
      </w:r>
      <w:r w:rsidRPr="00152C0F">
        <w:rPr>
          <w:rFonts w:ascii="Times New Roman" w:hAnsi="Times New Roman" w:cs="Times New Roman"/>
          <w:sz w:val="28"/>
          <w:szCs w:val="28"/>
          <w:lang w:val="es-ES"/>
        </w:rPr>
        <w:t xml:space="preserve">e los intervinientes que ponen de presente la constitucionalidad de las disposiciones demandadas en tanto </w:t>
      </w:r>
      <w:r w:rsidRPr="00152C0F">
        <w:rPr>
          <w:rFonts w:ascii="Times New Roman" w:hAnsi="Times New Roman" w:cs="Times New Roman"/>
          <w:sz w:val="28"/>
          <w:szCs w:val="28"/>
          <w:lang w:val="es-ES"/>
        </w:rPr>
        <w:t>‘e</w:t>
      </w:r>
      <w:r w:rsidRPr="00152C0F">
        <w:rPr>
          <w:rFonts w:ascii="Times New Roman" w:hAnsi="Times New Roman" w:cs="Times New Roman"/>
          <w:sz w:val="28"/>
          <w:szCs w:val="28"/>
          <w:lang w:val="es-ES"/>
        </w:rPr>
        <w:t xml:space="preserve">n la parte general de la ley del Plan Nacional de </w:t>
      </w:r>
      <w:r w:rsidRPr="00152C0F">
        <w:rPr>
          <w:rFonts w:ascii="Times New Roman" w:hAnsi="Times New Roman" w:cs="Times New Roman"/>
          <w:sz w:val="28"/>
          <w:szCs w:val="28"/>
          <w:lang w:val="es-ES"/>
        </w:rPr>
        <w:t>D</w:t>
      </w:r>
      <w:r w:rsidRPr="00152C0F">
        <w:rPr>
          <w:rFonts w:ascii="Times New Roman" w:hAnsi="Times New Roman" w:cs="Times New Roman"/>
          <w:sz w:val="28"/>
          <w:szCs w:val="28"/>
          <w:lang w:val="es-ES"/>
        </w:rPr>
        <w:t>esarrollo</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se contemplan unos objetivos, metas y estrategias cuya materialización o concreción se persigue a través de las normas impugnadas</w:t>
      </w:r>
      <w:r w:rsidRPr="00152C0F">
        <w:rPr>
          <w:rFonts w:ascii="Times New Roman" w:hAnsi="Times New Roman" w:cs="Times New Roman"/>
          <w:sz w:val="28"/>
          <w:szCs w:val="28"/>
          <w:lang w:val="es-ES"/>
        </w:rPr>
        <w:t>’”.</w:t>
      </w:r>
    </w:p>
    <w:p w:rsidR="0022444C" w:rsidRPr="00152C0F" w:rsidRDefault="00152C0F" w:rsidP="00A553C9">
      <w:pPr>
        <w:pStyle w:val="Prrafodelista"/>
        <w:ind w:left="0"/>
        <w:jc w:val="both"/>
        <w:rPr>
          <w:rFonts w:ascii="Times New Roman" w:hAnsi="Times New Roman" w:cs="Times New Roman"/>
          <w:bCs/>
          <w:sz w:val="28"/>
          <w:szCs w:val="28"/>
          <w:lang w:val="es-ES"/>
        </w:rPr>
      </w:pPr>
    </w:p>
    <w:p w:rsidR="00666C43" w:rsidRPr="00152C0F" w:rsidRDefault="00152C0F" w:rsidP="00A553C9">
      <w:pPr>
        <w:jc w:val="both"/>
        <w:rPr>
          <w:rFonts w:ascii="Times New Roman" w:hAnsi="Times New Roman" w:cs="Times New Roman"/>
          <w:b/>
          <w:sz w:val="28"/>
          <w:szCs w:val="28"/>
        </w:rPr>
      </w:pPr>
    </w:p>
    <w:p w:rsidR="0080756E" w:rsidRPr="00152C0F" w:rsidRDefault="00152C0F" w:rsidP="00A17EA0">
      <w:pPr>
        <w:pStyle w:val="Estilo1"/>
        <w:numPr>
          <w:ilvl w:val="0"/>
          <w:numId w:val="1"/>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CONSIDERACIONES</w:t>
      </w:r>
    </w:p>
    <w:p w:rsidR="0080756E" w:rsidRPr="00152C0F" w:rsidRDefault="00152C0F" w:rsidP="00A553C9">
      <w:pPr>
        <w:jc w:val="both"/>
        <w:rPr>
          <w:rFonts w:ascii="Times New Roman" w:hAnsi="Times New Roman" w:cs="Times New Roman"/>
          <w:b/>
          <w:sz w:val="28"/>
          <w:szCs w:val="28"/>
        </w:rPr>
      </w:pPr>
    </w:p>
    <w:p w:rsidR="0080756E" w:rsidRPr="00152C0F" w:rsidRDefault="00152C0F" w:rsidP="00A17EA0">
      <w:pPr>
        <w:pStyle w:val="Estilo1"/>
        <w:numPr>
          <w:ilvl w:val="0"/>
          <w:numId w:val="4"/>
        </w:numPr>
        <w:outlineLvl w:val="0"/>
        <w:rPr>
          <w:rStyle w:val="Ttulo1Car"/>
          <w:rFonts w:ascii="Times New Roman" w:hAnsi="Times New Roman" w:cs="Times New Roman"/>
          <w:color w:val="auto"/>
          <w:sz w:val="28"/>
          <w:szCs w:val="28"/>
        </w:rPr>
      </w:pPr>
      <w:bookmarkStart w:id="4" w:name="_Hlk63325080"/>
      <w:r w:rsidRPr="00152C0F">
        <w:rPr>
          <w:rStyle w:val="Ttulo1Car"/>
          <w:rFonts w:ascii="Times New Roman" w:hAnsi="Times New Roman" w:cs="Times New Roman"/>
          <w:color w:val="auto"/>
          <w:sz w:val="28"/>
          <w:szCs w:val="28"/>
        </w:rPr>
        <w:t>Competencia</w:t>
      </w:r>
    </w:p>
    <w:bookmarkEnd w:id="4"/>
    <w:p w:rsidR="0080756E" w:rsidRPr="00152C0F" w:rsidRDefault="00152C0F" w:rsidP="00A553C9">
      <w:pPr>
        <w:jc w:val="both"/>
        <w:rPr>
          <w:rFonts w:ascii="Times New Roman" w:hAnsi="Times New Roman" w:cs="Times New Roman"/>
          <w:b/>
          <w:sz w:val="28"/>
          <w:szCs w:val="28"/>
        </w:rPr>
      </w:pPr>
    </w:p>
    <w:p w:rsidR="008D65F5" w:rsidRPr="00152C0F" w:rsidRDefault="00152C0F" w:rsidP="00A17EA0">
      <w:pPr>
        <w:pStyle w:val="Prrafodelista"/>
        <w:numPr>
          <w:ilvl w:val="0"/>
          <w:numId w:val="2"/>
        </w:numPr>
        <w:ind w:left="0" w:firstLine="0"/>
        <w:jc w:val="both"/>
        <w:rPr>
          <w:rFonts w:ascii="Times New Roman" w:hAnsi="Times New Roman" w:cs="Times New Roman"/>
          <w:bCs/>
          <w:sz w:val="28"/>
          <w:szCs w:val="28"/>
          <w:lang w:val="es-ES"/>
        </w:rPr>
      </w:pPr>
      <w:r w:rsidRPr="00152C0F">
        <w:rPr>
          <w:rFonts w:ascii="Times New Roman" w:hAnsi="Times New Roman" w:cs="Times New Roman"/>
          <w:sz w:val="28"/>
          <w:szCs w:val="28"/>
        </w:rPr>
        <w:t xml:space="preserve">La Corte Constitucional es competente para </w:t>
      </w:r>
      <w:r w:rsidRPr="00152C0F">
        <w:rPr>
          <w:rFonts w:ascii="Times New Roman" w:hAnsi="Times New Roman" w:cs="Times New Roman"/>
          <w:sz w:val="28"/>
          <w:szCs w:val="28"/>
        </w:rPr>
        <w:t>decidir</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sobre </w:t>
      </w:r>
      <w:r w:rsidRPr="00152C0F">
        <w:rPr>
          <w:rFonts w:ascii="Times New Roman" w:hAnsi="Times New Roman" w:cs="Times New Roman"/>
          <w:sz w:val="28"/>
          <w:szCs w:val="28"/>
        </w:rPr>
        <w:t>la demanda de</w:t>
      </w:r>
      <w:r w:rsidRPr="00152C0F">
        <w:rPr>
          <w:rFonts w:ascii="Times New Roman" w:hAnsi="Times New Roman" w:cs="Times New Roman"/>
          <w:sz w:val="28"/>
          <w:szCs w:val="28"/>
        </w:rPr>
        <w:t xml:space="preserve"> inconstitucionalidad de</w:t>
      </w:r>
      <w:r w:rsidRPr="00152C0F">
        <w:rPr>
          <w:rFonts w:ascii="Times New Roman" w:hAnsi="Times New Roman" w:cs="Times New Roman"/>
          <w:sz w:val="28"/>
          <w:szCs w:val="28"/>
        </w:rPr>
        <w:t xml:space="preserve"> la referencia</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de conformidad con lo dispuesto </w:t>
      </w:r>
      <w:r w:rsidRPr="00152C0F">
        <w:rPr>
          <w:rFonts w:ascii="Times New Roman" w:hAnsi="Times New Roman" w:cs="Times New Roman"/>
          <w:sz w:val="28"/>
          <w:szCs w:val="28"/>
        </w:rPr>
        <w:t>en</w:t>
      </w:r>
      <w:r w:rsidRPr="00152C0F">
        <w:rPr>
          <w:rFonts w:ascii="Times New Roman" w:hAnsi="Times New Roman" w:cs="Times New Roman"/>
          <w:sz w:val="28"/>
          <w:szCs w:val="28"/>
        </w:rPr>
        <w:t xml:space="preserve"> el </w:t>
      </w:r>
      <w:r w:rsidRPr="00152C0F">
        <w:rPr>
          <w:rFonts w:ascii="Times New Roman" w:hAnsi="Times New Roman" w:cs="Times New Roman"/>
          <w:sz w:val="28"/>
          <w:szCs w:val="28"/>
        </w:rPr>
        <w:t>art</w:t>
      </w:r>
      <w:r w:rsidRPr="00152C0F">
        <w:rPr>
          <w:rFonts w:ascii="Times New Roman" w:hAnsi="Times New Roman" w:cs="Times New Roman"/>
          <w:sz w:val="28"/>
          <w:szCs w:val="28"/>
        </w:rPr>
        <w:t>ículo</w:t>
      </w:r>
      <w:r w:rsidRPr="00152C0F">
        <w:rPr>
          <w:rFonts w:ascii="Times New Roman" w:hAnsi="Times New Roman" w:cs="Times New Roman"/>
          <w:sz w:val="28"/>
          <w:szCs w:val="28"/>
        </w:rPr>
        <w:t xml:space="preserve"> 241.4 </w:t>
      </w:r>
      <w:r w:rsidRPr="00152C0F">
        <w:rPr>
          <w:rFonts w:ascii="Times New Roman" w:hAnsi="Times New Roman" w:cs="Times New Roman"/>
          <w:sz w:val="28"/>
          <w:szCs w:val="28"/>
        </w:rPr>
        <w:t>de la Constitución</w:t>
      </w:r>
      <w:r w:rsidRPr="00152C0F">
        <w:rPr>
          <w:rFonts w:ascii="Times New Roman" w:hAnsi="Times New Roman" w:cs="Times New Roman"/>
          <w:sz w:val="28"/>
          <w:szCs w:val="28"/>
        </w:rPr>
        <w:t>, por dirigirse contra disposici</w:t>
      </w:r>
      <w:r w:rsidRPr="00152C0F">
        <w:rPr>
          <w:rFonts w:ascii="Times New Roman" w:hAnsi="Times New Roman" w:cs="Times New Roman"/>
          <w:sz w:val="28"/>
          <w:szCs w:val="28"/>
        </w:rPr>
        <w:t>ones</w:t>
      </w:r>
      <w:r w:rsidRPr="00152C0F">
        <w:rPr>
          <w:rFonts w:ascii="Times New Roman" w:hAnsi="Times New Roman" w:cs="Times New Roman"/>
          <w:sz w:val="28"/>
          <w:szCs w:val="28"/>
        </w:rPr>
        <w:t xml:space="preserve"> contenida</w:t>
      </w:r>
      <w:r w:rsidRPr="00152C0F">
        <w:rPr>
          <w:rFonts w:ascii="Times New Roman" w:hAnsi="Times New Roman" w:cs="Times New Roman"/>
          <w:sz w:val="28"/>
          <w:szCs w:val="28"/>
        </w:rPr>
        <w:t>s</w:t>
      </w:r>
      <w:r w:rsidRPr="00152C0F">
        <w:rPr>
          <w:rFonts w:ascii="Times New Roman" w:hAnsi="Times New Roman" w:cs="Times New Roman"/>
          <w:sz w:val="28"/>
          <w:szCs w:val="28"/>
        </w:rPr>
        <w:t xml:space="preserve"> en </w:t>
      </w:r>
      <w:r w:rsidRPr="00152C0F">
        <w:rPr>
          <w:rFonts w:ascii="Times New Roman" w:hAnsi="Times New Roman" w:cs="Times New Roman"/>
          <w:sz w:val="28"/>
          <w:szCs w:val="28"/>
        </w:rPr>
        <w:t>una ley,</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la Ley 2294 de 2023, “</w:t>
      </w:r>
      <w:r w:rsidRPr="00152C0F">
        <w:rPr>
          <w:rFonts w:ascii="Times New Roman" w:hAnsi="Times New Roman" w:cs="Times New Roman"/>
          <w:sz w:val="28"/>
          <w:szCs w:val="28"/>
        </w:rPr>
        <w:t>[p]</w:t>
      </w:r>
      <w:r w:rsidRPr="00152C0F">
        <w:rPr>
          <w:rFonts w:ascii="Times New Roman" w:hAnsi="Times New Roman" w:cs="Times New Roman"/>
          <w:sz w:val="28"/>
          <w:szCs w:val="28"/>
        </w:rPr>
        <w:t xml:space="preserve">or la cual se expide el Plan Nacional de Desarrollo </w:t>
      </w:r>
      <w:r w:rsidRPr="00152C0F">
        <w:rPr>
          <w:rFonts w:ascii="Times New Roman" w:hAnsi="Times New Roman" w:cs="Times New Roman"/>
          <w:sz w:val="28"/>
          <w:szCs w:val="28"/>
        </w:rPr>
        <w:t>2022-2026. Colombia Potencia Mundial de la Vida”.</w:t>
      </w:r>
    </w:p>
    <w:p w:rsidR="00322D34" w:rsidRPr="00152C0F" w:rsidRDefault="00152C0F" w:rsidP="00A553C9">
      <w:pPr>
        <w:jc w:val="both"/>
        <w:rPr>
          <w:rFonts w:ascii="Times New Roman" w:hAnsi="Times New Roman" w:cs="Times New Roman"/>
          <w:b/>
          <w:sz w:val="28"/>
          <w:szCs w:val="28"/>
        </w:rPr>
      </w:pPr>
    </w:p>
    <w:p w:rsidR="00F70A71" w:rsidRPr="00152C0F" w:rsidRDefault="00152C0F" w:rsidP="00A553C9">
      <w:pPr>
        <w:jc w:val="both"/>
        <w:rPr>
          <w:rFonts w:ascii="Times New Roman" w:hAnsi="Times New Roman" w:cs="Times New Roman"/>
          <w:b/>
          <w:sz w:val="28"/>
          <w:szCs w:val="28"/>
        </w:rPr>
      </w:pPr>
    </w:p>
    <w:p w:rsidR="00F229DB" w:rsidRPr="00152C0F" w:rsidRDefault="00152C0F" w:rsidP="00A17EA0">
      <w:pPr>
        <w:pStyle w:val="Estilo1"/>
        <w:numPr>
          <w:ilvl w:val="0"/>
          <w:numId w:val="4"/>
        </w:numPr>
        <w:outlineLvl w:val="0"/>
        <w:rPr>
          <w:rStyle w:val="Ttulo1Car"/>
          <w:rFonts w:ascii="Times New Roman" w:hAnsi="Times New Roman" w:cs="Times New Roman"/>
          <w:color w:val="auto"/>
          <w:sz w:val="28"/>
          <w:szCs w:val="28"/>
        </w:rPr>
      </w:pPr>
      <w:r w:rsidRPr="00152C0F">
        <w:rPr>
          <w:rStyle w:val="Ttulo1Car"/>
          <w:rFonts w:ascii="Times New Roman" w:hAnsi="Times New Roman" w:cs="Times New Roman"/>
          <w:color w:val="auto"/>
          <w:sz w:val="28"/>
          <w:szCs w:val="28"/>
        </w:rPr>
        <w:t>Cuestión previa: aptitud de la demanda</w:t>
      </w:r>
      <w:r w:rsidRPr="00152C0F">
        <w:rPr>
          <w:rStyle w:val="Refdenotaalpie"/>
          <w:rFonts w:ascii="Times New Roman" w:hAnsi="Times New Roman" w:cs="Times New Roman"/>
          <w:b/>
          <w:bCs/>
        </w:rPr>
        <w:footnoteReference w:id="49"/>
      </w:r>
    </w:p>
    <w:p w:rsidR="00F229DB" w:rsidRPr="00152C0F" w:rsidRDefault="00152C0F" w:rsidP="00A553C9">
      <w:pPr>
        <w:jc w:val="both"/>
        <w:rPr>
          <w:rFonts w:ascii="Times New Roman" w:hAnsi="Times New Roman" w:cs="Times New Roman"/>
          <w:b/>
          <w:sz w:val="28"/>
          <w:szCs w:val="28"/>
        </w:rPr>
      </w:pPr>
    </w:p>
    <w:p w:rsidR="00125960"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Dado que</w:t>
      </w:r>
      <w:r w:rsidRPr="00152C0F">
        <w:rPr>
          <w:rFonts w:ascii="Times New Roman" w:hAnsi="Times New Roman" w:cs="Times New Roman"/>
          <w:sz w:val="28"/>
          <w:szCs w:val="28"/>
        </w:rPr>
        <w:t xml:space="preserve"> en sus conceptos </w:t>
      </w:r>
      <w:r w:rsidRPr="00152C0F">
        <w:rPr>
          <w:rFonts w:ascii="Times New Roman" w:hAnsi="Times New Roman" w:cs="Times New Roman"/>
          <w:sz w:val="28"/>
          <w:szCs w:val="28"/>
        </w:rPr>
        <w:t>el Ministerio de Justicia y del Derecho, la Secretaría Jurídica de la Presidencia de la República y la SAE</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solicitan que la Corte adopte una decisión inhibitoria por ineptitud sustantiva de la demanda, la Sala se pronunciará de manera previa respecto de esta solicitud.</w:t>
      </w:r>
    </w:p>
    <w:p w:rsidR="00125960" w:rsidRPr="00152C0F" w:rsidRDefault="00152C0F" w:rsidP="00125960">
      <w:pPr>
        <w:pStyle w:val="Prrafodelista"/>
        <w:ind w:left="0"/>
        <w:jc w:val="both"/>
        <w:rPr>
          <w:rFonts w:ascii="Times New Roman" w:hAnsi="Times New Roman" w:cs="Times New Roman"/>
          <w:sz w:val="28"/>
          <w:szCs w:val="28"/>
        </w:rPr>
      </w:pPr>
    </w:p>
    <w:p w:rsidR="00127FF5"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Según se precisó en el título 1 </w:t>
      </w:r>
      <w:r w:rsidRPr="00152C0F">
        <w:rPr>
          <w:rFonts w:ascii="Times New Roman" w:hAnsi="Times New Roman" w:cs="Times New Roman"/>
          <w:i/>
          <w:iCs/>
          <w:sz w:val="28"/>
          <w:szCs w:val="28"/>
        </w:rPr>
        <w:t>supra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estas entidades </w:t>
      </w:r>
      <w:r w:rsidRPr="00152C0F">
        <w:rPr>
          <w:rFonts w:ascii="Times New Roman" w:hAnsi="Times New Roman" w:cs="Times New Roman"/>
          <w:sz w:val="28"/>
          <w:szCs w:val="28"/>
        </w:rPr>
        <w:t xml:space="preserve">consideran que la demanda carece de </w:t>
      </w:r>
      <w:r w:rsidRPr="00152C0F">
        <w:rPr>
          <w:rFonts w:ascii="Times New Roman" w:hAnsi="Times New Roman" w:cs="Times New Roman"/>
          <w:sz w:val="28"/>
          <w:szCs w:val="28"/>
        </w:rPr>
        <w:t>claridad, certeza, especificidad, pertinencia y suficiencia</w:t>
      </w:r>
      <w:r w:rsidRPr="00152C0F">
        <w:rPr>
          <w:rFonts w:ascii="Times New Roman" w:hAnsi="Times New Roman" w:cs="Times New Roman"/>
          <w:sz w:val="28"/>
          <w:szCs w:val="28"/>
        </w:rPr>
        <w:t xml:space="preserve">, argumentos </w:t>
      </w:r>
      <w:r w:rsidRPr="00152C0F">
        <w:rPr>
          <w:rFonts w:ascii="Times New Roman" w:hAnsi="Times New Roman" w:cs="Times New Roman"/>
          <w:sz w:val="28"/>
          <w:szCs w:val="28"/>
        </w:rPr>
        <w:t>que se valoran seguidamente.</w:t>
      </w:r>
    </w:p>
    <w:p w:rsidR="00127FF5" w:rsidRPr="00152C0F" w:rsidRDefault="00152C0F" w:rsidP="00127FF5">
      <w:pPr>
        <w:pStyle w:val="Prrafodelista"/>
        <w:rPr>
          <w:rFonts w:ascii="Times New Roman" w:hAnsi="Times New Roman" w:cs="Times New Roman"/>
          <w:sz w:val="28"/>
          <w:szCs w:val="28"/>
        </w:rPr>
      </w:pPr>
    </w:p>
    <w:p w:rsidR="005131DC"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relación con la primera exigencia, </w:t>
      </w:r>
      <w:r w:rsidRPr="00152C0F">
        <w:rPr>
          <w:rFonts w:ascii="Times New Roman" w:hAnsi="Times New Roman" w:cs="Times New Roman"/>
          <w:sz w:val="28"/>
          <w:szCs w:val="28"/>
        </w:rPr>
        <w:t>el argumento propuesto por la SAE</w:t>
      </w:r>
      <w:r w:rsidRPr="00152C0F">
        <w:rPr>
          <w:rFonts w:ascii="Times New Roman" w:hAnsi="Times New Roman" w:cs="Times New Roman"/>
          <w:sz w:val="28"/>
          <w:szCs w:val="28"/>
        </w:rPr>
        <w:t xml:space="preserve">, según el cual en la demanda “no hay una lógica basada en silogismos claros sino </w:t>
      </w:r>
      <w:r w:rsidRPr="00152C0F">
        <w:rPr>
          <w:rFonts w:ascii="Times New Roman" w:hAnsi="Times New Roman" w:cs="Times New Roman"/>
          <w:sz w:val="28"/>
          <w:szCs w:val="28"/>
        </w:rPr>
        <w:t>en premisas meramente enunciativas”,</w:t>
      </w:r>
      <w:r w:rsidRPr="00152C0F">
        <w:rPr>
          <w:rFonts w:ascii="Times New Roman" w:hAnsi="Times New Roman" w:cs="Times New Roman"/>
          <w:sz w:val="28"/>
          <w:szCs w:val="28"/>
        </w:rPr>
        <w:t xml:space="preserve"> es sumamente genérico e indeterminado, razón por la cual no se trata de un verdadero cuestionamiento </w:t>
      </w:r>
      <w:r w:rsidRPr="00152C0F">
        <w:rPr>
          <w:rFonts w:ascii="Times New Roman" w:hAnsi="Times New Roman" w:cs="Times New Roman"/>
          <w:sz w:val="28"/>
          <w:szCs w:val="28"/>
        </w:rPr>
        <w:t xml:space="preserve">a </w:t>
      </w:r>
      <w:r w:rsidRPr="00152C0F">
        <w:rPr>
          <w:rFonts w:ascii="Times New Roman" w:hAnsi="Times New Roman" w:cs="Times New Roman"/>
          <w:sz w:val="28"/>
          <w:szCs w:val="28"/>
        </w:rPr>
        <w:t>la exigencia de claridad de la demanda.</w:t>
      </w:r>
    </w:p>
    <w:p w:rsidR="005131DC" w:rsidRPr="00152C0F" w:rsidRDefault="00152C0F" w:rsidP="00127FF5">
      <w:pPr>
        <w:rPr>
          <w:rFonts w:ascii="Times New Roman" w:hAnsi="Times New Roman" w:cs="Times New Roman"/>
          <w:sz w:val="28"/>
          <w:szCs w:val="28"/>
        </w:rPr>
      </w:pPr>
    </w:p>
    <w:p w:rsidR="00296061"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cuanto a las exigencias de certeza y </w:t>
      </w:r>
      <w:r w:rsidRPr="00152C0F">
        <w:rPr>
          <w:rFonts w:ascii="Times New Roman" w:hAnsi="Times New Roman" w:cs="Times New Roman"/>
          <w:sz w:val="28"/>
          <w:szCs w:val="28"/>
        </w:rPr>
        <w:t xml:space="preserve">pertinencia, los argumentos de las </w:t>
      </w:r>
      <w:r w:rsidRPr="00152C0F">
        <w:rPr>
          <w:rFonts w:ascii="Times New Roman" w:hAnsi="Times New Roman" w:cs="Times New Roman"/>
          <w:sz w:val="28"/>
          <w:szCs w:val="28"/>
        </w:rPr>
        <w:t xml:space="preserve">entidades </w:t>
      </w:r>
      <w:r w:rsidRPr="00152C0F">
        <w:rPr>
          <w:rFonts w:ascii="Times New Roman" w:hAnsi="Times New Roman" w:cs="Times New Roman"/>
          <w:sz w:val="28"/>
          <w:szCs w:val="28"/>
        </w:rPr>
        <w:t>se fundamentan en que</w:t>
      </w:r>
      <w:r w:rsidRPr="00152C0F">
        <w:rPr>
          <w:rFonts w:ascii="Times New Roman" w:hAnsi="Times New Roman" w:cs="Times New Roman"/>
          <w:sz w:val="28"/>
          <w:szCs w:val="28"/>
        </w:rPr>
        <w:t xml:space="preserve"> la lectura que realiza el demandante de las disposiciones </w:t>
      </w:r>
      <w:r w:rsidRPr="00152C0F">
        <w:rPr>
          <w:rFonts w:ascii="Times New Roman" w:hAnsi="Times New Roman" w:cs="Times New Roman"/>
          <w:sz w:val="28"/>
          <w:szCs w:val="28"/>
        </w:rPr>
        <w:t>acusadas</w:t>
      </w:r>
      <w:r w:rsidRPr="00152C0F">
        <w:rPr>
          <w:rFonts w:ascii="Times New Roman" w:hAnsi="Times New Roman" w:cs="Times New Roman"/>
          <w:sz w:val="28"/>
          <w:szCs w:val="28"/>
        </w:rPr>
        <w:t xml:space="preserve">, en </w:t>
      </w:r>
      <w:r w:rsidRPr="00152C0F">
        <w:rPr>
          <w:rFonts w:ascii="Times New Roman" w:hAnsi="Times New Roman" w:cs="Times New Roman"/>
          <w:sz w:val="28"/>
          <w:szCs w:val="28"/>
        </w:rPr>
        <w:t>particular, del artículo 211,</w:t>
      </w:r>
      <w:r w:rsidRPr="00152C0F">
        <w:rPr>
          <w:rFonts w:ascii="Times New Roman" w:hAnsi="Times New Roman" w:cs="Times New Roman"/>
          <w:sz w:val="28"/>
          <w:szCs w:val="28"/>
        </w:rPr>
        <w:t xml:space="preserve"> no es plausible. Esto sería así, </w:t>
      </w:r>
      <w:r w:rsidRPr="00152C0F">
        <w:rPr>
          <w:rFonts w:ascii="Times New Roman" w:hAnsi="Times New Roman" w:cs="Times New Roman"/>
          <w:sz w:val="28"/>
          <w:szCs w:val="28"/>
        </w:rPr>
        <w:t>por cuanto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los bienes administrados por la SAE </w:t>
      </w:r>
      <w:r w:rsidRPr="00152C0F">
        <w:rPr>
          <w:rFonts w:ascii="Times New Roman" w:hAnsi="Times New Roman" w:cs="Times New Roman"/>
          <w:sz w:val="28"/>
          <w:szCs w:val="28"/>
        </w:rPr>
        <w:t xml:space="preserve">solo </w:t>
      </w:r>
      <w:r w:rsidRPr="00152C0F">
        <w:rPr>
          <w:rFonts w:ascii="Times New Roman" w:hAnsi="Times New Roman" w:cs="Times New Roman"/>
          <w:sz w:val="28"/>
          <w:szCs w:val="28"/>
        </w:rPr>
        <w:t xml:space="preserve">son </w:t>
      </w:r>
      <w:r w:rsidRPr="00152C0F">
        <w:rPr>
          <w:rFonts w:ascii="Times New Roman" w:hAnsi="Times New Roman" w:cs="Times New Roman"/>
          <w:sz w:val="28"/>
          <w:szCs w:val="28"/>
        </w:rPr>
        <w:t>propiedad del Estado</w:t>
      </w:r>
      <w:r w:rsidRPr="00152C0F">
        <w:rPr>
          <w:rFonts w:ascii="Times New Roman" w:hAnsi="Times New Roman" w:cs="Times New Roman"/>
          <w:sz w:val="28"/>
          <w:szCs w:val="28"/>
        </w:rPr>
        <w:t xml:space="preserve">, y, </w:t>
      </w:r>
      <w:r w:rsidRPr="00152C0F">
        <w:rPr>
          <w:rFonts w:ascii="Times New Roman" w:hAnsi="Times New Roman" w:cs="Times New Roman"/>
          <w:sz w:val="28"/>
          <w:szCs w:val="28"/>
        </w:rPr>
        <w:t xml:space="preserve">en </w:t>
      </w:r>
      <w:r w:rsidRPr="00152C0F">
        <w:rPr>
          <w:rFonts w:ascii="Times New Roman" w:hAnsi="Times New Roman" w:cs="Times New Roman"/>
          <w:sz w:val="28"/>
          <w:szCs w:val="28"/>
        </w:rPr>
        <w:t>consecuencia</w:t>
      </w:r>
      <w:r w:rsidRPr="00152C0F">
        <w:rPr>
          <w:rFonts w:ascii="Times New Roman" w:hAnsi="Times New Roman" w:cs="Times New Roman"/>
          <w:sz w:val="28"/>
          <w:szCs w:val="28"/>
        </w:rPr>
        <w:t xml:space="preserve">, imprescriptibles, </w:t>
      </w:r>
      <w:r w:rsidRPr="00152C0F">
        <w:rPr>
          <w:rFonts w:ascii="Times New Roman" w:hAnsi="Times New Roman" w:cs="Times New Roman"/>
          <w:sz w:val="28"/>
          <w:szCs w:val="28"/>
        </w:rPr>
        <w:t xml:space="preserve">una vez </w:t>
      </w:r>
      <w:r w:rsidRPr="00152C0F">
        <w:rPr>
          <w:rFonts w:ascii="Times New Roman" w:hAnsi="Times New Roman" w:cs="Times New Roman"/>
          <w:sz w:val="28"/>
          <w:szCs w:val="28"/>
        </w:rPr>
        <w:t>se declar</w:t>
      </w:r>
      <w:r w:rsidRPr="00152C0F">
        <w:rPr>
          <w:rFonts w:ascii="Times New Roman" w:hAnsi="Times New Roman" w:cs="Times New Roman"/>
          <w:sz w:val="28"/>
          <w:szCs w:val="28"/>
        </w:rPr>
        <w:t>a</w:t>
      </w:r>
      <w:r w:rsidRPr="00152C0F">
        <w:rPr>
          <w:rFonts w:ascii="Times New Roman" w:hAnsi="Times New Roman" w:cs="Times New Roman"/>
          <w:sz w:val="28"/>
          <w:szCs w:val="28"/>
        </w:rPr>
        <w:t xml:space="preserve"> la extinción del dominio</w:t>
      </w:r>
      <w:r w:rsidRPr="00152C0F">
        <w:rPr>
          <w:rFonts w:ascii="Times New Roman" w:hAnsi="Times New Roman" w:cs="Times New Roman"/>
          <w:sz w:val="28"/>
          <w:szCs w:val="28"/>
        </w:rPr>
        <w:t xml:space="preserve">, de allí que el demandante yerre al interpretar que </w:t>
      </w:r>
      <w:r w:rsidRPr="00152C0F">
        <w:rPr>
          <w:rFonts w:ascii="Times New Roman" w:hAnsi="Times New Roman" w:cs="Times New Roman"/>
          <w:sz w:val="28"/>
          <w:szCs w:val="28"/>
        </w:rPr>
        <w:t xml:space="preserve">se trata de una disposición innecesaria, puesto que tal declaratoria </w:t>
      </w:r>
      <w:r w:rsidRPr="00152C0F">
        <w:rPr>
          <w:rFonts w:ascii="Times New Roman" w:hAnsi="Times New Roman" w:cs="Times New Roman"/>
          <w:sz w:val="28"/>
          <w:szCs w:val="28"/>
        </w:rPr>
        <w:t xml:space="preserve">–la de imprescriptibilidad– </w:t>
      </w:r>
      <w:r w:rsidRPr="00152C0F">
        <w:rPr>
          <w:rFonts w:ascii="Times New Roman" w:hAnsi="Times New Roman" w:cs="Times New Roman"/>
          <w:sz w:val="28"/>
          <w:szCs w:val="28"/>
        </w:rPr>
        <w:t xml:space="preserve">sí se requiere respecto de los </w:t>
      </w:r>
      <w:r w:rsidRPr="00152C0F">
        <w:rPr>
          <w:rFonts w:ascii="Times New Roman" w:hAnsi="Times New Roman" w:cs="Times New Roman"/>
          <w:sz w:val="28"/>
          <w:szCs w:val="28"/>
        </w:rPr>
        <w:t xml:space="preserve">bienes </w:t>
      </w:r>
      <w:r w:rsidRPr="00152C0F">
        <w:rPr>
          <w:rFonts w:ascii="Times New Roman" w:hAnsi="Times New Roman" w:cs="Times New Roman"/>
          <w:sz w:val="28"/>
          <w:szCs w:val="28"/>
        </w:rPr>
        <w:t>objeto del proceso</w:t>
      </w:r>
      <w:r w:rsidRPr="00152C0F">
        <w:rPr>
          <w:rFonts w:ascii="Times New Roman" w:hAnsi="Times New Roman" w:cs="Times New Roman"/>
          <w:sz w:val="28"/>
          <w:szCs w:val="28"/>
        </w:rPr>
        <w:t xml:space="preserve"> que se </w:t>
      </w:r>
      <w:r w:rsidRPr="00152C0F">
        <w:rPr>
          <w:rFonts w:ascii="Times New Roman" w:hAnsi="Times New Roman" w:cs="Times New Roman"/>
          <w:sz w:val="28"/>
          <w:szCs w:val="28"/>
        </w:rPr>
        <w:t>hubiesen decretado medidas cautelares</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p>
    <w:p w:rsidR="00296061" w:rsidRPr="00152C0F" w:rsidRDefault="00152C0F" w:rsidP="00296061">
      <w:pPr>
        <w:rPr>
          <w:rFonts w:ascii="Times New Roman" w:hAnsi="Times New Roman" w:cs="Times New Roman"/>
          <w:sz w:val="28"/>
          <w:szCs w:val="28"/>
        </w:rPr>
      </w:pPr>
    </w:p>
    <w:p w:rsidR="00296061"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relación con estas dos exigencias, </w:t>
      </w:r>
      <w:r w:rsidRPr="00152C0F">
        <w:rPr>
          <w:rFonts w:ascii="Times New Roman" w:hAnsi="Times New Roman" w:cs="Times New Roman"/>
          <w:sz w:val="28"/>
          <w:szCs w:val="28"/>
        </w:rPr>
        <w:t xml:space="preserve">para la Sala, </w:t>
      </w:r>
      <w:r w:rsidRPr="00152C0F">
        <w:rPr>
          <w:rFonts w:ascii="Times New Roman" w:hAnsi="Times New Roman" w:cs="Times New Roman"/>
          <w:sz w:val="28"/>
          <w:szCs w:val="28"/>
        </w:rPr>
        <w:t xml:space="preserve">las entidades dejan de considerar que el objeto específico de la demanda es cuestionar la compatibilidad </w:t>
      </w:r>
      <w:r w:rsidRPr="00152C0F">
        <w:rPr>
          <w:rFonts w:ascii="Times New Roman" w:hAnsi="Times New Roman" w:cs="Times New Roman"/>
          <w:sz w:val="28"/>
          <w:szCs w:val="28"/>
        </w:rPr>
        <w:t xml:space="preserve">de los artículos 211 y 212 con el principio constitucional de unidad de materia, y es respecto de esta relación </w:t>
      </w:r>
      <w:r w:rsidRPr="00152C0F">
        <w:rPr>
          <w:rFonts w:ascii="Times New Roman" w:hAnsi="Times New Roman" w:cs="Times New Roman"/>
          <w:sz w:val="28"/>
          <w:szCs w:val="28"/>
        </w:rPr>
        <w:t xml:space="preserve">de la que </w:t>
      </w:r>
      <w:r w:rsidRPr="00152C0F">
        <w:rPr>
          <w:rFonts w:ascii="Times New Roman" w:hAnsi="Times New Roman" w:cs="Times New Roman"/>
          <w:sz w:val="28"/>
          <w:szCs w:val="28"/>
        </w:rPr>
        <w:t xml:space="preserve">se predica la certeza y pertinencia del cargo. </w:t>
      </w:r>
      <w:r w:rsidRPr="00152C0F">
        <w:rPr>
          <w:rFonts w:ascii="Times New Roman" w:hAnsi="Times New Roman" w:cs="Times New Roman"/>
          <w:sz w:val="28"/>
          <w:szCs w:val="28"/>
        </w:rPr>
        <w:t xml:space="preserve">Así las cosas, </w:t>
      </w:r>
      <w:r w:rsidRPr="00152C0F">
        <w:rPr>
          <w:rFonts w:ascii="Times New Roman" w:hAnsi="Times New Roman" w:cs="Times New Roman"/>
          <w:sz w:val="28"/>
          <w:szCs w:val="28"/>
        </w:rPr>
        <w:t xml:space="preserve">el hecho de que sea posible evidenciar, como lo precisaron </w:t>
      </w:r>
      <w:r w:rsidRPr="00152C0F">
        <w:rPr>
          <w:rFonts w:ascii="Times New Roman" w:hAnsi="Times New Roman" w:cs="Times New Roman"/>
          <w:sz w:val="28"/>
          <w:szCs w:val="28"/>
        </w:rPr>
        <w:t xml:space="preserve">algunas </w:t>
      </w:r>
      <w:r w:rsidRPr="00152C0F">
        <w:rPr>
          <w:rFonts w:ascii="Times New Roman" w:hAnsi="Times New Roman" w:cs="Times New Roman"/>
          <w:sz w:val="28"/>
          <w:szCs w:val="28"/>
        </w:rPr>
        <w:t>entid</w:t>
      </w:r>
      <w:r w:rsidRPr="00152C0F">
        <w:rPr>
          <w:rFonts w:ascii="Times New Roman" w:hAnsi="Times New Roman" w:cs="Times New Roman"/>
          <w:sz w:val="28"/>
          <w:szCs w:val="28"/>
        </w:rPr>
        <w:t xml:space="preserve">ades en sus conceptos, que </w:t>
      </w:r>
      <w:r w:rsidRPr="00152C0F">
        <w:rPr>
          <w:rFonts w:ascii="Times New Roman" w:hAnsi="Times New Roman" w:cs="Times New Roman"/>
          <w:sz w:val="28"/>
          <w:szCs w:val="28"/>
        </w:rPr>
        <w:t>el artículo 211 de la Ley 2294 de 2023</w:t>
      </w:r>
      <w:r w:rsidRPr="00152C0F">
        <w:rPr>
          <w:rFonts w:ascii="Times New Roman" w:hAnsi="Times New Roman" w:cs="Times New Roman"/>
          <w:sz w:val="28"/>
          <w:szCs w:val="28"/>
        </w:rPr>
        <w:t xml:space="preserve"> es necesario para justificar la imprescriptibilidad de los bienes objeto del proceso de extinción de dominio </w:t>
      </w:r>
      <w:r w:rsidRPr="00152C0F">
        <w:rPr>
          <w:rFonts w:ascii="Times New Roman" w:hAnsi="Times New Roman" w:cs="Times New Roman"/>
          <w:sz w:val="28"/>
          <w:szCs w:val="28"/>
        </w:rPr>
        <w:t xml:space="preserve">respecto de los cuales </w:t>
      </w:r>
      <w:r w:rsidRPr="00152C0F">
        <w:rPr>
          <w:rFonts w:ascii="Times New Roman" w:hAnsi="Times New Roman" w:cs="Times New Roman"/>
          <w:sz w:val="28"/>
          <w:szCs w:val="28"/>
        </w:rPr>
        <w:t>se hubiesen decretado medidas cautelares</w:t>
      </w:r>
      <w:r w:rsidRPr="00152C0F">
        <w:rPr>
          <w:rStyle w:val="Refdenotaalpie"/>
          <w:rFonts w:ascii="Times New Roman" w:hAnsi="Times New Roman" w:cs="Times New Roman"/>
          <w:sz w:val="28"/>
          <w:szCs w:val="28"/>
        </w:rPr>
        <w:footnoteReference w:id="50"/>
      </w:r>
      <w:r w:rsidRPr="00152C0F">
        <w:rPr>
          <w:rFonts w:ascii="Times New Roman" w:hAnsi="Times New Roman" w:cs="Times New Roman"/>
          <w:sz w:val="28"/>
          <w:szCs w:val="28"/>
        </w:rPr>
        <w:t>, no solo corresp</w:t>
      </w:r>
      <w:r w:rsidRPr="00152C0F">
        <w:rPr>
          <w:rFonts w:ascii="Times New Roman" w:hAnsi="Times New Roman" w:cs="Times New Roman"/>
          <w:sz w:val="28"/>
          <w:szCs w:val="28"/>
        </w:rPr>
        <w:t xml:space="preserve">onde a una valoración </w:t>
      </w:r>
      <w:r w:rsidRPr="00152C0F">
        <w:rPr>
          <w:rFonts w:ascii="Times New Roman" w:hAnsi="Times New Roman" w:cs="Times New Roman"/>
          <w:sz w:val="28"/>
          <w:szCs w:val="28"/>
        </w:rPr>
        <w:t xml:space="preserve">acerca </w:t>
      </w:r>
      <w:r w:rsidRPr="00152C0F">
        <w:rPr>
          <w:rFonts w:ascii="Times New Roman" w:hAnsi="Times New Roman" w:cs="Times New Roman"/>
          <w:sz w:val="28"/>
          <w:szCs w:val="28"/>
        </w:rPr>
        <w:t>del fondo de la demanda sino, además</w:t>
      </w:r>
      <w:r w:rsidRPr="00152C0F">
        <w:rPr>
          <w:rFonts w:ascii="Times New Roman" w:hAnsi="Times New Roman" w:cs="Times New Roman"/>
          <w:sz w:val="28"/>
          <w:szCs w:val="28"/>
        </w:rPr>
        <w:t xml:space="preserve">, hace que </w:t>
      </w:r>
      <w:r w:rsidRPr="00152C0F">
        <w:rPr>
          <w:rFonts w:ascii="Times New Roman" w:hAnsi="Times New Roman" w:cs="Times New Roman"/>
          <w:sz w:val="28"/>
          <w:szCs w:val="28"/>
        </w:rPr>
        <w:t xml:space="preserve">sea cierto </w:t>
      </w:r>
      <w:r w:rsidRPr="00152C0F">
        <w:rPr>
          <w:rFonts w:ascii="Times New Roman" w:hAnsi="Times New Roman" w:cs="Times New Roman"/>
          <w:sz w:val="28"/>
          <w:szCs w:val="28"/>
        </w:rPr>
        <w:t>inferir que se trata de una medida de carácter permanente, que, sin duda, supera el periodo cuatrienal de gobierno, y, por tanto, se</w:t>
      </w:r>
      <w:r w:rsidRPr="00152C0F">
        <w:rPr>
          <w:rFonts w:ascii="Times New Roman" w:hAnsi="Times New Roman" w:cs="Times New Roman"/>
          <w:sz w:val="28"/>
          <w:szCs w:val="28"/>
        </w:rPr>
        <w:t xml:space="preserve"> debe </w:t>
      </w:r>
      <w:r w:rsidRPr="00152C0F">
        <w:rPr>
          <w:rFonts w:ascii="Times New Roman" w:hAnsi="Times New Roman" w:cs="Times New Roman"/>
          <w:sz w:val="28"/>
          <w:szCs w:val="28"/>
        </w:rPr>
        <w:t xml:space="preserve">valorar </w:t>
      </w:r>
      <w:r w:rsidRPr="00152C0F">
        <w:rPr>
          <w:rFonts w:ascii="Times New Roman" w:hAnsi="Times New Roman" w:cs="Times New Roman"/>
          <w:sz w:val="28"/>
          <w:szCs w:val="28"/>
        </w:rPr>
        <w:t xml:space="preserve">si </w:t>
      </w:r>
      <w:r w:rsidRPr="00152C0F">
        <w:rPr>
          <w:rFonts w:ascii="Times New Roman" w:hAnsi="Times New Roman" w:cs="Times New Roman"/>
          <w:sz w:val="28"/>
          <w:szCs w:val="28"/>
        </w:rPr>
        <w:t xml:space="preserve">es compatible con la exigencia de aquel parámetro de control, </w:t>
      </w:r>
      <w:r w:rsidRPr="00152C0F">
        <w:rPr>
          <w:rFonts w:ascii="Times New Roman" w:hAnsi="Times New Roman" w:cs="Times New Roman"/>
          <w:sz w:val="28"/>
          <w:szCs w:val="28"/>
        </w:rPr>
        <w:t>en los términos de la jurisprudencia constitucional</w:t>
      </w:r>
      <w:r w:rsidRPr="00152C0F">
        <w:rPr>
          <w:rStyle w:val="Refdenotaalpie"/>
          <w:rFonts w:ascii="Times New Roman" w:hAnsi="Times New Roman" w:cs="Times New Roman"/>
          <w:sz w:val="28"/>
          <w:szCs w:val="28"/>
        </w:rPr>
        <w:footnoteReference w:id="51"/>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Ahora bien, </w:t>
      </w:r>
      <w:r w:rsidRPr="00152C0F">
        <w:rPr>
          <w:rFonts w:ascii="Times New Roman" w:hAnsi="Times New Roman" w:cs="Times New Roman"/>
          <w:sz w:val="28"/>
          <w:szCs w:val="28"/>
        </w:rPr>
        <w:t>de la constatación de la certeza del cargo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no se sigue que esta corresponde a una valoración de</w:t>
      </w:r>
      <w:r w:rsidRPr="00152C0F">
        <w:rPr>
          <w:rFonts w:ascii="Times New Roman" w:hAnsi="Times New Roman" w:cs="Times New Roman"/>
          <w:sz w:val="28"/>
          <w:szCs w:val="28"/>
        </w:rPr>
        <w:t>l</w:t>
      </w:r>
      <w:r w:rsidRPr="00152C0F">
        <w:rPr>
          <w:rFonts w:ascii="Times New Roman" w:hAnsi="Times New Roman" w:cs="Times New Roman"/>
          <w:sz w:val="28"/>
          <w:szCs w:val="28"/>
        </w:rPr>
        <w:t xml:space="preserve"> fondo de la demanda, </w:t>
      </w:r>
      <w:r w:rsidRPr="00152C0F">
        <w:rPr>
          <w:rFonts w:ascii="Times New Roman" w:hAnsi="Times New Roman" w:cs="Times New Roman"/>
          <w:sz w:val="28"/>
          <w:szCs w:val="28"/>
        </w:rPr>
        <w:t xml:space="preserve">por cuanto </w:t>
      </w:r>
      <w:r w:rsidRPr="00152C0F">
        <w:rPr>
          <w:rFonts w:ascii="Times New Roman" w:hAnsi="Times New Roman" w:cs="Times New Roman"/>
          <w:sz w:val="28"/>
          <w:szCs w:val="28"/>
        </w:rPr>
        <w:t xml:space="preserve">una cosa es la aptitud de la acusación y otra </w:t>
      </w:r>
      <w:r w:rsidRPr="00152C0F">
        <w:rPr>
          <w:rFonts w:ascii="Times New Roman" w:hAnsi="Times New Roman" w:cs="Times New Roman"/>
          <w:sz w:val="28"/>
          <w:szCs w:val="28"/>
        </w:rPr>
        <w:t xml:space="preserve">su </w:t>
      </w:r>
      <w:r w:rsidRPr="00152C0F">
        <w:rPr>
          <w:rFonts w:ascii="Times New Roman" w:hAnsi="Times New Roman" w:cs="Times New Roman"/>
          <w:sz w:val="28"/>
          <w:szCs w:val="28"/>
        </w:rPr>
        <w:t xml:space="preserve">prosperidad. </w:t>
      </w:r>
      <w:r w:rsidRPr="00152C0F">
        <w:rPr>
          <w:rFonts w:ascii="Times New Roman" w:hAnsi="Times New Roman" w:cs="Times New Roman"/>
          <w:sz w:val="28"/>
          <w:szCs w:val="28"/>
        </w:rPr>
        <w:t xml:space="preserve">En consecuencia, </w:t>
      </w:r>
      <w:r w:rsidRPr="00152C0F">
        <w:rPr>
          <w:rFonts w:ascii="Times New Roman" w:hAnsi="Times New Roman" w:cs="Times New Roman"/>
          <w:sz w:val="28"/>
          <w:szCs w:val="28"/>
        </w:rPr>
        <w:t xml:space="preserve">a diferencia del planteamiento de las entidades a que se hizo referencia, </w:t>
      </w:r>
      <w:r w:rsidRPr="00152C0F">
        <w:rPr>
          <w:rFonts w:ascii="Times New Roman" w:hAnsi="Times New Roman" w:cs="Times New Roman"/>
          <w:sz w:val="28"/>
          <w:szCs w:val="28"/>
        </w:rPr>
        <w:t xml:space="preserve">las razones de la demanda </w:t>
      </w:r>
      <w:r w:rsidRPr="00152C0F">
        <w:rPr>
          <w:rFonts w:ascii="Times New Roman" w:hAnsi="Times New Roman" w:cs="Times New Roman"/>
          <w:sz w:val="28"/>
          <w:szCs w:val="28"/>
        </w:rPr>
        <w:t xml:space="preserve">son </w:t>
      </w:r>
      <w:r w:rsidRPr="00152C0F">
        <w:rPr>
          <w:rFonts w:ascii="Times New Roman" w:hAnsi="Times New Roman" w:cs="Times New Roman"/>
          <w:sz w:val="28"/>
          <w:szCs w:val="28"/>
        </w:rPr>
        <w:t xml:space="preserve">ciertas y pertinentes respecto del cargo </w:t>
      </w:r>
      <w:r w:rsidRPr="00152C0F">
        <w:rPr>
          <w:rFonts w:ascii="Times New Roman" w:hAnsi="Times New Roman" w:cs="Times New Roman"/>
          <w:sz w:val="28"/>
          <w:szCs w:val="28"/>
        </w:rPr>
        <w:t xml:space="preserve">que </w:t>
      </w:r>
      <w:r w:rsidRPr="00152C0F">
        <w:rPr>
          <w:rFonts w:ascii="Times New Roman" w:hAnsi="Times New Roman" w:cs="Times New Roman"/>
          <w:sz w:val="28"/>
          <w:szCs w:val="28"/>
        </w:rPr>
        <w:t xml:space="preserve">se </w:t>
      </w:r>
      <w:r w:rsidRPr="00152C0F">
        <w:rPr>
          <w:rFonts w:ascii="Times New Roman" w:hAnsi="Times New Roman" w:cs="Times New Roman"/>
          <w:sz w:val="28"/>
          <w:szCs w:val="28"/>
        </w:rPr>
        <w:t>formula.</w:t>
      </w:r>
    </w:p>
    <w:p w:rsidR="00296061" w:rsidRPr="00152C0F" w:rsidRDefault="00152C0F" w:rsidP="00296061">
      <w:pPr>
        <w:rPr>
          <w:rFonts w:ascii="Times New Roman" w:hAnsi="Times New Roman" w:cs="Times New Roman"/>
          <w:sz w:val="28"/>
          <w:szCs w:val="28"/>
        </w:rPr>
      </w:pPr>
    </w:p>
    <w:p w:rsidR="00CF739E"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E</w:t>
      </w:r>
      <w:r w:rsidRPr="00152C0F">
        <w:rPr>
          <w:rFonts w:ascii="Times New Roman" w:hAnsi="Times New Roman" w:cs="Times New Roman"/>
          <w:sz w:val="28"/>
          <w:szCs w:val="28"/>
        </w:rPr>
        <w:t>n r</w:t>
      </w:r>
      <w:r w:rsidRPr="00152C0F">
        <w:rPr>
          <w:rFonts w:ascii="Times New Roman" w:hAnsi="Times New Roman" w:cs="Times New Roman"/>
          <w:sz w:val="28"/>
          <w:szCs w:val="28"/>
        </w:rPr>
        <w:t>elación con las exigencia</w:t>
      </w:r>
      <w:r w:rsidRPr="00152C0F">
        <w:rPr>
          <w:rFonts w:ascii="Times New Roman" w:hAnsi="Times New Roman" w:cs="Times New Roman"/>
          <w:sz w:val="28"/>
          <w:szCs w:val="28"/>
        </w:rPr>
        <w:t>s</w:t>
      </w:r>
      <w:r w:rsidRPr="00152C0F">
        <w:rPr>
          <w:rFonts w:ascii="Times New Roman" w:hAnsi="Times New Roman" w:cs="Times New Roman"/>
          <w:sz w:val="28"/>
          <w:szCs w:val="28"/>
        </w:rPr>
        <w:t xml:space="preserve"> de especificidad y suficiencia, </w:t>
      </w:r>
      <w:r w:rsidRPr="00152C0F">
        <w:rPr>
          <w:rFonts w:ascii="Times New Roman" w:hAnsi="Times New Roman" w:cs="Times New Roman"/>
          <w:sz w:val="28"/>
          <w:szCs w:val="28"/>
        </w:rPr>
        <w:t xml:space="preserve">las autoridades que solicitan la inhibición </w:t>
      </w:r>
      <w:r w:rsidRPr="00152C0F">
        <w:rPr>
          <w:rFonts w:ascii="Times New Roman" w:hAnsi="Times New Roman" w:cs="Times New Roman"/>
          <w:sz w:val="28"/>
          <w:szCs w:val="28"/>
        </w:rPr>
        <w:t>señalan</w:t>
      </w:r>
      <w:r w:rsidRPr="00152C0F">
        <w:rPr>
          <w:rFonts w:ascii="Times New Roman" w:hAnsi="Times New Roman" w:cs="Times New Roman"/>
          <w:sz w:val="28"/>
          <w:szCs w:val="28"/>
        </w:rPr>
        <w:t xml:space="preserve">, en </w:t>
      </w:r>
      <w:r w:rsidRPr="00152C0F">
        <w:rPr>
          <w:rFonts w:ascii="Times New Roman" w:hAnsi="Times New Roman" w:cs="Times New Roman"/>
          <w:sz w:val="28"/>
          <w:szCs w:val="28"/>
        </w:rPr>
        <w:t xml:space="preserve">cuanto a </w:t>
      </w:r>
      <w:r w:rsidRPr="00152C0F">
        <w:rPr>
          <w:rFonts w:ascii="Times New Roman" w:hAnsi="Times New Roman" w:cs="Times New Roman"/>
          <w:sz w:val="28"/>
          <w:szCs w:val="28"/>
        </w:rPr>
        <w:t xml:space="preserve">la primera, </w:t>
      </w:r>
      <w:r w:rsidRPr="00152C0F">
        <w:rPr>
          <w:rFonts w:ascii="Times New Roman" w:hAnsi="Times New Roman" w:cs="Times New Roman"/>
          <w:sz w:val="28"/>
          <w:szCs w:val="28"/>
        </w:rPr>
        <w:t xml:space="preserve">que el demandante no demuestra cómo los artículos 211 y 212 vulneran el principio de unidad de materia, ya que se trata </w:t>
      </w:r>
      <w:r w:rsidRPr="00152C0F">
        <w:rPr>
          <w:rFonts w:ascii="Times New Roman" w:hAnsi="Times New Roman" w:cs="Times New Roman"/>
          <w:sz w:val="28"/>
          <w:szCs w:val="28"/>
        </w:rPr>
        <w:t>de argumentos vagos, que no detallan una contradicción directa con la Constitución</w:t>
      </w:r>
      <w:r w:rsidRPr="00152C0F">
        <w:rPr>
          <w:rFonts w:ascii="Times New Roman" w:hAnsi="Times New Roman" w:cs="Times New Roman"/>
          <w:sz w:val="28"/>
          <w:szCs w:val="28"/>
        </w:rPr>
        <w:t xml:space="preserve">, y </w:t>
      </w:r>
      <w:r w:rsidRPr="00152C0F">
        <w:rPr>
          <w:rFonts w:ascii="Times New Roman" w:hAnsi="Times New Roman" w:cs="Times New Roman"/>
          <w:sz w:val="28"/>
          <w:szCs w:val="28"/>
        </w:rPr>
        <w:t>en cuanto a la segunda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ya que la demanda “no logra desvirtuar el hecho de que las normas demandadas, al estar en concordancia con los artículos 208 a 210 de la mi</w:t>
      </w:r>
      <w:r w:rsidRPr="00152C0F">
        <w:rPr>
          <w:rFonts w:ascii="Times New Roman" w:hAnsi="Times New Roman" w:cs="Times New Roman"/>
          <w:sz w:val="28"/>
          <w:szCs w:val="28"/>
        </w:rPr>
        <w:t>s</w:t>
      </w:r>
      <w:r w:rsidRPr="00152C0F">
        <w:rPr>
          <w:rFonts w:ascii="Times New Roman" w:hAnsi="Times New Roman" w:cs="Times New Roman"/>
          <w:sz w:val="28"/>
          <w:szCs w:val="28"/>
        </w:rPr>
        <w:t>ma ley</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[sic] </w:t>
      </w:r>
      <w:r w:rsidRPr="00152C0F">
        <w:rPr>
          <w:rFonts w:ascii="Times New Roman" w:hAnsi="Times New Roman" w:cs="Times New Roman"/>
          <w:sz w:val="28"/>
          <w:szCs w:val="28"/>
        </w:rPr>
        <w:t>2294 de 2023, constituyen medidas para impulsar el cumplimiento del Plan Nacional de Desarrollo en cuanto al potencial ingreso al patrimonio del Estado de los bienes sujetos a extinción de dominio”</w:t>
      </w:r>
      <w:r w:rsidRPr="00152C0F">
        <w:rPr>
          <w:rStyle w:val="Refdenotaalpie"/>
          <w:rFonts w:ascii="Times New Roman" w:hAnsi="Times New Roman" w:cs="Times New Roman"/>
          <w:sz w:val="28"/>
          <w:szCs w:val="28"/>
        </w:rPr>
        <w:footnoteReference w:id="52"/>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A diferencia de esta lectura, para la Sala</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el ca</w:t>
      </w:r>
      <w:r w:rsidRPr="00152C0F">
        <w:rPr>
          <w:rFonts w:ascii="Times New Roman" w:hAnsi="Times New Roman" w:cs="Times New Roman"/>
          <w:sz w:val="28"/>
          <w:szCs w:val="28"/>
        </w:rPr>
        <w:t>rgo de la demanda es específico, en la medida en que</w:t>
      </w:r>
      <w:r w:rsidRPr="00152C0F">
        <w:rPr>
          <w:rFonts w:ascii="Times New Roman" w:hAnsi="Times New Roman" w:cs="Times New Roman"/>
          <w:sz w:val="28"/>
          <w:szCs w:val="28"/>
        </w:rPr>
        <w:t xml:space="preserve"> plantea una presunta contradicción entre el carácter permanente de las disposiciones demandadas y el </w:t>
      </w:r>
      <w:r w:rsidRPr="00152C0F">
        <w:rPr>
          <w:rFonts w:ascii="Times New Roman" w:hAnsi="Times New Roman" w:cs="Times New Roman"/>
          <w:sz w:val="28"/>
          <w:szCs w:val="28"/>
        </w:rPr>
        <w:t>esencialmente temporal y planificador de las disposiciones del plan, aspecto que ha recogido la jurisp</w:t>
      </w:r>
      <w:r w:rsidRPr="00152C0F">
        <w:rPr>
          <w:rFonts w:ascii="Times New Roman" w:hAnsi="Times New Roman" w:cs="Times New Roman"/>
          <w:sz w:val="28"/>
          <w:szCs w:val="28"/>
        </w:rPr>
        <w:t>rudencia constitucional para efectos de su control en el principio de unidad de materia respecto de estas disposiciones</w:t>
      </w:r>
      <w:r w:rsidRPr="00152C0F">
        <w:rPr>
          <w:rStyle w:val="Refdenotaalpie"/>
          <w:rFonts w:ascii="Times New Roman" w:hAnsi="Times New Roman" w:cs="Times New Roman"/>
          <w:sz w:val="28"/>
          <w:szCs w:val="28"/>
        </w:rPr>
        <w:footnoteReference w:id="53"/>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Finalmente, el cargo de la demanda es suficiente ya que genera una duda razonable acerca de la constitucionalidad de las disposiciones</w:t>
      </w:r>
      <w:r w:rsidRPr="00152C0F">
        <w:rPr>
          <w:rFonts w:ascii="Times New Roman" w:hAnsi="Times New Roman" w:cs="Times New Roman"/>
          <w:sz w:val="28"/>
          <w:szCs w:val="28"/>
        </w:rPr>
        <w:t xml:space="preserve"> acusadas</w:t>
      </w:r>
      <w:r w:rsidRPr="00152C0F">
        <w:rPr>
          <w:rFonts w:ascii="Times New Roman" w:hAnsi="Times New Roman" w:cs="Times New Roman"/>
          <w:sz w:val="28"/>
          <w:szCs w:val="28"/>
        </w:rPr>
        <w:t>, en relación con el parámetro de control propuesto</w:t>
      </w:r>
      <w:r w:rsidRPr="00152C0F">
        <w:rPr>
          <w:rFonts w:ascii="Times New Roman" w:hAnsi="Times New Roman" w:cs="Times New Roman"/>
          <w:sz w:val="28"/>
          <w:szCs w:val="28"/>
        </w:rPr>
        <w:t xml:space="preserve">; es por esto por lo que, </w:t>
      </w:r>
      <w:r w:rsidRPr="00152C0F">
        <w:rPr>
          <w:rFonts w:ascii="Times New Roman" w:hAnsi="Times New Roman" w:cs="Times New Roman"/>
          <w:sz w:val="28"/>
          <w:szCs w:val="28"/>
        </w:rPr>
        <w:t>aquello que refiere el Ministerio de Justicia y del Derecho</w:t>
      </w:r>
      <w:r w:rsidRPr="00152C0F">
        <w:rPr>
          <w:rFonts w:ascii="Times New Roman" w:hAnsi="Times New Roman" w:cs="Times New Roman"/>
          <w:sz w:val="28"/>
          <w:szCs w:val="28"/>
        </w:rPr>
        <w:t>, más que un reproche respecto a la suficiencia del cargo</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corresponda a </w:t>
      </w:r>
      <w:r w:rsidRPr="00152C0F">
        <w:rPr>
          <w:rFonts w:ascii="Times New Roman" w:hAnsi="Times New Roman" w:cs="Times New Roman"/>
          <w:sz w:val="28"/>
          <w:szCs w:val="28"/>
        </w:rPr>
        <w:t>una valoración de</w:t>
      </w:r>
      <w:r w:rsidRPr="00152C0F">
        <w:rPr>
          <w:rFonts w:ascii="Times New Roman" w:hAnsi="Times New Roman" w:cs="Times New Roman"/>
          <w:sz w:val="28"/>
          <w:szCs w:val="28"/>
        </w:rPr>
        <w:t>l</w:t>
      </w:r>
      <w:r w:rsidRPr="00152C0F">
        <w:rPr>
          <w:rFonts w:ascii="Times New Roman" w:hAnsi="Times New Roman" w:cs="Times New Roman"/>
          <w:sz w:val="28"/>
          <w:szCs w:val="28"/>
        </w:rPr>
        <w:t xml:space="preserve"> fondo del </w:t>
      </w:r>
      <w:r w:rsidRPr="00152C0F">
        <w:rPr>
          <w:rFonts w:ascii="Times New Roman" w:hAnsi="Times New Roman" w:cs="Times New Roman"/>
          <w:sz w:val="28"/>
          <w:szCs w:val="28"/>
        </w:rPr>
        <w:t>cuestiona</w:t>
      </w:r>
      <w:r w:rsidRPr="00152C0F">
        <w:rPr>
          <w:rFonts w:ascii="Times New Roman" w:hAnsi="Times New Roman" w:cs="Times New Roman"/>
          <w:sz w:val="28"/>
          <w:szCs w:val="28"/>
        </w:rPr>
        <w:t>miento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que</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se valorará</w:t>
      </w:r>
      <w:r w:rsidRPr="00152C0F">
        <w:rPr>
          <w:rFonts w:ascii="Times New Roman" w:hAnsi="Times New Roman" w:cs="Times New Roman"/>
          <w:sz w:val="28"/>
          <w:szCs w:val="28"/>
        </w:rPr>
        <w:t xml:space="preserve"> en su momento</w:t>
      </w:r>
      <w:r w:rsidRPr="00152C0F">
        <w:rPr>
          <w:rFonts w:ascii="Times New Roman" w:hAnsi="Times New Roman" w:cs="Times New Roman"/>
          <w:sz w:val="28"/>
          <w:szCs w:val="28"/>
        </w:rPr>
        <w:t>.</w:t>
      </w:r>
    </w:p>
    <w:p w:rsidR="00296061" w:rsidRPr="00152C0F" w:rsidRDefault="00152C0F" w:rsidP="00296061">
      <w:pPr>
        <w:pStyle w:val="Prrafodelista"/>
        <w:ind w:left="0"/>
        <w:jc w:val="both"/>
        <w:rPr>
          <w:rFonts w:ascii="Times New Roman" w:hAnsi="Times New Roman" w:cs="Times New Roman"/>
          <w:sz w:val="28"/>
          <w:szCs w:val="28"/>
        </w:rPr>
      </w:pPr>
    </w:p>
    <w:p w:rsidR="00322D34" w:rsidRPr="00152C0F" w:rsidRDefault="00152C0F" w:rsidP="00A17EA0">
      <w:pPr>
        <w:pStyle w:val="Estilo1"/>
        <w:numPr>
          <w:ilvl w:val="0"/>
          <w:numId w:val="4"/>
        </w:numPr>
        <w:ind w:left="0" w:firstLine="0"/>
        <w:outlineLvl w:val="0"/>
        <w:rPr>
          <w:rStyle w:val="Ttulo1Car"/>
          <w:rFonts w:ascii="Times New Roman" w:hAnsi="Times New Roman" w:cs="Times New Roman"/>
          <w:color w:val="auto"/>
          <w:sz w:val="28"/>
          <w:szCs w:val="28"/>
        </w:rPr>
      </w:pPr>
      <w:r w:rsidRPr="00152C0F">
        <w:rPr>
          <w:rStyle w:val="Ttulo1Car"/>
          <w:rFonts w:ascii="Times New Roman" w:hAnsi="Times New Roman" w:cs="Times New Roman"/>
          <w:color w:val="auto"/>
          <w:sz w:val="28"/>
          <w:szCs w:val="28"/>
        </w:rPr>
        <w:t>Problema jurídico y metodología de decisión</w:t>
      </w:r>
    </w:p>
    <w:p w:rsidR="00322D34" w:rsidRPr="00152C0F" w:rsidRDefault="00152C0F" w:rsidP="00A553C9">
      <w:pPr>
        <w:rPr>
          <w:rFonts w:ascii="Times New Roman" w:hAnsi="Times New Roman" w:cs="Times New Roman"/>
          <w:sz w:val="28"/>
          <w:szCs w:val="28"/>
        </w:rPr>
      </w:pPr>
      <w:bookmarkStart w:id="5" w:name="_Hlk128753364"/>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atención al único cargo </w:t>
      </w:r>
      <w:r w:rsidRPr="00152C0F">
        <w:rPr>
          <w:rFonts w:ascii="Times New Roman" w:hAnsi="Times New Roman" w:cs="Times New Roman"/>
          <w:sz w:val="28"/>
          <w:szCs w:val="28"/>
        </w:rPr>
        <w:t>admitido para estudio</w:t>
      </w:r>
      <w:r w:rsidRPr="00152C0F">
        <w:rPr>
          <w:rFonts w:ascii="Times New Roman" w:hAnsi="Times New Roman" w:cs="Times New Roman"/>
          <w:sz w:val="28"/>
          <w:szCs w:val="28"/>
        </w:rPr>
        <w:t xml:space="preserve"> y a </w:t>
      </w:r>
      <w:r w:rsidRPr="00152C0F">
        <w:rPr>
          <w:rFonts w:ascii="Times New Roman" w:hAnsi="Times New Roman" w:cs="Times New Roman"/>
          <w:sz w:val="28"/>
          <w:szCs w:val="28"/>
        </w:rPr>
        <w:t xml:space="preserve">las intervenciones y </w:t>
      </w:r>
      <w:r w:rsidRPr="00152C0F">
        <w:rPr>
          <w:rFonts w:ascii="Times New Roman" w:hAnsi="Times New Roman" w:cs="Times New Roman"/>
          <w:sz w:val="28"/>
          <w:szCs w:val="28"/>
        </w:rPr>
        <w:t xml:space="preserve">conceptos recibidos durante el trámite, </w:t>
      </w:r>
      <w:r w:rsidRPr="00152C0F">
        <w:rPr>
          <w:rFonts w:ascii="Times New Roman" w:hAnsi="Times New Roman" w:cs="Times New Roman"/>
          <w:sz w:val="28"/>
          <w:szCs w:val="28"/>
        </w:rPr>
        <w:t xml:space="preserve">le </w:t>
      </w:r>
      <w:r w:rsidRPr="00152C0F">
        <w:rPr>
          <w:rFonts w:ascii="Times New Roman" w:hAnsi="Times New Roman" w:cs="Times New Roman"/>
          <w:sz w:val="28"/>
          <w:szCs w:val="28"/>
        </w:rPr>
        <w:t xml:space="preserve">corresponde a la Sala decidir si </w:t>
      </w:r>
      <w:r w:rsidRPr="00152C0F">
        <w:rPr>
          <w:rFonts w:ascii="Times New Roman" w:hAnsi="Times New Roman" w:cs="Times New Roman"/>
          <w:sz w:val="28"/>
          <w:szCs w:val="28"/>
        </w:rPr>
        <w:t xml:space="preserve">los </w:t>
      </w:r>
      <w:r w:rsidRPr="00152C0F">
        <w:rPr>
          <w:rFonts w:ascii="Times New Roman" w:hAnsi="Times New Roman" w:cs="Times New Roman"/>
          <w:sz w:val="28"/>
          <w:szCs w:val="28"/>
        </w:rPr>
        <w:t>artículo</w:t>
      </w:r>
      <w:r w:rsidRPr="00152C0F">
        <w:rPr>
          <w:rFonts w:ascii="Times New Roman" w:hAnsi="Times New Roman" w:cs="Times New Roman"/>
          <w:sz w:val="28"/>
          <w:szCs w:val="28"/>
        </w:rPr>
        <w:t>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211 y 212 </w:t>
      </w:r>
      <w:r w:rsidRPr="00152C0F">
        <w:rPr>
          <w:rFonts w:ascii="Times New Roman" w:hAnsi="Times New Roman" w:cs="Times New Roman"/>
          <w:sz w:val="28"/>
          <w:szCs w:val="28"/>
        </w:rPr>
        <w:t>de la Ley 2294 de 2023</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“Por la cual se expide el Plan Nacional de Desarrollo 2022-2026. Colombia Potencia Mundial de la Vida”</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desconoce</w:t>
      </w:r>
      <w:r w:rsidRPr="00152C0F">
        <w:rPr>
          <w:rFonts w:ascii="Times New Roman" w:hAnsi="Times New Roman" w:cs="Times New Roman"/>
          <w:sz w:val="28"/>
          <w:szCs w:val="28"/>
        </w:rPr>
        <w:t>n</w:t>
      </w:r>
      <w:r w:rsidRPr="00152C0F">
        <w:rPr>
          <w:rFonts w:ascii="Times New Roman" w:hAnsi="Times New Roman" w:cs="Times New Roman"/>
          <w:sz w:val="28"/>
          <w:szCs w:val="28"/>
        </w:rPr>
        <w:t xml:space="preserve"> el principio constitucional de unidad de materia (artículos 158 y 169 de la Constitución)</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en cuanto introd</w:t>
      </w:r>
      <w:r w:rsidRPr="00152C0F">
        <w:rPr>
          <w:rFonts w:ascii="Times New Roman" w:hAnsi="Times New Roman" w:cs="Times New Roman"/>
          <w:sz w:val="28"/>
          <w:szCs w:val="28"/>
        </w:rPr>
        <w:t xml:space="preserve">ucen cambios permanentes y estructurales al régimen de extinción de dominio mediante </w:t>
      </w:r>
      <w:r w:rsidRPr="00152C0F">
        <w:rPr>
          <w:rFonts w:ascii="Times New Roman" w:hAnsi="Times New Roman" w:cs="Times New Roman"/>
          <w:sz w:val="28"/>
          <w:szCs w:val="28"/>
        </w:rPr>
        <w:t>ley aprobatoria del plan nacional de desarrollo.</w:t>
      </w:r>
    </w:p>
    <w:p w:rsidR="00C174E7" w:rsidRPr="00152C0F" w:rsidRDefault="00152C0F" w:rsidP="00C174E7">
      <w:pPr>
        <w:pStyle w:val="Prrafodelista"/>
        <w:ind w:left="0"/>
        <w:jc w:val="both"/>
        <w:rPr>
          <w:rFonts w:ascii="Times New Roman" w:hAnsi="Times New Roman" w:cs="Times New Roman"/>
          <w:sz w:val="28"/>
          <w:szCs w:val="28"/>
        </w:rPr>
      </w:pPr>
    </w:p>
    <w:p w:rsidR="00322D34"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Para resolver el problema jurídico, la Sala hará referencia </w:t>
      </w:r>
      <w:r w:rsidRPr="00152C0F">
        <w:rPr>
          <w:rFonts w:ascii="Times New Roman" w:hAnsi="Times New Roman" w:cs="Times New Roman"/>
          <w:sz w:val="28"/>
          <w:szCs w:val="28"/>
        </w:rPr>
        <w:t>al marco constitucional del plan nacional de desarrollo;</w:t>
      </w:r>
      <w:r w:rsidRPr="00152C0F">
        <w:rPr>
          <w:rFonts w:ascii="Times New Roman" w:hAnsi="Times New Roman" w:cs="Times New Roman"/>
          <w:b/>
          <w:bCs/>
          <w:sz w:val="28"/>
          <w:szCs w:val="28"/>
        </w:rPr>
        <w:t xml:space="preserve"> </w:t>
      </w:r>
      <w:r w:rsidRPr="00152C0F">
        <w:rPr>
          <w:rFonts w:ascii="Times New Roman" w:hAnsi="Times New Roman" w:cs="Times New Roman"/>
          <w:sz w:val="28"/>
          <w:szCs w:val="28"/>
        </w:rPr>
        <w:t xml:space="preserve">a </w:t>
      </w:r>
      <w:r w:rsidRPr="00152C0F">
        <w:rPr>
          <w:rFonts w:ascii="Times New Roman" w:hAnsi="Times New Roman" w:cs="Times New Roman"/>
          <w:sz w:val="28"/>
          <w:szCs w:val="28"/>
        </w:rPr>
        <w:t>las características específicas de la ley aprobatoria del plan nacional de desarrollo</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al alcance del principio de unidad de materia como parámetro de control constitucional de esta ley especial, en particular cuando se trata de normas que introducen modif</w:t>
      </w:r>
      <w:r w:rsidRPr="00152C0F">
        <w:rPr>
          <w:rFonts w:ascii="Times New Roman" w:hAnsi="Times New Roman" w:cs="Times New Roman"/>
          <w:sz w:val="28"/>
          <w:szCs w:val="28"/>
        </w:rPr>
        <w:t>icaciones permanentes al ordenamiento jurídico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que</w:t>
      </w:r>
      <w:r w:rsidRPr="00152C0F">
        <w:rPr>
          <w:rFonts w:ascii="Times New Roman" w:hAnsi="Times New Roman" w:cs="Times New Roman"/>
          <w:sz w:val="28"/>
          <w:szCs w:val="28"/>
        </w:rPr>
        <w:t xml:space="preserve"> superan el respectivo cuatrienio</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a partir de estos elementos, </w:t>
      </w:r>
      <w:r w:rsidRPr="00152C0F">
        <w:rPr>
          <w:rFonts w:ascii="Times New Roman" w:hAnsi="Times New Roman" w:cs="Times New Roman"/>
          <w:sz w:val="28"/>
          <w:szCs w:val="28"/>
        </w:rPr>
        <w:t xml:space="preserve">resolverá el problema jurídico propuesto y, finalmente, </w:t>
      </w:r>
      <w:r w:rsidRPr="00152C0F">
        <w:rPr>
          <w:rFonts w:ascii="Times New Roman" w:hAnsi="Times New Roman" w:cs="Times New Roman"/>
          <w:sz w:val="28"/>
          <w:szCs w:val="28"/>
        </w:rPr>
        <w:t>definirá los efectos de la decisión</w:t>
      </w:r>
      <w:r w:rsidRPr="00152C0F">
        <w:rPr>
          <w:rFonts w:ascii="Times New Roman" w:hAnsi="Times New Roman" w:cs="Times New Roman"/>
          <w:sz w:val="28"/>
          <w:szCs w:val="28"/>
        </w:rPr>
        <w:t>.</w:t>
      </w:r>
    </w:p>
    <w:p w:rsidR="00322D34" w:rsidRPr="00152C0F" w:rsidRDefault="00152C0F" w:rsidP="00A553C9">
      <w:pPr>
        <w:rPr>
          <w:rFonts w:ascii="Times New Roman" w:hAnsi="Times New Roman" w:cs="Times New Roman"/>
          <w:sz w:val="28"/>
          <w:szCs w:val="28"/>
        </w:rPr>
      </w:pPr>
      <w:bookmarkStart w:id="6" w:name="_Hlk112755391"/>
      <w:bookmarkEnd w:id="5"/>
    </w:p>
    <w:p w:rsidR="00322D34" w:rsidRPr="00152C0F" w:rsidRDefault="00152C0F" w:rsidP="00A17EA0">
      <w:pPr>
        <w:pStyle w:val="Estilo1"/>
        <w:numPr>
          <w:ilvl w:val="0"/>
          <w:numId w:val="4"/>
        </w:numPr>
        <w:ind w:left="0" w:firstLine="0"/>
        <w:outlineLvl w:val="0"/>
        <w:rPr>
          <w:rStyle w:val="Ttulo1Car"/>
          <w:rFonts w:ascii="Times New Roman" w:hAnsi="Times New Roman" w:cs="Times New Roman"/>
          <w:bCs/>
          <w:color w:val="auto"/>
          <w:sz w:val="28"/>
          <w:szCs w:val="28"/>
        </w:rPr>
      </w:pPr>
      <w:r w:rsidRPr="00152C0F">
        <w:rPr>
          <w:rFonts w:ascii="Times New Roman" w:hAnsi="Times New Roman" w:cs="Times New Roman"/>
          <w:b/>
          <w:bCs/>
        </w:rPr>
        <w:t>E</w:t>
      </w:r>
      <w:r w:rsidRPr="00152C0F">
        <w:rPr>
          <w:rFonts w:ascii="Times New Roman" w:hAnsi="Times New Roman" w:cs="Times New Roman"/>
          <w:b/>
          <w:bCs/>
        </w:rPr>
        <w:t>l plan nacional de desarrollo</w:t>
      </w:r>
      <w:r w:rsidRPr="00152C0F">
        <w:rPr>
          <w:rFonts w:ascii="Times New Roman" w:hAnsi="Times New Roman" w:cs="Times New Roman"/>
          <w:b/>
          <w:bCs/>
        </w:rPr>
        <w:t xml:space="preserve"> en la Constitució</w:t>
      </w:r>
      <w:r w:rsidRPr="00152C0F">
        <w:rPr>
          <w:rFonts w:ascii="Times New Roman" w:hAnsi="Times New Roman" w:cs="Times New Roman"/>
          <w:b/>
          <w:bCs/>
        </w:rPr>
        <w:t>n</w:t>
      </w:r>
      <w:r w:rsidRPr="00152C0F">
        <w:rPr>
          <w:rStyle w:val="Refdenotaalpie"/>
          <w:rFonts w:ascii="Times New Roman" w:eastAsia="Cambria" w:hAnsi="Times New Roman" w:cs="Times New Roman"/>
          <w:b/>
          <w:bCs/>
        </w:rPr>
        <w:footnoteReference w:id="54"/>
      </w:r>
    </w:p>
    <w:p w:rsidR="00322D34" w:rsidRPr="00152C0F" w:rsidRDefault="00152C0F" w:rsidP="00A553C9">
      <w:pPr>
        <w:jc w:val="both"/>
        <w:rPr>
          <w:rFonts w:ascii="Times New Roman" w:hAnsi="Times New Roman" w:cs="Times New Roman"/>
          <w:b/>
          <w:sz w:val="28"/>
          <w:szCs w:val="28"/>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bCs/>
          <w:sz w:val="28"/>
          <w:szCs w:val="28"/>
          <w:shd w:val="clear" w:color="auto" w:fill="FFFFFF"/>
          <w:lang w:val="es-ES_tradnl"/>
        </w:rPr>
        <w:t xml:space="preserve">De conformidad con </w:t>
      </w:r>
      <w:r w:rsidRPr="00152C0F">
        <w:rPr>
          <w:rFonts w:ascii="Times New Roman" w:hAnsi="Times New Roman" w:cs="Times New Roman"/>
          <w:bCs/>
          <w:sz w:val="28"/>
          <w:szCs w:val="28"/>
          <w:shd w:val="clear" w:color="auto" w:fill="FFFFFF"/>
          <w:lang w:val="es-ES_tradnl"/>
        </w:rPr>
        <w:t xml:space="preserve">los artículos 339 y s.s. </w:t>
      </w:r>
      <w:r w:rsidRPr="00152C0F">
        <w:rPr>
          <w:rFonts w:ascii="Times New Roman" w:hAnsi="Times New Roman" w:cs="Times New Roman"/>
          <w:sz w:val="28"/>
          <w:szCs w:val="28"/>
          <w:shd w:val="clear" w:color="auto" w:fill="FFFFFF"/>
        </w:rPr>
        <w:t>de la Constitución</w:t>
      </w:r>
      <w:r w:rsidRPr="00152C0F">
        <w:rPr>
          <w:rFonts w:ascii="Times New Roman" w:hAnsi="Times New Roman" w:cs="Times New Roman"/>
          <w:sz w:val="28"/>
          <w:szCs w:val="28"/>
          <w:shd w:val="clear" w:color="auto" w:fill="FFFFFF"/>
          <w:vertAlign w:val="superscript"/>
        </w:rPr>
        <w:footnoteReference w:id="55"/>
      </w:r>
      <w:r w:rsidRPr="00152C0F">
        <w:rPr>
          <w:rFonts w:ascii="Times New Roman" w:hAnsi="Times New Roman" w:cs="Times New Roman"/>
          <w:sz w:val="28"/>
          <w:szCs w:val="28"/>
          <w:shd w:val="clear" w:color="auto" w:fill="FFFFFF"/>
        </w:rPr>
        <w:t xml:space="preserve"> y la Ley 152 de 1994 </w:t>
      </w:r>
      <w:r w:rsidRPr="00152C0F">
        <w:rPr>
          <w:rFonts w:ascii="Times New Roman" w:hAnsi="Times New Roman" w:cs="Times New Roman"/>
          <w:iCs/>
          <w:sz w:val="28"/>
          <w:szCs w:val="28"/>
          <w:shd w:val="clear" w:color="auto" w:fill="FFFFFF"/>
        </w:rPr>
        <w:t xml:space="preserve">“por la cual se establece la Ley Orgánica del Plan de Desarrollo”, </w:t>
      </w:r>
      <w:r w:rsidRPr="00152C0F">
        <w:rPr>
          <w:rFonts w:ascii="Times New Roman" w:hAnsi="Times New Roman" w:cs="Times New Roman"/>
          <w:sz w:val="28"/>
          <w:szCs w:val="28"/>
          <w:shd w:val="clear" w:color="auto" w:fill="FFFFFF"/>
        </w:rPr>
        <w:t xml:space="preserve">el plan nacional de desarrollo es el principal instrumento de formulación de las estrategias y </w:t>
      </w:r>
      <w:r w:rsidRPr="00152C0F">
        <w:rPr>
          <w:rFonts w:ascii="Times New Roman" w:hAnsi="Times New Roman" w:cs="Times New Roman"/>
          <w:sz w:val="28"/>
          <w:szCs w:val="28"/>
          <w:shd w:val="clear" w:color="auto" w:fill="FFFFFF"/>
        </w:rPr>
        <w:t>orientaciones generales de la política</w:t>
      </w:r>
      <w:r w:rsidRPr="00152C0F">
        <w:rPr>
          <w:rFonts w:ascii="Times New Roman" w:hAnsi="Times New Roman" w:cs="Times New Roman"/>
          <w:sz w:val="28"/>
          <w:szCs w:val="18"/>
          <w:lang w:eastAsia="es-MX"/>
        </w:rPr>
        <w:t xml:space="preserve"> </w:t>
      </w:r>
      <w:r w:rsidRPr="00152C0F">
        <w:rPr>
          <w:rFonts w:ascii="Times New Roman" w:hAnsi="Times New Roman" w:cs="Times New Roman"/>
          <w:sz w:val="28"/>
          <w:szCs w:val="28"/>
          <w:shd w:val="clear" w:color="auto" w:fill="FFFFFF"/>
        </w:rPr>
        <w:t xml:space="preserve">económica, social y ambiental que el </w:t>
      </w:r>
      <w:r w:rsidRPr="00152C0F">
        <w:rPr>
          <w:rFonts w:ascii="Times New Roman" w:hAnsi="Times New Roman" w:cs="Times New Roman"/>
          <w:sz w:val="28"/>
          <w:szCs w:val="28"/>
          <w:shd w:val="clear" w:color="auto" w:fill="FFFFFF"/>
        </w:rPr>
        <w:t>g</w:t>
      </w:r>
      <w:r w:rsidRPr="00152C0F">
        <w:rPr>
          <w:rFonts w:ascii="Times New Roman" w:hAnsi="Times New Roman" w:cs="Times New Roman"/>
          <w:sz w:val="28"/>
          <w:szCs w:val="28"/>
          <w:shd w:val="clear" w:color="auto" w:fill="FFFFFF"/>
        </w:rPr>
        <w:t>obierno</w:t>
      </w:r>
      <w:r w:rsidRPr="00152C0F">
        <w:rPr>
          <w:rFonts w:ascii="Times New Roman" w:hAnsi="Times New Roman" w:cs="Times New Roman"/>
          <w:sz w:val="28"/>
          <w:szCs w:val="28"/>
          <w:shd w:val="clear" w:color="auto" w:fill="FFFFFF"/>
        </w:rPr>
        <w:t xml:space="preserve"> nacional</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 xml:space="preserve">se propone implementar </w:t>
      </w:r>
      <w:r w:rsidRPr="00152C0F">
        <w:rPr>
          <w:rFonts w:ascii="Times New Roman" w:hAnsi="Times New Roman" w:cs="Times New Roman"/>
          <w:sz w:val="28"/>
          <w:szCs w:val="28"/>
          <w:shd w:val="clear" w:color="auto" w:fill="FFFFFF"/>
        </w:rPr>
        <w:t>durante el respectivo período cuatrienal</w:t>
      </w:r>
      <w:r w:rsidRPr="00152C0F">
        <w:rPr>
          <w:rFonts w:ascii="Times New Roman" w:hAnsi="Times New Roman" w:cs="Times New Roman"/>
          <w:sz w:val="28"/>
          <w:szCs w:val="28"/>
          <w:shd w:val="clear" w:color="auto" w:fill="FFFFFF"/>
        </w:rPr>
        <w:t>,</w:t>
      </w:r>
      <w:r w:rsidRPr="00152C0F">
        <w:rPr>
          <w:rFonts w:ascii="Times New Roman" w:hAnsi="Times New Roman" w:cs="Times New Roman"/>
          <w:sz w:val="28"/>
          <w:szCs w:val="28"/>
          <w:shd w:val="clear" w:color="auto" w:fill="FFFFFF"/>
        </w:rPr>
        <w:t xml:space="preserve"> para </w:t>
      </w:r>
      <w:r w:rsidRPr="00152C0F">
        <w:rPr>
          <w:rFonts w:ascii="Times New Roman" w:hAnsi="Times New Roman" w:cs="Times New Roman"/>
          <w:sz w:val="28"/>
          <w:szCs w:val="28"/>
          <w:shd w:val="clear" w:color="auto" w:fill="FFFFFF"/>
        </w:rPr>
        <w:t>avanzar en la consecución de</w:t>
      </w:r>
      <w:r w:rsidRPr="00152C0F">
        <w:rPr>
          <w:rFonts w:ascii="Times New Roman" w:hAnsi="Times New Roman" w:cs="Times New Roman"/>
          <w:sz w:val="28"/>
          <w:szCs w:val="28"/>
          <w:shd w:val="clear" w:color="auto" w:fill="FFFFFF"/>
        </w:rPr>
        <w:t xml:space="preserve"> los objetivos y metas nacionales y sectoriales de la acción est</w:t>
      </w:r>
      <w:r w:rsidRPr="00152C0F">
        <w:rPr>
          <w:rFonts w:ascii="Times New Roman" w:hAnsi="Times New Roman" w:cs="Times New Roman"/>
          <w:sz w:val="28"/>
          <w:szCs w:val="28"/>
          <w:shd w:val="clear" w:color="auto" w:fill="FFFFFF"/>
        </w:rPr>
        <w:t>atal señaladas en el plan</w:t>
      </w:r>
      <w:r w:rsidRPr="00152C0F">
        <w:rPr>
          <w:rStyle w:val="Refdenotaalpie"/>
          <w:rFonts w:ascii="Times New Roman" w:hAnsi="Times New Roman" w:cs="Times New Roman"/>
          <w:bCs/>
          <w:sz w:val="28"/>
          <w:szCs w:val="28"/>
          <w:shd w:val="clear" w:color="auto" w:fill="FFFFFF"/>
          <w:lang w:val="es-ES_tradnl"/>
        </w:rPr>
        <w:footnoteReference w:id="56"/>
      </w:r>
      <w:r w:rsidRPr="00152C0F">
        <w:rPr>
          <w:rFonts w:ascii="Times New Roman" w:hAnsi="Times New Roman" w:cs="Times New Roman"/>
          <w:bCs/>
          <w:sz w:val="28"/>
          <w:szCs w:val="28"/>
          <w:shd w:val="clear" w:color="auto" w:fill="FFFFFF"/>
        </w:rPr>
        <w:t>.</w:t>
      </w:r>
    </w:p>
    <w:p w:rsidR="00C174E7" w:rsidRPr="00152C0F" w:rsidRDefault="00152C0F" w:rsidP="006D2BF2">
      <w:pPr>
        <w:rPr>
          <w:rFonts w:ascii="Times New Roman" w:hAnsi="Times New Roman" w:cs="Times New Roman"/>
          <w:sz w:val="28"/>
          <w:szCs w:val="28"/>
          <w:shd w:val="clear" w:color="auto" w:fill="FFFFFF"/>
          <w:lang w:val="es-ES"/>
        </w:rPr>
      </w:pPr>
    </w:p>
    <w:p w:rsidR="006D2BF2"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 xml:space="preserve">La estructura básica del plan se encuentra regulada en la Constitución (artículo 339), la cual dispone, a su vez, la creación e integración del Consejo Nacional de Planeación como foro para su discusión (artículo 340) y señala </w:t>
      </w:r>
      <w:r w:rsidRPr="00152C0F">
        <w:rPr>
          <w:rFonts w:ascii="Times New Roman" w:hAnsi="Times New Roman" w:cs="Times New Roman"/>
          <w:sz w:val="28"/>
          <w:szCs w:val="28"/>
          <w:shd w:val="clear" w:color="auto" w:fill="FFFFFF"/>
          <w:lang w:val="es-ES"/>
        </w:rPr>
        <w:t>el procedimiento general para su elaboración y aprobación (artículo 341). Los aspectos no previstos en la Constitución en relación con su elaboración, aprobación, ejecución y evaluación, fueron reservados al legislador orgánico, al que corresponde, además,</w:t>
      </w:r>
      <w:r w:rsidRPr="00152C0F">
        <w:rPr>
          <w:rFonts w:ascii="Times New Roman" w:hAnsi="Times New Roman" w:cs="Times New Roman"/>
          <w:sz w:val="28"/>
          <w:szCs w:val="28"/>
          <w:shd w:val="clear" w:color="auto" w:fill="FFFFFF"/>
          <w:lang w:val="es-ES"/>
        </w:rPr>
        <w:t xml:space="preserve"> regular los mecanismos apropiados para la sujeción de “los presupuestos oficiales” a los planes de desarrollo (artículo 342 de la Constitución).</w:t>
      </w:r>
    </w:p>
    <w:p w:rsidR="006D2BF2" w:rsidRPr="00152C0F" w:rsidRDefault="00152C0F" w:rsidP="006D2BF2">
      <w:pPr>
        <w:rPr>
          <w:rFonts w:ascii="Times New Roman" w:hAnsi="Times New Roman" w:cs="Times New Roman"/>
          <w:sz w:val="28"/>
          <w:szCs w:val="28"/>
          <w:shd w:val="clear" w:color="auto" w:fill="FFFFFF"/>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El plan, en cuanto principal instrumento de política gubernamental</w:t>
      </w:r>
      <w:r w:rsidRPr="00152C0F">
        <w:rPr>
          <w:rStyle w:val="Refdenotaalpie"/>
          <w:rFonts w:ascii="Times New Roman" w:hAnsi="Times New Roman" w:cs="Times New Roman"/>
          <w:sz w:val="28"/>
          <w:szCs w:val="28"/>
          <w:shd w:val="clear" w:color="auto" w:fill="FFFFFF"/>
          <w:lang w:val="es-ES"/>
        </w:rPr>
        <w:footnoteReference w:id="57"/>
      </w:r>
      <w:r w:rsidRPr="00152C0F">
        <w:rPr>
          <w:rFonts w:ascii="Times New Roman" w:hAnsi="Times New Roman" w:cs="Times New Roman"/>
          <w:sz w:val="28"/>
          <w:szCs w:val="28"/>
          <w:shd w:val="clear" w:color="auto" w:fill="FFFFFF"/>
          <w:lang w:val="es-ES"/>
        </w:rPr>
        <w:t>, es elaborado por el gobierno nacional de</w:t>
      </w:r>
      <w:r w:rsidRPr="00152C0F">
        <w:rPr>
          <w:rFonts w:ascii="Times New Roman" w:hAnsi="Times New Roman" w:cs="Times New Roman"/>
          <w:sz w:val="28"/>
          <w:szCs w:val="28"/>
          <w:shd w:val="clear" w:color="auto" w:fill="FFFFFF"/>
          <w:lang w:val="es-ES"/>
        </w:rPr>
        <w:t xml:space="preserve">ntro de los </w:t>
      </w:r>
      <w:r w:rsidRPr="00152C0F">
        <w:rPr>
          <w:rFonts w:ascii="Times New Roman" w:hAnsi="Times New Roman" w:cs="Times New Roman"/>
          <w:sz w:val="28"/>
          <w:szCs w:val="28"/>
          <w:shd w:val="clear" w:color="auto" w:fill="FFFFFF"/>
          <w:lang w:val="es-ES"/>
        </w:rPr>
        <w:t>6</w:t>
      </w:r>
      <w:r w:rsidRPr="00152C0F">
        <w:rPr>
          <w:rFonts w:ascii="Times New Roman" w:hAnsi="Times New Roman" w:cs="Times New Roman"/>
          <w:sz w:val="28"/>
          <w:szCs w:val="28"/>
          <w:shd w:val="clear" w:color="auto" w:fill="FFFFFF"/>
          <w:lang w:val="es-ES"/>
        </w:rPr>
        <w:t xml:space="preserve"> meses siguientes al inicio del respectivo período presidencial</w:t>
      </w:r>
      <w:r w:rsidRPr="00152C0F">
        <w:rPr>
          <w:rStyle w:val="Refdenotaalpie"/>
          <w:rFonts w:ascii="Times New Roman" w:hAnsi="Times New Roman" w:cs="Times New Roman"/>
          <w:sz w:val="28"/>
          <w:szCs w:val="28"/>
          <w:lang w:val="es-ES"/>
        </w:rPr>
        <w:footnoteReference w:id="58"/>
      </w:r>
      <w:r w:rsidRPr="00152C0F">
        <w:rPr>
          <w:rFonts w:ascii="Times New Roman" w:hAnsi="Times New Roman" w:cs="Times New Roman"/>
          <w:sz w:val="28"/>
          <w:szCs w:val="28"/>
          <w:shd w:val="clear" w:color="auto" w:fill="FFFFFF"/>
          <w:lang w:val="es-ES"/>
        </w:rPr>
        <w:t xml:space="preserve">. </w:t>
      </w:r>
      <w:r w:rsidRPr="00152C0F">
        <w:rPr>
          <w:rFonts w:ascii="Times New Roman" w:hAnsi="Times New Roman" w:cs="Times New Roman"/>
          <w:sz w:val="28"/>
          <w:szCs w:val="28"/>
          <w:lang w:val="es-ES"/>
        </w:rPr>
        <w:t xml:space="preserve">El procedimiento de elaboración es participativo e involucra tanto a autoridades nacionales como territoriales y, en particular, a los ciudadanos organizados bajo diversas </w:t>
      </w:r>
      <w:r w:rsidRPr="00152C0F">
        <w:rPr>
          <w:rFonts w:ascii="Times New Roman" w:hAnsi="Times New Roman" w:cs="Times New Roman"/>
          <w:sz w:val="28"/>
          <w:szCs w:val="28"/>
          <w:lang w:val="es-ES"/>
        </w:rPr>
        <w:t>formas de asociación</w:t>
      </w:r>
      <w:r w:rsidRPr="00152C0F">
        <w:rPr>
          <w:rStyle w:val="Refdenotaalpie"/>
          <w:rFonts w:ascii="Times New Roman" w:hAnsi="Times New Roman" w:cs="Times New Roman"/>
          <w:sz w:val="28"/>
          <w:szCs w:val="28"/>
          <w:lang w:val="es-ES"/>
        </w:rPr>
        <w:footnoteReference w:id="59"/>
      </w:r>
      <w:r w:rsidRPr="00152C0F">
        <w:rPr>
          <w:rFonts w:ascii="Times New Roman" w:hAnsi="Times New Roman" w:cs="Times New Roman"/>
          <w:sz w:val="28"/>
          <w:szCs w:val="28"/>
          <w:lang w:val="es-ES"/>
        </w:rPr>
        <w:t xml:space="preserve">. </w:t>
      </w:r>
    </w:p>
    <w:p w:rsidR="00C174E7" w:rsidRPr="00152C0F" w:rsidRDefault="00152C0F" w:rsidP="00C174E7">
      <w:pPr>
        <w:pStyle w:val="Prrafodelista"/>
        <w:rPr>
          <w:rFonts w:ascii="Times New Roman" w:hAnsi="Times New Roman" w:cs="Times New Roman"/>
          <w:sz w:val="28"/>
          <w:szCs w:val="28"/>
          <w:shd w:val="clear" w:color="auto" w:fill="FFFFFF"/>
          <w:lang w:val="es-ES"/>
        </w:rPr>
      </w:pPr>
    </w:p>
    <w:p w:rsidR="002D6887" w:rsidRPr="00152C0F" w:rsidRDefault="00152C0F" w:rsidP="00553AD2">
      <w:pPr>
        <w:pStyle w:val="Prrafodelista"/>
        <w:numPr>
          <w:ilvl w:val="0"/>
          <w:numId w:val="2"/>
        </w:numPr>
        <w:ind w:left="0" w:firstLine="0"/>
        <w:jc w:val="both"/>
        <w:rPr>
          <w:rFonts w:ascii="Times New Roman" w:hAnsi="Times New Roman" w:cs="Times New Roman"/>
          <w:sz w:val="28"/>
          <w:szCs w:val="28"/>
          <w:shd w:val="clear" w:color="auto" w:fill="FFFFFF"/>
        </w:rPr>
      </w:pPr>
      <w:r w:rsidRPr="00152C0F">
        <w:rPr>
          <w:rFonts w:ascii="Times New Roman" w:hAnsi="Times New Roman" w:cs="Times New Roman"/>
          <w:sz w:val="28"/>
          <w:szCs w:val="28"/>
          <w:shd w:val="clear" w:color="auto" w:fill="FFFFFF"/>
          <w:lang w:val="es-ES"/>
        </w:rPr>
        <w:t xml:space="preserve">De conformidad con lo dispuesto </w:t>
      </w:r>
      <w:r w:rsidRPr="00152C0F">
        <w:rPr>
          <w:rFonts w:ascii="Times New Roman" w:hAnsi="Times New Roman" w:cs="Times New Roman"/>
          <w:sz w:val="28"/>
          <w:szCs w:val="28"/>
          <w:shd w:val="clear" w:color="auto" w:fill="FFFFFF"/>
          <w:lang w:val="es-ES"/>
        </w:rPr>
        <w:t>en</w:t>
      </w:r>
      <w:r w:rsidRPr="00152C0F">
        <w:rPr>
          <w:rFonts w:ascii="Times New Roman" w:hAnsi="Times New Roman" w:cs="Times New Roman"/>
          <w:sz w:val="28"/>
          <w:szCs w:val="28"/>
          <w:shd w:val="clear" w:color="auto" w:fill="FFFFFF"/>
          <w:lang w:val="es-ES"/>
        </w:rPr>
        <w:t xml:space="preserve"> </w:t>
      </w:r>
      <w:r w:rsidRPr="00152C0F">
        <w:rPr>
          <w:rFonts w:ascii="Times New Roman" w:hAnsi="Times New Roman" w:cs="Times New Roman"/>
          <w:sz w:val="28"/>
          <w:szCs w:val="28"/>
          <w:shd w:val="clear" w:color="auto" w:fill="FFFFFF"/>
          <w:lang w:val="es-ES"/>
        </w:rPr>
        <w:t>los</w:t>
      </w:r>
      <w:r w:rsidRPr="00152C0F">
        <w:rPr>
          <w:rFonts w:ascii="Times New Roman" w:hAnsi="Times New Roman" w:cs="Times New Roman"/>
          <w:sz w:val="28"/>
          <w:szCs w:val="28"/>
          <w:shd w:val="clear" w:color="auto" w:fill="FFFFFF"/>
          <w:lang w:val="es-ES"/>
        </w:rPr>
        <w:t xml:space="preserve"> artículo</w:t>
      </w:r>
      <w:r w:rsidRPr="00152C0F">
        <w:rPr>
          <w:rFonts w:ascii="Times New Roman" w:hAnsi="Times New Roman" w:cs="Times New Roman"/>
          <w:sz w:val="28"/>
          <w:szCs w:val="28"/>
          <w:shd w:val="clear" w:color="auto" w:fill="FFFFFF"/>
          <w:lang w:val="es-ES"/>
        </w:rPr>
        <w:t>s</w:t>
      </w:r>
      <w:r w:rsidRPr="00152C0F">
        <w:rPr>
          <w:rFonts w:ascii="Times New Roman" w:hAnsi="Times New Roman" w:cs="Times New Roman"/>
          <w:sz w:val="28"/>
          <w:szCs w:val="28"/>
          <w:shd w:val="clear" w:color="auto" w:fill="FFFFFF"/>
          <w:lang w:val="es-ES"/>
        </w:rPr>
        <w:t xml:space="preserve"> 339 de la Constitución</w:t>
      </w:r>
      <w:r w:rsidRPr="00152C0F">
        <w:rPr>
          <w:rFonts w:ascii="Times New Roman" w:hAnsi="Times New Roman" w:cs="Times New Roman"/>
          <w:sz w:val="28"/>
          <w:szCs w:val="28"/>
          <w:shd w:val="clear" w:color="auto" w:fill="FFFFFF"/>
          <w:lang w:val="es-ES"/>
        </w:rPr>
        <w:t xml:space="preserve"> y 4, 5 y 6 de la Ley Orgánica 152 de 1994</w:t>
      </w:r>
      <w:r w:rsidRPr="00152C0F">
        <w:rPr>
          <w:rFonts w:ascii="Times New Roman" w:hAnsi="Times New Roman" w:cs="Times New Roman"/>
          <w:sz w:val="28"/>
          <w:szCs w:val="28"/>
          <w:shd w:val="clear" w:color="auto" w:fill="FFFFFF"/>
          <w:lang w:val="es-ES"/>
        </w:rPr>
        <w:t>, el plan nacional de desarrollo está conformado por dos partes: una general, de carácter “estratégico”</w:t>
      </w:r>
      <w:r w:rsidRPr="00152C0F">
        <w:rPr>
          <w:rStyle w:val="Refdenotaalpie"/>
          <w:rFonts w:ascii="Times New Roman" w:hAnsi="Times New Roman" w:cs="Times New Roman"/>
          <w:sz w:val="28"/>
          <w:szCs w:val="28"/>
          <w:shd w:val="clear" w:color="auto" w:fill="FFFFFF"/>
          <w:lang w:val="es-ES"/>
        </w:rPr>
        <w:footnoteReference w:id="60"/>
      </w:r>
      <w:r w:rsidRPr="00152C0F">
        <w:rPr>
          <w:rFonts w:ascii="Times New Roman" w:hAnsi="Times New Roman" w:cs="Times New Roman"/>
          <w:sz w:val="28"/>
          <w:szCs w:val="28"/>
          <w:shd w:val="clear" w:color="auto" w:fill="FFFFFF"/>
          <w:lang w:val="es-ES"/>
        </w:rPr>
        <w:t xml:space="preserve">, </w:t>
      </w:r>
      <w:r w:rsidRPr="00152C0F">
        <w:rPr>
          <w:rFonts w:ascii="Times New Roman" w:hAnsi="Times New Roman" w:cs="Times New Roman"/>
          <w:sz w:val="28"/>
          <w:szCs w:val="28"/>
          <w:shd w:val="clear" w:color="auto" w:fill="FFFFFF"/>
          <w:lang w:val="es-ES"/>
        </w:rPr>
        <w:t>y un plan de</w:t>
      </w:r>
      <w:r w:rsidRPr="00152C0F">
        <w:rPr>
          <w:rFonts w:ascii="Times New Roman" w:hAnsi="Times New Roman" w:cs="Times New Roman"/>
          <w:sz w:val="28"/>
          <w:szCs w:val="28"/>
          <w:shd w:val="clear" w:color="auto" w:fill="FFFFFF"/>
          <w:lang w:val="es-ES"/>
        </w:rPr>
        <w:t xml:space="preserve"> inversiones públicas</w:t>
      </w:r>
      <w:r w:rsidRPr="00152C0F">
        <w:rPr>
          <w:rStyle w:val="Refdenotaalpie"/>
          <w:rFonts w:ascii="Times New Roman" w:hAnsi="Times New Roman" w:cs="Times New Roman"/>
          <w:sz w:val="28"/>
          <w:szCs w:val="28"/>
          <w:shd w:val="clear" w:color="auto" w:fill="FFFFFF"/>
          <w:lang w:val="es-ES"/>
        </w:rPr>
        <w:footnoteReference w:id="61"/>
      </w:r>
      <w:r w:rsidRPr="00152C0F">
        <w:rPr>
          <w:rFonts w:ascii="Times New Roman" w:hAnsi="Times New Roman" w:cs="Times New Roman"/>
          <w:sz w:val="28"/>
          <w:szCs w:val="28"/>
          <w:shd w:val="clear" w:color="auto" w:fill="FFFFFF"/>
          <w:lang w:val="es-ES"/>
        </w:rPr>
        <w:t>, de carácter “operativo”.</w:t>
      </w:r>
    </w:p>
    <w:p w:rsidR="002D6887" w:rsidRPr="00152C0F" w:rsidRDefault="00152C0F" w:rsidP="002D6887">
      <w:pPr>
        <w:pStyle w:val="Prrafodelista"/>
        <w:ind w:left="0"/>
        <w:jc w:val="both"/>
        <w:rPr>
          <w:rFonts w:ascii="Times New Roman" w:hAnsi="Times New Roman" w:cs="Times New Roman"/>
          <w:sz w:val="28"/>
          <w:szCs w:val="28"/>
          <w:shd w:val="clear" w:color="auto" w:fill="FFFFFF"/>
        </w:rPr>
      </w:pPr>
    </w:p>
    <w:p w:rsidR="007A78E2" w:rsidRPr="00152C0F" w:rsidRDefault="00152C0F" w:rsidP="00A17EA0">
      <w:pPr>
        <w:pStyle w:val="Prrafodelista"/>
        <w:numPr>
          <w:ilvl w:val="0"/>
          <w:numId w:val="2"/>
        </w:numPr>
        <w:ind w:left="0" w:firstLine="0"/>
        <w:jc w:val="both"/>
        <w:rPr>
          <w:rFonts w:ascii="Times New Roman" w:hAnsi="Times New Roman" w:cs="Times New Roman"/>
          <w:sz w:val="28"/>
          <w:szCs w:val="28"/>
          <w:shd w:val="clear" w:color="auto" w:fill="FFFFFF"/>
        </w:rPr>
      </w:pPr>
      <w:r w:rsidRPr="00152C0F">
        <w:rPr>
          <w:rFonts w:ascii="Times New Roman" w:hAnsi="Times New Roman" w:cs="Times New Roman"/>
          <w:sz w:val="28"/>
          <w:szCs w:val="28"/>
          <w:shd w:val="clear" w:color="auto" w:fill="FFFFFF"/>
          <w:lang w:val="es-ES"/>
        </w:rPr>
        <w:t xml:space="preserve">En la parte general </w:t>
      </w:r>
      <w:r w:rsidRPr="00152C0F">
        <w:rPr>
          <w:rFonts w:ascii="Times New Roman" w:hAnsi="Times New Roman" w:cs="Times New Roman"/>
          <w:sz w:val="28"/>
          <w:szCs w:val="28"/>
          <w:shd w:val="clear" w:color="auto" w:fill="FFFFFF"/>
          <w:lang w:val="es-ES"/>
        </w:rPr>
        <w:t>se señalarán</w:t>
      </w:r>
      <w:r w:rsidRPr="00152C0F">
        <w:rPr>
          <w:rFonts w:ascii="Times New Roman" w:hAnsi="Times New Roman" w:cs="Times New Roman"/>
          <w:sz w:val="28"/>
          <w:szCs w:val="28"/>
          <w:shd w:val="clear" w:color="auto" w:fill="FFFFFF"/>
          <w:lang w:val="es-ES"/>
        </w:rPr>
        <w:t xml:space="preserve"> </w:t>
      </w:r>
      <w:r w:rsidRPr="00152C0F">
        <w:rPr>
          <w:rFonts w:ascii="Times New Roman" w:hAnsi="Times New Roman" w:cs="Times New Roman"/>
          <w:sz w:val="28"/>
          <w:szCs w:val="28"/>
          <w:shd w:val="clear" w:color="auto" w:fill="FFFFFF"/>
          <w:lang w:val="es-ES"/>
        </w:rPr>
        <w:t>(i) l</w:t>
      </w:r>
      <w:r w:rsidRPr="00152C0F">
        <w:rPr>
          <w:rFonts w:ascii="Times New Roman" w:hAnsi="Times New Roman" w:cs="Times New Roman"/>
          <w:sz w:val="28"/>
          <w:szCs w:val="28"/>
          <w:shd w:val="clear" w:color="auto" w:fill="FFFFFF"/>
        </w:rPr>
        <w:t xml:space="preserve">os objetivos nacionales y sectoriales de la acción estatal a mediano y largo plazo según resulte del diagnóstico general de la economía y de sus principales sectores y </w:t>
      </w:r>
      <w:r w:rsidRPr="00152C0F">
        <w:rPr>
          <w:rFonts w:ascii="Times New Roman" w:hAnsi="Times New Roman" w:cs="Times New Roman"/>
          <w:sz w:val="28"/>
          <w:szCs w:val="28"/>
          <w:shd w:val="clear" w:color="auto" w:fill="FFFFFF"/>
        </w:rPr>
        <w:t>grupos sociales; (ii) las metas nacionales y sectoriales de la acción estatal a mediano y largo plazo y los procedimientos y mecanismo</w:t>
      </w:r>
      <w:r w:rsidRPr="00152C0F">
        <w:rPr>
          <w:rFonts w:ascii="Times New Roman" w:hAnsi="Times New Roman" w:cs="Times New Roman"/>
          <w:sz w:val="28"/>
          <w:szCs w:val="28"/>
          <w:shd w:val="clear" w:color="auto" w:fill="FFFFFF"/>
        </w:rPr>
        <w:t>s</w:t>
      </w:r>
      <w:r w:rsidRPr="00152C0F">
        <w:rPr>
          <w:rFonts w:ascii="Times New Roman" w:hAnsi="Times New Roman" w:cs="Times New Roman"/>
          <w:sz w:val="28"/>
          <w:szCs w:val="28"/>
          <w:shd w:val="clear" w:color="auto" w:fill="FFFFFF"/>
        </w:rPr>
        <w:t xml:space="preserve"> generales para lograrlos; (iii) las estrategias y políticas en materia económica, social y ambiental que guiarán la acci</w:t>
      </w:r>
      <w:r w:rsidRPr="00152C0F">
        <w:rPr>
          <w:rFonts w:ascii="Times New Roman" w:hAnsi="Times New Roman" w:cs="Times New Roman"/>
          <w:sz w:val="28"/>
          <w:szCs w:val="28"/>
          <w:shd w:val="clear" w:color="auto" w:fill="FFFFFF"/>
        </w:rPr>
        <w:t xml:space="preserve">ón del Gobierno para alcanzar los objetivos y metas que se hayan definido, y (iv) el señalamiento de las formas, medios e instrumentos de vinculación y armonización de la planeación nacional con la planeación sectorial, regional, departamental, municipal, </w:t>
      </w:r>
      <w:r w:rsidRPr="00152C0F">
        <w:rPr>
          <w:rFonts w:ascii="Times New Roman" w:hAnsi="Times New Roman" w:cs="Times New Roman"/>
          <w:sz w:val="28"/>
          <w:szCs w:val="28"/>
          <w:shd w:val="clear" w:color="auto" w:fill="FFFFFF"/>
        </w:rPr>
        <w:t>distrital y de las entidades territoriales indígenas; y de aquellas otras entidades territoriales que se constituyan en aplicación de las normas constitucionales vigentes.</w:t>
      </w:r>
    </w:p>
    <w:p w:rsidR="007A78E2" w:rsidRPr="00152C0F" w:rsidRDefault="00152C0F" w:rsidP="007A78E2">
      <w:pPr>
        <w:pStyle w:val="Prrafodelista"/>
        <w:ind w:left="0"/>
        <w:jc w:val="both"/>
        <w:rPr>
          <w:rFonts w:ascii="Times New Roman" w:hAnsi="Times New Roman" w:cs="Times New Roman"/>
          <w:sz w:val="28"/>
          <w:szCs w:val="28"/>
          <w:shd w:val="clear" w:color="auto" w:fill="FFFFFF"/>
        </w:rPr>
      </w:pPr>
    </w:p>
    <w:p w:rsidR="008640E1" w:rsidRPr="00152C0F" w:rsidRDefault="00152C0F" w:rsidP="00A17EA0">
      <w:pPr>
        <w:pStyle w:val="Prrafodelista"/>
        <w:numPr>
          <w:ilvl w:val="0"/>
          <w:numId w:val="2"/>
        </w:numPr>
        <w:ind w:left="0" w:firstLine="0"/>
        <w:jc w:val="both"/>
        <w:rPr>
          <w:rFonts w:ascii="Times New Roman" w:hAnsi="Times New Roman" w:cs="Times New Roman"/>
          <w:sz w:val="28"/>
          <w:szCs w:val="28"/>
          <w:shd w:val="clear" w:color="auto" w:fill="FFFFFF"/>
        </w:rPr>
      </w:pPr>
      <w:r w:rsidRPr="00152C0F">
        <w:rPr>
          <w:rFonts w:ascii="Times New Roman" w:hAnsi="Times New Roman" w:cs="Times New Roman"/>
          <w:sz w:val="28"/>
          <w:szCs w:val="28"/>
          <w:shd w:val="clear" w:color="auto" w:fill="FFFFFF"/>
        </w:rPr>
        <w:t xml:space="preserve">En el </w:t>
      </w:r>
      <w:r w:rsidRPr="00152C0F">
        <w:rPr>
          <w:rFonts w:ascii="Times New Roman" w:hAnsi="Times New Roman" w:cs="Times New Roman"/>
          <w:sz w:val="28"/>
          <w:szCs w:val="28"/>
          <w:shd w:val="clear" w:color="auto" w:fill="FFFFFF"/>
          <w:lang w:val="es-ES"/>
        </w:rPr>
        <w:t>plan de inversiones públicas</w:t>
      </w:r>
      <w:r w:rsidRPr="00152C0F">
        <w:rPr>
          <w:rStyle w:val="Refdenotaalpie"/>
          <w:rFonts w:ascii="Times New Roman" w:hAnsi="Times New Roman" w:cs="Times New Roman"/>
          <w:sz w:val="28"/>
          <w:szCs w:val="28"/>
          <w:shd w:val="clear" w:color="auto" w:fill="FFFFFF"/>
          <w:lang w:val="es-ES"/>
        </w:rPr>
        <w:footnoteReference w:id="62"/>
      </w:r>
      <w:r w:rsidRPr="00152C0F">
        <w:rPr>
          <w:rFonts w:ascii="Times New Roman" w:hAnsi="Times New Roman" w:cs="Times New Roman"/>
          <w:sz w:val="28"/>
          <w:szCs w:val="28"/>
          <w:shd w:val="clear" w:color="auto" w:fill="FFFFFF"/>
          <w:lang w:val="es-ES"/>
        </w:rPr>
        <w:t xml:space="preserve"> se determinará</w:t>
      </w:r>
      <w:r w:rsidRPr="00152C0F">
        <w:rPr>
          <w:rFonts w:ascii="Times New Roman" w:hAnsi="Times New Roman" w:cs="Times New Roman"/>
          <w:sz w:val="28"/>
          <w:szCs w:val="28"/>
          <w:shd w:val="clear" w:color="auto" w:fill="FFFFFF"/>
          <w:lang w:val="es-ES"/>
        </w:rPr>
        <w:t xml:space="preserve"> (i) </w:t>
      </w:r>
      <w:r w:rsidRPr="00152C0F">
        <w:rPr>
          <w:rFonts w:ascii="Times New Roman" w:hAnsi="Times New Roman" w:cs="Times New Roman"/>
          <w:sz w:val="28"/>
          <w:szCs w:val="28"/>
          <w:shd w:val="clear" w:color="auto" w:fill="FFFFFF"/>
        </w:rPr>
        <w:t>la proyección de los recursos financieros disponibles para su ejecución y su armonización con los planes de gasto público; (ii) la descripción de los principales programas y subprogramas, con indicación de sus objetivos y metas nacionales, regionales y sec</w:t>
      </w:r>
      <w:r w:rsidRPr="00152C0F">
        <w:rPr>
          <w:rFonts w:ascii="Times New Roman" w:hAnsi="Times New Roman" w:cs="Times New Roman"/>
          <w:sz w:val="28"/>
          <w:szCs w:val="28"/>
          <w:shd w:val="clear" w:color="auto" w:fill="FFFFFF"/>
        </w:rPr>
        <w:t>toriales y los proyectos prioritarios de inversión; (iii) los presupuestos plurianuales mediante los cuales se proyectarán los costos de los programas más importantes de inversión pública contemplados en la parte general, y (iv) la especificación de los me</w:t>
      </w:r>
      <w:r w:rsidRPr="00152C0F">
        <w:rPr>
          <w:rFonts w:ascii="Times New Roman" w:hAnsi="Times New Roman" w:cs="Times New Roman"/>
          <w:sz w:val="28"/>
          <w:szCs w:val="28"/>
          <w:shd w:val="clear" w:color="auto" w:fill="FFFFFF"/>
        </w:rPr>
        <w:t xml:space="preserve">canismos idóneos para </w:t>
      </w:r>
      <w:r w:rsidRPr="00152C0F">
        <w:rPr>
          <w:rFonts w:ascii="Times New Roman" w:hAnsi="Times New Roman" w:cs="Times New Roman"/>
          <w:sz w:val="28"/>
          <w:szCs w:val="28"/>
          <w:shd w:val="clear" w:color="auto" w:fill="FFFFFF"/>
        </w:rPr>
        <w:t>la</w:t>
      </w:r>
      <w:r w:rsidRPr="00152C0F">
        <w:rPr>
          <w:rFonts w:ascii="Times New Roman" w:hAnsi="Times New Roman" w:cs="Times New Roman"/>
          <w:sz w:val="28"/>
          <w:szCs w:val="28"/>
          <w:shd w:val="clear" w:color="auto" w:fill="FFFFFF"/>
        </w:rPr>
        <w:t xml:space="preserve"> ejecución</w:t>
      </w:r>
      <w:r w:rsidRPr="00152C0F">
        <w:rPr>
          <w:rFonts w:ascii="Times New Roman" w:hAnsi="Times New Roman" w:cs="Times New Roman"/>
          <w:sz w:val="28"/>
          <w:szCs w:val="28"/>
          <w:shd w:val="clear" w:color="auto" w:fill="FFFFFF"/>
        </w:rPr>
        <w:t xml:space="preserve"> del plan de inversiones</w:t>
      </w:r>
      <w:r w:rsidRPr="00152C0F">
        <w:rPr>
          <w:rFonts w:ascii="Times New Roman" w:hAnsi="Times New Roman" w:cs="Times New Roman"/>
          <w:sz w:val="28"/>
          <w:szCs w:val="28"/>
          <w:shd w:val="clear" w:color="auto" w:fill="FFFFFF"/>
        </w:rPr>
        <w:t>.</w:t>
      </w:r>
    </w:p>
    <w:p w:rsidR="00C174E7" w:rsidRPr="00152C0F" w:rsidRDefault="00152C0F" w:rsidP="008640E1">
      <w:pPr>
        <w:pStyle w:val="Prrafodelista"/>
        <w:ind w:left="0"/>
        <w:jc w:val="both"/>
        <w:rPr>
          <w:rFonts w:ascii="Times New Roman" w:hAnsi="Times New Roman" w:cs="Times New Roman"/>
          <w:sz w:val="28"/>
          <w:szCs w:val="28"/>
          <w:shd w:val="clear" w:color="auto" w:fill="FFFFFF"/>
          <w:lang w:val="es-ES"/>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Conforme acaba de verse, e</w:t>
      </w:r>
      <w:r w:rsidRPr="00152C0F">
        <w:rPr>
          <w:rFonts w:ascii="Times New Roman" w:hAnsi="Times New Roman" w:cs="Times New Roman"/>
          <w:sz w:val="28"/>
          <w:szCs w:val="28"/>
          <w:shd w:val="clear" w:color="auto" w:fill="FFFFFF"/>
          <w:lang w:val="es-ES"/>
        </w:rPr>
        <w:t xml:space="preserve">n </w:t>
      </w:r>
      <w:r w:rsidRPr="00152C0F">
        <w:rPr>
          <w:rFonts w:ascii="Times New Roman" w:hAnsi="Times New Roman" w:cs="Times New Roman"/>
          <w:sz w:val="28"/>
          <w:szCs w:val="28"/>
          <w:lang w:val="es-ES"/>
        </w:rPr>
        <w:t xml:space="preserve">la parte general se </w:t>
      </w:r>
      <w:r w:rsidRPr="00152C0F">
        <w:rPr>
          <w:rFonts w:ascii="Times New Roman" w:hAnsi="Times New Roman" w:cs="Times New Roman"/>
          <w:sz w:val="28"/>
          <w:szCs w:val="28"/>
          <w:shd w:val="clear" w:color="auto" w:fill="FFFFFF"/>
          <w:lang w:val="es-ES"/>
        </w:rPr>
        <w:t>señala</w:t>
      </w:r>
      <w:r w:rsidRPr="00152C0F">
        <w:rPr>
          <w:rFonts w:ascii="Times New Roman" w:hAnsi="Times New Roman" w:cs="Times New Roman"/>
          <w:sz w:val="28"/>
          <w:szCs w:val="28"/>
          <w:shd w:val="clear" w:color="auto" w:fill="FFFFFF"/>
          <w:lang w:val="es-ES"/>
        </w:rPr>
        <w:t>rá</w:t>
      </w:r>
      <w:r w:rsidRPr="00152C0F">
        <w:rPr>
          <w:rFonts w:ascii="Times New Roman" w:hAnsi="Times New Roman" w:cs="Times New Roman"/>
          <w:sz w:val="28"/>
          <w:szCs w:val="28"/>
          <w:shd w:val="clear" w:color="auto" w:fill="FFFFFF"/>
          <w:lang w:val="es-ES"/>
        </w:rPr>
        <w:t>n</w:t>
      </w:r>
      <w:r w:rsidRPr="00152C0F">
        <w:rPr>
          <w:rFonts w:ascii="Times New Roman" w:hAnsi="Times New Roman" w:cs="Times New Roman"/>
          <w:sz w:val="28"/>
          <w:szCs w:val="28"/>
          <w:shd w:val="clear" w:color="auto" w:fill="FFFFFF"/>
          <w:lang w:val="es-ES"/>
        </w:rPr>
        <w:t xml:space="preserve"> </w:t>
      </w:r>
      <w:r w:rsidRPr="00152C0F">
        <w:rPr>
          <w:rFonts w:ascii="Times New Roman" w:hAnsi="Times New Roman" w:cs="Times New Roman"/>
          <w:sz w:val="28"/>
          <w:szCs w:val="28"/>
          <w:lang w:val="es-ES"/>
        </w:rPr>
        <w:t>los “procedimientos y mecanismos generales” para</w:t>
      </w:r>
      <w:r w:rsidRPr="00152C0F">
        <w:rPr>
          <w:rFonts w:ascii="Times New Roman" w:hAnsi="Times New Roman" w:cs="Times New Roman"/>
          <w:sz w:val="28"/>
          <w:szCs w:val="28"/>
        </w:rPr>
        <w:t xml:space="preserve"> lograr </w:t>
      </w:r>
      <w:r w:rsidRPr="00152C0F">
        <w:rPr>
          <w:rFonts w:ascii="Times New Roman" w:hAnsi="Times New Roman" w:cs="Times New Roman"/>
          <w:sz w:val="28"/>
          <w:szCs w:val="28"/>
        </w:rPr>
        <w:t>las</w:t>
      </w:r>
      <w:r w:rsidRPr="00152C0F">
        <w:rPr>
          <w:rFonts w:ascii="Times New Roman" w:hAnsi="Times New Roman" w:cs="Times New Roman"/>
          <w:sz w:val="28"/>
          <w:szCs w:val="28"/>
        </w:rPr>
        <w:t xml:space="preserve"> metas nacionales y sectoriales </w:t>
      </w:r>
      <w:r w:rsidRPr="00152C0F">
        <w:rPr>
          <w:rFonts w:ascii="Times New Roman" w:hAnsi="Times New Roman" w:cs="Times New Roman"/>
          <w:sz w:val="28"/>
          <w:szCs w:val="28"/>
        </w:rPr>
        <w:t>de la acción estatal</w:t>
      </w:r>
      <w:r w:rsidRPr="00152C0F">
        <w:rPr>
          <w:rFonts w:ascii="Times New Roman" w:hAnsi="Times New Roman" w:cs="Times New Roman"/>
          <w:sz w:val="28"/>
          <w:szCs w:val="28"/>
        </w:rPr>
        <w:t xml:space="preserve"> de mediano y largo plazo </w:t>
      </w:r>
      <w:r w:rsidRPr="00152C0F">
        <w:rPr>
          <w:rFonts w:ascii="Times New Roman" w:hAnsi="Times New Roman" w:cs="Times New Roman"/>
          <w:sz w:val="28"/>
          <w:szCs w:val="28"/>
          <w:lang w:val="es-ES"/>
        </w:rPr>
        <w:t>(artículo 5.b</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Ley 152 de 1994), y en el plan de inversiones se especificar</w:t>
      </w:r>
      <w:r w:rsidRPr="00152C0F">
        <w:rPr>
          <w:rFonts w:ascii="Times New Roman" w:hAnsi="Times New Roman" w:cs="Times New Roman"/>
          <w:sz w:val="28"/>
          <w:szCs w:val="28"/>
          <w:lang w:val="es-ES"/>
        </w:rPr>
        <w:t>án</w:t>
      </w:r>
      <w:r w:rsidRPr="00152C0F">
        <w:rPr>
          <w:rFonts w:ascii="Times New Roman" w:hAnsi="Times New Roman" w:cs="Times New Roman"/>
          <w:sz w:val="28"/>
          <w:szCs w:val="28"/>
          <w:lang w:val="es-ES"/>
        </w:rPr>
        <w:t xml:space="preserve"> los “mecanismos idóneos” para la ejecución de los principales programas y proyectos de inversión (artículo 6.d</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Ley 152 de 1994).</w:t>
      </w:r>
    </w:p>
    <w:p w:rsidR="00FF71B5" w:rsidRPr="00152C0F" w:rsidRDefault="00152C0F" w:rsidP="00FF71B5">
      <w:pPr>
        <w:pStyle w:val="Prrafodelista"/>
        <w:ind w:left="0"/>
        <w:jc w:val="both"/>
        <w:rPr>
          <w:rFonts w:ascii="Times New Roman" w:hAnsi="Times New Roman" w:cs="Times New Roman"/>
          <w:sz w:val="28"/>
          <w:szCs w:val="28"/>
        </w:rPr>
      </w:pPr>
    </w:p>
    <w:p w:rsidR="00B631E1" w:rsidRPr="00152C0F" w:rsidRDefault="00152C0F" w:rsidP="00FF7E46">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La</w:t>
      </w:r>
      <w:r w:rsidRPr="00152C0F">
        <w:rPr>
          <w:rFonts w:ascii="Times New Roman" w:hAnsi="Times New Roman" w:cs="Times New Roman"/>
          <w:sz w:val="28"/>
          <w:szCs w:val="28"/>
        </w:rPr>
        <w:t xml:space="preserve"> regulación del contenido del plan recogió lo</w:t>
      </w:r>
      <w:r w:rsidRPr="00152C0F">
        <w:rPr>
          <w:rFonts w:ascii="Times New Roman" w:hAnsi="Times New Roman" w:cs="Times New Roman"/>
          <w:sz w:val="28"/>
          <w:szCs w:val="28"/>
        </w:rPr>
        <w:t xml:space="preserve">s debates en el seno de la Asamblea Nacional Constituyente en el sentido de que la planeación debía </w:t>
      </w:r>
      <w:r w:rsidRPr="00152C0F">
        <w:rPr>
          <w:rFonts w:ascii="Times New Roman" w:hAnsi="Times New Roman" w:cs="Times New Roman"/>
          <w:sz w:val="28"/>
          <w:szCs w:val="28"/>
          <w:lang w:val="es-ES"/>
        </w:rPr>
        <w:t xml:space="preserve">contemplar </w:t>
      </w:r>
      <w:r w:rsidRPr="00152C0F">
        <w:rPr>
          <w:rFonts w:ascii="Times New Roman" w:hAnsi="Times New Roman" w:cs="Times New Roman"/>
          <w:i/>
          <w:iCs/>
          <w:sz w:val="28"/>
          <w:szCs w:val="28"/>
          <w:lang w:val="es-ES"/>
        </w:rPr>
        <w:t>unos parámetros</w:t>
      </w:r>
      <w:r w:rsidRPr="00152C0F">
        <w:rPr>
          <w:rFonts w:ascii="Times New Roman" w:hAnsi="Times New Roman" w:cs="Times New Roman"/>
          <w:sz w:val="28"/>
          <w:szCs w:val="28"/>
          <w:lang w:val="es-ES"/>
        </w:rPr>
        <w:t xml:space="preserve">, </w:t>
      </w:r>
      <w:r w:rsidRPr="00152C0F">
        <w:rPr>
          <w:rFonts w:ascii="Times New Roman" w:hAnsi="Times New Roman" w:cs="Times New Roman"/>
          <w:i/>
          <w:iCs/>
          <w:sz w:val="28"/>
          <w:szCs w:val="28"/>
          <w:lang w:val="es-ES"/>
        </w:rPr>
        <w:t>unos objetivos finales allá en el horizonte, de largo plazo, que no son en detalle instrumentados en el plan</w:t>
      </w:r>
      <w:r w:rsidRPr="00152C0F">
        <w:rPr>
          <w:rFonts w:ascii="Times New Roman" w:hAnsi="Times New Roman" w:cs="Times New Roman"/>
          <w:sz w:val="28"/>
          <w:szCs w:val="28"/>
          <w:lang w:val="es-ES"/>
        </w:rPr>
        <w:t xml:space="preserve">, pero </w:t>
      </w:r>
      <w:r w:rsidRPr="00152C0F">
        <w:rPr>
          <w:rFonts w:ascii="Times New Roman" w:hAnsi="Times New Roman" w:cs="Times New Roman"/>
          <w:sz w:val="28"/>
          <w:szCs w:val="28"/>
          <w:lang w:val="es-ES"/>
        </w:rPr>
        <w:t xml:space="preserve">que permiten saber para dónde va </w:t>
      </w:r>
      <w:r w:rsidRPr="00152C0F">
        <w:rPr>
          <w:rFonts w:ascii="Times New Roman" w:hAnsi="Times New Roman" w:cs="Times New Roman"/>
          <w:sz w:val="28"/>
          <w:szCs w:val="28"/>
          <w:lang w:val="es-ES"/>
        </w:rPr>
        <w:t>el país</w:t>
      </w:r>
      <w:r w:rsidRPr="00152C0F">
        <w:rPr>
          <w:rStyle w:val="Refdenotaalpie"/>
          <w:rFonts w:ascii="Times New Roman" w:hAnsi="Times New Roman" w:cs="Times New Roman"/>
          <w:sz w:val="28"/>
          <w:szCs w:val="28"/>
          <w:lang w:val="es-ES"/>
        </w:rPr>
        <w:footnoteReference w:id="63"/>
      </w:r>
      <w:r w:rsidRPr="00152C0F">
        <w:rPr>
          <w:rFonts w:ascii="Times New Roman" w:hAnsi="Times New Roman" w:cs="Times New Roman"/>
          <w:sz w:val="28"/>
          <w:szCs w:val="28"/>
        </w:rPr>
        <w:t>.</w:t>
      </w:r>
    </w:p>
    <w:p w:rsidR="00FF7E46" w:rsidRPr="00152C0F" w:rsidRDefault="00152C0F" w:rsidP="00FF7E46">
      <w:pPr>
        <w:pStyle w:val="Prrafodelista"/>
        <w:ind w:left="0"/>
        <w:jc w:val="both"/>
        <w:rPr>
          <w:rFonts w:ascii="Times New Roman" w:hAnsi="Times New Roman" w:cs="Times New Roman"/>
          <w:sz w:val="28"/>
          <w:szCs w:val="28"/>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Por otra parte, l</w:t>
      </w:r>
      <w:r w:rsidRPr="00152C0F">
        <w:rPr>
          <w:rFonts w:ascii="Times New Roman" w:hAnsi="Times New Roman" w:cs="Times New Roman"/>
          <w:sz w:val="28"/>
          <w:szCs w:val="28"/>
          <w:shd w:val="clear" w:color="auto" w:fill="FFFFFF"/>
          <w:lang w:val="es-ES"/>
        </w:rPr>
        <w:t xml:space="preserve">a fase de elaboración del plan nacional de desarrollo </w:t>
      </w:r>
      <w:r w:rsidRPr="00152C0F">
        <w:rPr>
          <w:rFonts w:ascii="Times New Roman" w:hAnsi="Times New Roman" w:cs="Times New Roman"/>
          <w:sz w:val="28"/>
          <w:szCs w:val="28"/>
          <w:shd w:val="clear" w:color="auto" w:fill="FFFFFF"/>
          <w:lang w:val="es-ES"/>
        </w:rPr>
        <w:t>se debe adelantar en</w:t>
      </w:r>
      <w:r w:rsidRPr="00152C0F">
        <w:rPr>
          <w:rFonts w:ascii="Times New Roman" w:hAnsi="Times New Roman" w:cs="Times New Roman"/>
          <w:sz w:val="28"/>
          <w:szCs w:val="28"/>
          <w:shd w:val="clear" w:color="auto" w:fill="FFFFFF"/>
          <w:lang w:val="es-ES"/>
        </w:rPr>
        <w:t xml:space="preserve"> las siguientes cuatro etapas en un per</w:t>
      </w:r>
      <w:r w:rsidRPr="00152C0F">
        <w:rPr>
          <w:rFonts w:ascii="Times New Roman" w:hAnsi="Times New Roman" w:cs="Times New Roman"/>
          <w:sz w:val="28"/>
          <w:szCs w:val="28"/>
          <w:shd w:val="clear" w:color="auto" w:fill="FFFFFF"/>
          <w:lang w:val="es-ES"/>
        </w:rPr>
        <w:t>í</w:t>
      </w:r>
      <w:r w:rsidRPr="00152C0F">
        <w:rPr>
          <w:rFonts w:ascii="Times New Roman" w:hAnsi="Times New Roman" w:cs="Times New Roman"/>
          <w:sz w:val="28"/>
          <w:szCs w:val="28"/>
          <w:shd w:val="clear" w:color="auto" w:fill="FFFFFF"/>
          <w:lang w:val="es-ES"/>
        </w:rPr>
        <w:t xml:space="preserve">odo de </w:t>
      </w:r>
      <w:r w:rsidRPr="00152C0F">
        <w:rPr>
          <w:rFonts w:ascii="Times New Roman" w:hAnsi="Times New Roman" w:cs="Times New Roman"/>
          <w:sz w:val="28"/>
          <w:szCs w:val="28"/>
          <w:shd w:val="clear" w:color="auto" w:fill="FFFFFF"/>
          <w:lang w:val="es-ES"/>
        </w:rPr>
        <w:t>6</w:t>
      </w:r>
      <w:r w:rsidRPr="00152C0F">
        <w:rPr>
          <w:rFonts w:ascii="Times New Roman" w:hAnsi="Times New Roman" w:cs="Times New Roman"/>
          <w:sz w:val="28"/>
          <w:szCs w:val="28"/>
          <w:shd w:val="clear" w:color="auto" w:fill="FFFFFF"/>
          <w:lang w:val="es-ES"/>
        </w:rPr>
        <w:t xml:space="preserve"> meses:</w:t>
      </w:r>
    </w:p>
    <w:p w:rsidR="00C174E7" w:rsidRPr="00152C0F" w:rsidRDefault="00152C0F" w:rsidP="00C174E7">
      <w:pPr>
        <w:pStyle w:val="Prrafodelista"/>
        <w:rPr>
          <w:rFonts w:ascii="Times New Roman" w:hAnsi="Times New Roman" w:cs="Times New Roman"/>
          <w:sz w:val="28"/>
          <w:szCs w:val="28"/>
          <w:shd w:val="clear" w:color="auto" w:fill="FFFFFF"/>
          <w:lang w:val="es-ES"/>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 xml:space="preserve">(i) </w:t>
      </w:r>
      <w:r w:rsidRPr="00152C0F">
        <w:rPr>
          <w:rFonts w:ascii="Times New Roman" w:hAnsi="Times New Roman" w:cs="Times New Roman"/>
          <w:i/>
          <w:iCs/>
          <w:sz w:val="28"/>
          <w:szCs w:val="28"/>
          <w:shd w:val="clear" w:color="auto" w:fill="FFFFFF"/>
          <w:lang w:val="es-ES"/>
        </w:rPr>
        <w:t>Formulación inicial</w:t>
      </w:r>
      <w:r w:rsidRPr="00152C0F">
        <w:rPr>
          <w:rFonts w:ascii="Times New Roman" w:hAnsi="Times New Roman" w:cs="Times New Roman"/>
          <w:sz w:val="28"/>
          <w:szCs w:val="28"/>
          <w:shd w:val="clear" w:color="auto" w:fill="FFFFFF"/>
          <w:lang w:val="es-ES"/>
        </w:rPr>
        <w:t>,</w:t>
      </w:r>
      <w:r w:rsidRPr="00152C0F">
        <w:rPr>
          <w:rFonts w:ascii="Times New Roman" w:hAnsi="Times New Roman" w:cs="Times New Roman"/>
          <w:b/>
          <w:bCs/>
          <w:sz w:val="28"/>
          <w:szCs w:val="28"/>
          <w:shd w:val="clear" w:color="auto" w:fill="FFFFFF"/>
          <w:lang w:val="es-ES"/>
        </w:rPr>
        <w:t xml:space="preserve"> </w:t>
      </w:r>
      <w:r w:rsidRPr="00152C0F">
        <w:rPr>
          <w:rFonts w:ascii="Times New Roman" w:hAnsi="Times New Roman" w:cs="Times New Roman"/>
          <w:sz w:val="28"/>
          <w:szCs w:val="28"/>
          <w:shd w:val="clear" w:color="auto" w:fill="FFFFFF"/>
          <w:lang w:val="es-ES"/>
        </w:rPr>
        <w:t xml:space="preserve">que se adelanta bajo la coordinación </w:t>
      </w:r>
      <w:r w:rsidRPr="00152C0F">
        <w:rPr>
          <w:rFonts w:ascii="Times New Roman" w:hAnsi="Times New Roman" w:cs="Times New Roman"/>
          <w:sz w:val="28"/>
          <w:szCs w:val="28"/>
          <w:shd w:val="clear" w:color="auto" w:fill="FFFFFF"/>
          <w:lang w:val="es-ES"/>
        </w:rPr>
        <w:t>del director del Departamento Nacional de Planeación (artículo 15</w:t>
      </w:r>
      <w:r w:rsidRPr="00152C0F">
        <w:rPr>
          <w:rFonts w:ascii="Times New Roman" w:hAnsi="Times New Roman" w:cs="Times New Roman"/>
          <w:sz w:val="28"/>
          <w:szCs w:val="28"/>
          <w:shd w:val="clear" w:color="auto" w:fill="FFFFFF"/>
          <w:lang w:val="es-ES"/>
        </w:rPr>
        <w:t>,</w:t>
      </w:r>
      <w:r w:rsidRPr="00152C0F">
        <w:rPr>
          <w:rFonts w:ascii="Times New Roman" w:hAnsi="Times New Roman" w:cs="Times New Roman"/>
          <w:sz w:val="28"/>
          <w:szCs w:val="28"/>
          <w:shd w:val="clear" w:color="auto" w:fill="FFFFFF"/>
          <w:lang w:val="es-ES"/>
        </w:rPr>
        <w:t xml:space="preserve"> Ley 152 de 1994). </w:t>
      </w:r>
    </w:p>
    <w:p w:rsidR="00C174E7" w:rsidRPr="00152C0F" w:rsidRDefault="00152C0F" w:rsidP="00C174E7">
      <w:pPr>
        <w:pStyle w:val="Prrafodelista"/>
        <w:rPr>
          <w:rFonts w:ascii="Times New Roman" w:hAnsi="Times New Roman" w:cs="Times New Roman"/>
          <w:sz w:val="28"/>
          <w:szCs w:val="28"/>
          <w:shd w:val="clear" w:color="auto" w:fill="FFFFFF"/>
          <w:lang w:val="es-ES"/>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 xml:space="preserve">(ii) </w:t>
      </w:r>
      <w:r w:rsidRPr="00152C0F">
        <w:rPr>
          <w:rFonts w:ascii="Times New Roman" w:hAnsi="Times New Roman" w:cs="Times New Roman"/>
          <w:i/>
          <w:iCs/>
          <w:sz w:val="28"/>
          <w:szCs w:val="28"/>
          <w:shd w:val="clear" w:color="auto" w:fill="FFFFFF"/>
          <w:lang w:val="es-ES"/>
        </w:rPr>
        <w:t>Presentación al Consejo Nacional de Política Económica y Social (CONPES)</w:t>
      </w:r>
      <w:r w:rsidRPr="00152C0F">
        <w:rPr>
          <w:rFonts w:ascii="Times New Roman" w:hAnsi="Times New Roman" w:cs="Times New Roman"/>
          <w:sz w:val="28"/>
          <w:szCs w:val="28"/>
          <w:shd w:val="clear" w:color="auto" w:fill="FFFFFF"/>
          <w:lang w:val="es-ES"/>
        </w:rPr>
        <w:t>.</w:t>
      </w:r>
      <w:r w:rsidRPr="00152C0F">
        <w:rPr>
          <w:rFonts w:ascii="Times New Roman" w:hAnsi="Times New Roman" w:cs="Times New Roman"/>
          <w:b/>
          <w:bCs/>
          <w:sz w:val="28"/>
          <w:szCs w:val="28"/>
          <w:shd w:val="clear" w:color="auto" w:fill="FFFFFF"/>
          <w:lang w:val="es-ES"/>
        </w:rPr>
        <w:t xml:space="preserve"> </w:t>
      </w:r>
      <w:r w:rsidRPr="00152C0F">
        <w:rPr>
          <w:rFonts w:ascii="Times New Roman" w:hAnsi="Times New Roman" w:cs="Times New Roman"/>
          <w:sz w:val="28"/>
          <w:szCs w:val="28"/>
          <w:shd w:val="clear" w:color="auto" w:fill="FFFFFF"/>
          <w:lang w:val="es-ES"/>
        </w:rPr>
        <w:t>U</w:t>
      </w:r>
      <w:r w:rsidRPr="00152C0F">
        <w:rPr>
          <w:rFonts w:ascii="Times New Roman" w:hAnsi="Times New Roman" w:cs="Times New Roman"/>
          <w:sz w:val="28"/>
          <w:szCs w:val="28"/>
          <w:shd w:val="clear" w:color="auto" w:fill="FFFFFF"/>
          <w:lang w:val="es-ES"/>
        </w:rPr>
        <w:t xml:space="preserve">na vez formulada la propuesta inicial, </w:t>
      </w:r>
      <w:r w:rsidRPr="00152C0F">
        <w:rPr>
          <w:rFonts w:ascii="Times New Roman" w:hAnsi="Times New Roman" w:cs="Times New Roman"/>
          <w:sz w:val="28"/>
          <w:szCs w:val="28"/>
          <w:shd w:val="clear" w:color="auto" w:fill="FFFFFF"/>
          <w:lang w:val="es-ES"/>
        </w:rPr>
        <w:t>el director del Departamento Nacional de Planeació</w:t>
      </w:r>
      <w:r w:rsidRPr="00152C0F">
        <w:rPr>
          <w:rFonts w:ascii="Times New Roman" w:hAnsi="Times New Roman" w:cs="Times New Roman"/>
          <w:sz w:val="28"/>
          <w:szCs w:val="28"/>
          <w:shd w:val="clear" w:color="auto" w:fill="FFFFFF"/>
          <w:lang w:val="es-ES"/>
        </w:rPr>
        <w:t xml:space="preserve">n, </w:t>
      </w:r>
      <w:r w:rsidRPr="00152C0F">
        <w:rPr>
          <w:rFonts w:ascii="Times New Roman" w:hAnsi="Times New Roman" w:cs="Times New Roman"/>
          <w:sz w:val="28"/>
          <w:szCs w:val="28"/>
          <w:shd w:val="clear" w:color="auto" w:fill="FFFFFF"/>
          <w:lang w:val="es-ES"/>
        </w:rPr>
        <w:t>previo concepto del Consejo Superior de Política Fiscal (CONFIS) sobre las implicaciones fiscales del plan de inversiones, l</w:t>
      </w:r>
      <w:r w:rsidRPr="00152C0F">
        <w:rPr>
          <w:rFonts w:ascii="Times New Roman" w:hAnsi="Times New Roman" w:cs="Times New Roman"/>
          <w:sz w:val="28"/>
          <w:szCs w:val="28"/>
          <w:shd w:val="clear" w:color="auto" w:fill="FFFFFF"/>
          <w:lang w:val="es-ES"/>
        </w:rPr>
        <w:t>a</w:t>
      </w:r>
      <w:r w:rsidRPr="00152C0F">
        <w:rPr>
          <w:rFonts w:ascii="Times New Roman" w:hAnsi="Times New Roman" w:cs="Times New Roman"/>
          <w:sz w:val="28"/>
          <w:szCs w:val="28"/>
          <w:shd w:val="clear" w:color="auto" w:fill="FFFFFF"/>
          <w:lang w:val="es-ES"/>
        </w:rPr>
        <w:t xml:space="preserve"> debe presentar a consideración del CONPES ampliado (artículo 17</w:t>
      </w:r>
      <w:r w:rsidRPr="00152C0F">
        <w:rPr>
          <w:rFonts w:ascii="Times New Roman" w:hAnsi="Times New Roman" w:cs="Times New Roman"/>
          <w:sz w:val="28"/>
          <w:szCs w:val="28"/>
          <w:shd w:val="clear" w:color="auto" w:fill="FFFFFF"/>
          <w:lang w:val="es-ES"/>
        </w:rPr>
        <w:t>,</w:t>
      </w:r>
      <w:r w:rsidRPr="00152C0F">
        <w:rPr>
          <w:rFonts w:ascii="Times New Roman" w:hAnsi="Times New Roman" w:cs="Times New Roman"/>
          <w:sz w:val="28"/>
          <w:szCs w:val="28"/>
          <w:shd w:val="clear" w:color="auto" w:fill="FFFFFF"/>
          <w:lang w:val="es-ES"/>
        </w:rPr>
        <w:t xml:space="preserve"> Ley 152 de 1994)</w:t>
      </w:r>
      <w:r w:rsidRPr="00152C0F">
        <w:rPr>
          <w:rStyle w:val="Refdenotaalpie"/>
          <w:rFonts w:ascii="Times New Roman" w:hAnsi="Times New Roman" w:cs="Times New Roman"/>
          <w:sz w:val="28"/>
          <w:szCs w:val="28"/>
          <w:shd w:val="clear" w:color="auto" w:fill="FFFFFF"/>
          <w:lang w:val="es-ES"/>
        </w:rPr>
        <w:footnoteReference w:id="64"/>
      </w:r>
      <w:r w:rsidRPr="00152C0F">
        <w:rPr>
          <w:rFonts w:ascii="Times New Roman" w:hAnsi="Times New Roman" w:cs="Times New Roman"/>
          <w:sz w:val="28"/>
          <w:szCs w:val="28"/>
          <w:shd w:val="clear" w:color="auto" w:fill="FFFFFF"/>
          <w:lang w:val="es-ES"/>
        </w:rPr>
        <w:t>.</w:t>
      </w:r>
    </w:p>
    <w:p w:rsidR="00C174E7" w:rsidRPr="00152C0F" w:rsidRDefault="00152C0F" w:rsidP="00C174E7">
      <w:pPr>
        <w:pStyle w:val="Prrafodelista"/>
        <w:rPr>
          <w:rFonts w:ascii="Times New Roman" w:hAnsi="Times New Roman" w:cs="Times New Roman"/>
          <w:sz w:val="28"/>
          <w:szCs w:val="28"/>
          <w:shd w:val="clear" w:color="auto" w:fill="FFFFFF"/>
          <w:lang w:val="es-ES"/>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 xml:space="preserve">(iii) </w:t>
      </w:r>
      <w:r w:rsidRPr="00152C0F">
        <w:rPr>
          <w:rFonts w:ascii="Times New Roman" w:hAnsi="Times New Roman" w:cs="Times New Roman"/>
          <w:i/>
          <w:iCs/>
          <w:sz w:val="28"/>
          <w:szCs w:val="28"/>
          <w:shd w:val="clear" w:color="auto" w:fill="FFFFFF"/>
          <w:lang w:val="es-ES"/>
        </w:rPr>
        <w:t xml:space="preserve">Concepto del Consejo Nacional de </w:t>
      </w:r>
      <w:r w:rsidRPr="00152C0F">
        <w:rPr>
          <w:rFonts w:ascii="Times New Roman" w:hAnsi="Times New Roman" w:cs="Times New Roman"/>
          <w:i/>
          <w:iCs/>
          <w:sz w:val="28"/>
          <w:szCs w:val="28"/>
          <w:shd w:val="clear" w:color="auto" w:fill="FFFFFF"/>
          <w:lang w:val="es-ES"/>
        </w:rPr>
        <w:t>Planeación (CNP)</w:t>
      </w:r>
      <w:r w:rsidRPr="00152C0F">
        <w:rPr>
          <w:rFonts w:ascii="Times New Roman" w:hAnsi="Times New Roman" w:cs="Times New Roman"/>
          <w:sz w:val="28"/>
          <w:szCs w:val="28"/>
          <w:shd w:val="clear" w:color="auto" w:fill="FFFFFF"/>
          <w:lang w:val="es-ES"/>
        </w:rPr>
        <w:t>.</w:t>
      </w:r>
      <w:r w:rsidRPr="00152C0F">
        <w:rPr>
          <w:rFonts w:ascii="Times New Roman" w:hAnsi="Times New Roman" w:cs="Times New Roman"/>
          <w:b/>
          <w:bCs/>
          <w:sz w:val="28"/>
          <w:szCs w:val="28"/>
          <w:shd w:val="clear" w:color="auto" w:fill="FFFFFF"/>
          <w:lang w:val="es-ES"/>
        </w:rPr>
        <w:t> </w:t>
      </w:r>
      <w:r w:rsidRPr="00152C0F">
        <w:rPr>
          <w:rFonts w:ascii="Times New Roman" w:hAnsi="Times New Roman" w:cs="Times New Roman"/>
          <w:sz w:val="28"/>
          <w:szCs w:val="28"/>
          <w:shd w:val="clear" w:color="auto" w:fill="FFFFFF"/>
          <w:lang w:val="es-ES"/>
        </w:rPr>
        <w:t>E</w:t>
      </w:r>
      <w:r w:rsidRPr="00152C0F">
        <w:rPr>
          <w:rFonts w:ascii="Times New Roman" w:hAnsi="Times New Roman" w:cs="Times New Roman"/>
          <w:sz w:val="28"/>
          <w:szCs w:val="28"/>
          <w:shd w:val="clear" w:color="auto" w:fill="FFFFFF"/>
          <w:lang w:val="es-ES"/>
        </w:rPr>
        <w:t xml:space="preserve">l proyecto del plan nacional de desarrollo, como documento consolidado en sus diferentes componentes, debe ser sometido por el presidente de la República al concepto del </w:t>
      </w:r>
      <w:r w:rsidRPr="00152C0F">
        <w:rPr>
          <w:rFonts w:ascii="Times New Roman" w:hAnsi="Times New Roman" w:cs="Times New Roman"/>
          <w:sz w:val="28"/>
          <w:szCs w:val="28"/>
          <w:shd w:val="clear" w:color="auto" w:fill="FFFFFF"/>
          <w:lang w:val="es-ES"/>
        </w:rPr>
        <w:t>Consejo Nacional de Planeación</w:t>
      </w:r>
      <w:r w:rsidRPr="00152C0F">
        <w:rPr>
          <w:rStyle w:val="Refdenotaalpie"/>
          <w:rFonts w:ascii="Times New Roman" w:hAnsi="Times New Roman" w:cs="Times New Roman"/>
          <w:sz w:val="28"/>
          <w:szCs w:val="28"/>
          <w:shd w:val="clear" w:color="auto" w:fill="FFFFFF"/>
          <w:lang w:val="es-ES"/>
        </w:rPr>
        <w:footnoteReference w:id="65"/>
      </w:r>
      <w:r w:rsidRPr="00152C0F">
        <w:rPr>
          <w:rFonts w:ascii="Times New Roman" w:hAnsi="Times New Roman" w:cs="Times New Roman"/>
          <w:sz w:val="28"/>
          <w:szCs w:val="28"/>
          <w:shd w:val="clear" w:color="auto" w:fill="FFFFFF"/>
          <w:lang w:val="es-ES"/>
        </w:rPr>
        <w:t>, a más tardar el 15 de noviembre si</w:t>
      </w:r>
      <w:r w:rsidRPr="00152C0F">
        <w:rPr>
          <w:rFonts w:ascii="Times New Roman" w:hAnsi="Times New Roman" w:cs="Times New Roman"/>
          <w:sz w:val="28"/>
          <w:szCs w:val="28"/>
          <w:shd w:val="clear" w:color="auto" w:fill="FFFFFF"/>
          <w:lang w:val="es-ES"/>
        </w:rPr>
        <w:t>guiente al inicio del per</w:t>
      </w:r>
      <w:r w:rsidRPr="00152C0F">
        <w:rPr>
          <w:rFonts w:ascii="Times New Roman" w:hAnsi="Times New Roman" w:cs="Times New Roman"/>
          <w:sz w:val="28"/>
          <w:szCs w:val="28"/>
          <w:shd w:val="clear" w:color="auto" w:fill="FFFFFF"/>
          <w:lang w:val="es-ES"/>
        </w:rPr>
        <w:t>í</w:t>
      </w:r>
      <w:r w:rsidRPr="00152C0F">
        <w:rPr>
          <w:rFonts w:ascii="Times New Roman" w:hAnsi="Times New Roman" w:cs="Times New Roman"/>
          <w:sz w:val="28"/>
          <w:szCs w:val="28"/>
          <w:shd w:val="clear" w:color="auto" w:fill="FFFFFF"/>
          <w:lang w:val="es-ES"/>
        </w:rPr>
        <w:t>odo presidencial (artículo 18</w:t>
      </w:r>
      <w:r w:rsidRPr="00152C0F">
        <w:rPr>
          <w:rFonts w:ascii="Times New Roman" w:hAnsi="Times New Roman" w:cs="Times New Roman"/>
          <w:sz w:val="28"/>
          <w:szCs w:val="28"/>
          <w:shd w:val="clear" w:color="auto" w:fill="FFFFFF"/>
          <w:lang w:val="es-ES"/>
        </w:rPr>
        <w:t>,</w:t>
      </w:r>
      <w:r w:rsidRPr="00152C0F">
        <w:rPr>
          <w:rFonts w:ascii="Times New Roman" w:hAnsi="Times New Roman" w:cs="Times New Roman"/>
          <w:sz w:val="28"/>
          <w:szCs w:val="28"/>
          <w:shd w:val="clear" w:color="auto" w:fill="FFFFFF"/>
          <w:lang w:val="es-ES"/>
        </w:rPr>
        <w:t xml:space="preserve"> Ley 152 de 1994).</w:t>
      </w:r>
    </w:p>
    <w:p w:rsidR="00C174E7" w:rsidRPr="00152C0F" w:rsidRDefault="00152C0F" w:rsidP="00C174E7">
      <w:pPr>
        <w:pStyle w:val="Prrafodelista"/>
        <w:rPr>
          <w:rFonts w:ascii="Times New Roman" w:hAnsi="Times New Roman" w:cs="Times New Roman"/>
          <w:sz w:val="28"/>
          <w:szCs w:val="28"/>
          <w:shd w:val="clear" w:color="auto" w:fill="FFFFFF"/>
          <w:lang w:val="es-ES"/>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 xml:space="preserve">(iv) </w:t>
      </w:r>
      <w:r w:rsidRPr="00152C0F">
        <w:rPr>
          <w:rFonts w:ascii="Times New Roman" w:hAnsi="Times New Roman" w:cs="Times New Roman"/>
          <w:i/>
          <w:iCs/>
          <w:sz w:val="28"/>
          <w:szCs w:val="28"/>
          <w:shd w:val="clear" w:color="auto" w:fill="FFFFFF"/>
          <w:lang w:val="es-ES"/>
        </w:rPr>
        <w:t>Proyecto definitivo</w:t>
      </w:r>
      <w:r w:rsidRPr="00152C0F">
        <w:rPr>
          <w:rStyle w:val="Refdenotaalpie"/>
          <w:rFonts w:ascii="Times New Roman" w:hAnsi="Times New Roman" w:cs="Times New Roman"/>
          <w:sz w:val="28"/>
          <w:szCs w:val="28"/>
          <w:shd w:val="clear" w:color="auto" w:fill="FFFFFF"/>
          <w:lang w:val="es-ES"/>
        </w:rPr>
        <w:footnoteReference w:id="66"/>
      </w:r>
      <w:r w:rsidRPr="00152C0F">
        <w:rPr>
          <w:rFonts w:ascii="Times New Roman" w:hAnsi="Times New Roman" w:cs="Times New Roman"/>
          <w:sz w:val="28"/>
          <w:szCs w:val="28"/>
          <w:shd w:val="clear" w:color="auto" w:fill="FFFFFF"/>
          <w:lang w:val="es-ES"/>
        </w:rPr>
        <w:t>.</w:t>
      </w:r>
      <w:r w:rsidRPr="00152C0F">
        <w:rPr>
          <w:rFonts w:ascii="Times New Roman" w:hAnsi="Times New Roman" w:cs="Times New Roman"/>
          <w:sz w:val="28"/>
          <w:szCs w:val="28"/>
          <w:shd w:val="clear" w:color="auto" w:fill="FFFFFF"/>
          <w:lang w:val="es-ES"/>
        </w:rPr>
        <w:t> </w:t>
      </w:r>
      <w:r w:rsidRPr="00152C0F">
        <w:rPr>
          <w:rFonts w:ascii="Times New Roman" w:hAnsi="Times New Roman" w:cs="Times New Roman"/>
          <w:sz w:val="28"/>
          <w:szCs w:val="28"/>
          <w:shd w:val="clear" w:color="auto" w:fill="FFFFFF"/>
          <w:lang w:val="es-ES"/>
        </w:rPr>
        <w:t>O</w:t>
      </w:r>
      <w:r w:rsidRPr="00152C0F">
        <w:rPr>
          <w:rFonts w:ascii="Times New Roman" w:hAnsi="Times New Roman" w:cs="Times New Roman"/>
          <w:sz w:val="28"/>
          <w:szCs w:val="28"/>
          <w:shd w:val="clear" w:color="auto" w:fill="FFFFFF"/>
          <w:lang w:val="es-ES"/>
        </w:rPr>
        <w:t xml:space="preserve">ída la opinión del Consejo Nacional de Planeación, el CONPES </w:t>
      </w:r>
      <w:r w:rsidRPr="00152C0F">
        <w:rPr>
          <w:rFonts w:ascii="Times New Roman" w:hAnsi="Times New Roman" w:cs="Times New Roman"/>
          <w:sz w:val="28"/>
          <w:szCs w:val="28"/>
          <w:shd w:val="clear" w:color="auto" w:fill="FFFFFF"/>
          <w:lang w:val="es-ES"/>
        </w:rPr>
        <w:t>podrá</w:t>
      </w:r>
      <w:r w:rsidRPr="00152C0F">
        <w:rPr>
          <w:rFonts w:ascii="Times New Roman" w:hAnsi="Times New Roman" w:cs="Times New Roman"/>
          <w:sz w:val="28"/>
          <w:szCs w:val="28"/>
          <w:shd w:val="clear" w:color="auto" w:fill="FFFFFF"/>
          <w:lang w:val="es-ES"/>
        </w:rPr>
        <w:t xml:space="preserve"> realizar los ajustes que considere pertinentes, luego de lo cual “el Gobierno a través del Ministerio de Hacienda y Crédito Público presentará el proyecto a consideración del Congreso antes del 7 de febrero”, para lo cual lo debe convocar a sesiones extra</w:t>
      </w:r>
      <w:r w:rsidRPr="00152C0F">
        <w:rPr>
          <w:rFonts w:ascii="Times New Roman" w:hAnsi="Times New Roman" w:cs="Times New Roman"/>
          <w:sz w:val="28"/>
          <w:szCs w:val="28"/>
          <w:shd w:val="clear" w:color="auto" w:fill="FFFFFF"/>
          <w:lang w:val="es-ES"/>
        </w:rPr>
        <w:t>ordinarias.</w:t>
      </w:r>
    </w:p>
    <w:p w:rsidR="00C174E7" w:rsidRPr="00152C0F" w:rsidRDefault="00152C0F" w:rsidP="00C174E7">
      <w:pPr>
        <w:pStyle w:val="Prrafodelista"/>
        <w:rPr>
          <w:rFonts w:ascii="Times New Roman" w:hAnsi="Times New Roman" w:cs="Times New Roman"/>
          <w:sz w:val="28"/>
          <w:szCs w:val="28"/>
          <w:shd w:val="clear" w:color="auto" w:fill="FFFFFF"/>
          <w:lang w:val="es-ES"/>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 xml:space="preserve">Concluida la fase de elaboración, inicia la de </w:t>
      </w:r>
      <w:r w:rsidRPr="00152C0F">
        <w:rPr>
          <w:rFonts w:ascii="Times New Roman" w:hAnsi="Times New Roman" w:cs="Times New Roman"/>
          <w:i/>
          <w:iCs/>
          <w:sz w:val="28"/>
          <w:szCs w:val="28"/>
          <w:shd w:val="clear" w:color="auto" w:fill="FFFFFF"/>
          <w:lang w:val="es-ES"/>
        </w:rPr>
        <w:t>aprobación</w:t>
      </w:r>
      <w:r w:rsidRPr="00152C0F">
        <w:rPr>
          <w:rFonts w:ascii="Times New Roman" w:hAnsi="Times New Roman" w:cs="Times New Roman"/>
          <w:sz w:val="28"/>
          <w:szCs w:val="28"/>
          <w:shd w:val="clear" w:color="auto" w:fill="FFFFFF"/>
          <w:lang w:val="es-ES"/>
        </w:rPr>
        <w:t xml:space="preserve"> del plan nacional de desarrollo por parte del Congreso de la República, mediante un procedimiento legislativo </w:t>
      </w:r>
      <w:r w:rsidRPr="00152C0F">
        <w:rPr>
          <w:rFonts w:ascii="Times New Roman" w:hAnsi="Times New Roman" w:cs="Times New Roman"/>
          <w:sz w:val="28"/>
          <w:szCs w:val="28"/>
          <w:shd w:val="clear" w:color="auto" w:fill="FFFFFF"/>
          <w:lang w:val="es-ES"/>
        </w:rPr>
        <w:t xml:space="preserve">especial </w:t>
      </w:r>
      <w:r w:rsidRPr="00152C0F">
        <w:rPr>
          <w:rFonts w:ascii="Times New Roman" w:hAnsi="Times New Roman" w:cs="Times New Roman"/>
          <w:sz w:val="28"/>
          <w:szCs w:val="28"/>
          <w:shd w:val="clear" w:color="auto" w:fill="FFFFFF"/>
          <w:lang w:val="es-ES"/>
        </w:rPr>
        <w:t xml:space="preserve">que debe surtirse en un lapso </w:t>
      </w:r>
      <w:r w:rsidRPr="00152C0F">
        <w:rPr>
          <w:rFonts w:ascii="Times New Roman" w:hAnsi="Times New Roman" w:cs="Times New Roman"/>
          <w:sz w:val="28"/>
          <w:szCs w:val="28"/>
          <w:shd w:val="clear" w:color="auto" w:fill="FFFFFF"/>
          <w:lang w:val="es-ES"/>
        </w:rPr>
        <w:t xml:space="preserve">máximo </w:t>
      </w:r>
      <w:r w:rsidRPr="00152C0F">
        <w:rPr>
          <w:rFonts w:ascii="Times New Roman" w:hAnsi="Times New Roman" w:cs="Times New Roman"/>
          <w:sz w:val="28"/>
          <w:szCs w:val="28"/>
          <w:shd w:val="clear" w:color="auto" w:fill="FFFFFF"/>
          <w:lang w:val="es-ES"/>
        </w:rPr>
        <w:t xml:space="preserve">de </w:t>
      </w:r>
      <w:r w:rsidRPr="00152C0F">
        <w:rPr>
          <w:rFonts w:ascii="Times New Roman" w:hAnsi="Times New Roman" w:cs="Times New Roman"/>
          <w:sz w:val="28"/>
          <w:szCs w:val="28"/>
          <w:shd w:val="clear" w:color="auto" w:fill="FFFFFF"/>
          <w:lang w:val="es-ES"/>
        </w:rPr>
        <w:t>3</w:t>
      </w:r>
      <w:r w:rsidRPr="00152C0F">
        <w:rPr>
          <w:rFonts w:ascii="Times New Roman" w:hAnsi="Times New Roman" w:cs="Times New Roman"/>
          <w:sz w:val="28"/>
          <w:szCs w:val="28"/>
          <w:shd w:val="clear" w:color="auto" w:fill="FFFFFF"/>
          <w:lang w:val="es-ES"/>
        </w:rPr>
        <w:t xml:space="preserve"> meses</w:t>
      </w:r>
      <w:r w:rsidRPr="00152C0F">
        <w:rPr>
          <w:rFonts w:ascii="Times New Roman" w:hAnsi="Times New Roman" w:cs="Times New Roman"/>
          <w:sz w:val="28"/>
          <w:szCs w:val="28"/>
          <w:shd w:val="clear" w:color="auto" w:fill="FFFFFF"/>
          <w:lang w:val="es-ES"/>
        </w:rPr>
        <w:t xml:space="preserve"> improrrogable</w:t>
      </w:r>
      <w:r w:rsidRPr="00152C0F">
        <w:rPr>
          <w:rFonts w:ascii="Times New Roman" w:hAnsi="Times New Roman" w:cs="Times New Roman"/>
          <w:sz w:val="28"/>
          <w:szCs w:val="28"/>
          <w:shd w:val="clear" w:color="auto" w:fill="FFFFFF"/>
          <w:lang w:val="es-ES"/>
        </w:rPr>
        <w:t>.</w:t>
      </w:r>
    </w:p>
    <w:p w:rsidR="00C174E7" w:rsidRPr="00152C0F" w:rsidRDefault="00152C0F" w:rsidP="009D4B62">
      <w:pPr>
        <w:pStyle w:val="Prrafodelista"/>
        <w:ind w:left="0"/>
        <w:jc w:val="both"/>
        <w:rPr>
          <w:rFonts w:ascii="Times New Roman" w:hAnsi="Times New Roman" w:cs="Times New Roman"/>
          <w:sz w:val="28"/>
          <w:szCs w:val="28"/>
          <w:shd w:val="clear" w:color="auto" w:fill="FFFFFF"/>
          <w:lang w:val="es-ES"/>
        </w:rPr>
      </w:pPr>
    </w:p>
    <w:p w:rsidR="009D4B62" w:rsidRPr="00152C0F" w:rsidRDefault="00152C0F" w:rsidP="00A17EA0">
      <w:pPr>
        <w:pStyle w:val="Estilo1"/>
        <w:numPr>
          <w:ilvl w:val="0"/>
          <w:numId w:val="4"/>
        </w:numPr>
        <w:ind w:left="0" w:firstLine="0"/>
        <w:outlineLvl w:val="0"/>
        <w:rPr>
          <w:rStyle w:val="Ttulo1Car"/>
          <w:rFonts w:ascii="Times New Roman" w:hAnsi="Times New Roman" w:cs="Times New Roman"/>
          <w:bCs/>
          <w:color w:val="auto"/>
          <w:sz w:val="28"/>
          <w:szCs w:val="28"/>
        </w:rPr>
      </w:pPr>
      <w:r w:rsidRPr="00152C0F">
        <w:rPr>
          <w:rFonts w:ascii="Times New Roman" w:hAnsi="Times New Roman" w:cs="Times New Roman"/>
          <w:b/>
          <w:bCs/>
        </w:rPr>
        <w:t>Características de la ley aprobatoria del plan nacional de desarrollo</w:t>
      </w:r>
      <w:r w:rsidRPr="00152C0F">
        <w:rPr>
          <w:rStyle w:val="Refdenotaalpie"/>
          <w:rFonts w:ascii="Times New Roman" w:eastAsia="Cambria" w:hAnsi="Times New Roman" w:cs="Times New Roman"/>
          <w:b/>
          <w:bCs/>
        </w:rPr>
        <w:footnoteReference w:id="67"/>
      </w:r>
    </w:p>
    <w:p w:rsidR="009D4B62" w:rsidRPr="00152C0F" w:rsidRDefault="00152C0F" w:rsidP="009D4B62">
      <w:pPr>
        <w:pStyle w:val="Prrafodelista"/>
        <w:ind w:left="0"/>
        <w:jc w:val="both"/>
        <w:rPr>
          <w:rFonts w:ascii="Times New Roman" w:hAnsi="Times New Roman" w:cs="Times New Roman"/>
          <w:sz w:val="28"/>
          <w:szCs w:val="28"/>
          <w:shd w:val="clear" w:color="auto" w:fill="FFFFFF"/>
          <w:lang w:val="es-ES"/>
        </w:rPr>
      </w:pPr>
    </w:p>
    <w:p w:rsidR="001F0489" w:rsidRPr="00152C0F" w:rsidRDefault="00152C0F" w:rsidP="00F64571">
      <w:pPr>
        <w:pStyle w:val="Prrafodelista"/>
        <w:numPr>
          <w:ilvl w:val="0"/>
          <w:numId w:val="2"/>
        </w:numPr>
        <w:ind w:left="0" w:firstLine="0"/>
        <w:jc w:val="both"/>
        <w:rPr>
          <w:rFonts w:ascii="Times New Roman" w:hAnsi="Times New Roman" w:cs="Times New Roman"/>
          <w:sz w:val="28"/>
          <w:szCs w:val="28"/>
        </w:rPr>
      </w:pPr>
      <w:r w:rsidRPr="00152C0F">
        <w:rPr>
          <w:rFonts w:ascii="Times New Roman" w:eastAsia="Calibri" w:hAnsi="Times New Roman" w:cs="Times New Roman"/>
          <w:sz w:val="28"/>
          <w:szCs w:val="28"/>
        </w:rPr>
        <w:t>La ley aprobatoria del plan nacional de desarrollo es una ley ordinaria y, por tanto, su aprobación sólo requiere</w:t>
      </w:r>
      <w:r w:rsidRPr="00152C0F">
        <w:rPr>
          <w:rFonts w:ascii="Times New Roman" w:eastAsia="Calibri" w:hAnsi="Times New Roman" w:cs="Times New Roman"/>
          <w:sz w:val="28"/>
          <w:szCs w:val="28"/>
        </w:rPr>
        <w:t xml:space="preserve"> mayoría simple</w:t>
      </w:r>
      <w:r w:rsidRPr="00152C0F">
        <w:rPr>
          <w:rFonts w:ascii="Times New Roman" w:eastAsia="Calibri" w:hAnsi="Times New Roman" w:cs="Times New Roman"/>
          <w:sz w:val="28"/>
          <w:szCs w:val="28"/>
        </w:rPr>
        <w:t xml:space="preserve"> </w:t>
      </w:r>
      <w:r w:rsidRPr="00152C0F">
        <w:rPr>
          <w:rFonts w:ascii="Times New Roman" w:eastAsia="Calibri" w:hAnsi="Times New Roman" w:cs="Times New Roman"/>
          <w:sz w:val="28"/>
          <w:szCs w:val="28"/>
        </w:rPr>
        <w:t>(</w:t>
      </w:r>
      <w:r w:rsidRPr="00152C0F">
        <w:rPr>
          <w:rFonts w:ascii="Times New Roman" w:eastAsia="Calibri" w:hAnsi="Times New Roman" w:cs="Times New Roman"/>
          <w:sz w:val="28"/>
          <w:szCs w:val="28"/>
        </w:rPr>
        <w:t>la mayoría de los votos de los asistentes).</w:t>
      </w:r>
    </w:p>
    <w:p w:rsidR="001F0489" w:rsidRPr="00152C0F" w:rsidRDefault="00152C0F" w:rsidP="001F0489">
      <w:pPr>
        <w:pStyle w:val="Prrafodelista"/>
        <w:ind w:left="0"/>
        <w:jc w:val="both"/>
        <w:rPr>
          <w:rFonts w:ascii="Times New Roman" w:hAnsi="Times New Roman" w:cs="Times New Roman"/>
          <w:sz w:val="28"/>
          <w:szCs w:val="28"/>
        </w:rPr>
      </w:pPr>
    </w:p>
    <w:p w:rsidR="00F64571" w:rsidRPr="00152C0F" w:rsidRDefault="00152C0F" w:rsidP="00F64571">
      <w:pPr>
        <w:pStyle w:val="Prrafodelista"/>
        <w:numPr>
          <w:ilvl w:val="0"/>
          <w:numId w:val="2"/>
        </w:numPr>
        <w:ind w:left="0" w:firstLine="0"/>
        <w:jc w:val="both"/>
        <w:rPr>
          <w:rFonts w:ascii="Times New Roman" w:hAnsi="Times New Roman" w:cs="Times New Roman"/>
          <w:sz w:val="28"/>
          <w:szCs w:val="28"/>
        </w:rPr>
      </w:pPr>
      <w:r w:rsidRPr="00152C0F">
        <w:rPr>
          <w:rFonts w:ascii="Times New Roman" w:eastAsia="Calibri" w:hAnsi="Times New Roman" w:cs="Times New Roman"/>
          <w:sz w:val="28"/>
          <w:szCs w:val="28"/>
        </w:rPr>
        <w:t>Dicha</w:t>
      </w:r>
      <w:r w:rsidRPr="00152C0F">
        <w:rPr>
          <w:rFonts w:ascii="Times New Roman" w:eastAsia="Calibri" w:hAnsi="Times New Roman" w:cs="Times New Roman"/>
          <w:sz w:val="28"/>
          <w:szCs w:val="28"/>
        </w:rPr>
        <w:t xml:space="preserve"> ley se tramita mediante un procedimiento especial regulado en el artículo 341 de la Constitución y en la Ley Orgánica 152 de 1994, procedimiento</w:t>
      </w:r>
      <w:r w:rsidRPr="00152C0F">
        <w:rPr>
          <w:rFonts w:ascii="Times New Roman" w:eastAsia="Calibri" w:hAnsi="Times New Roman" w:cs="Times New Roman"/>
          <w:sz w:val="28"/>
          <w:szCs w:val="28"/>
          <w:lang w:eastAsia="en-US"/>
        </w:rPr>
        <w:t xml:space="preserve"> que, como se verá enseguida, resulta ser </w:t>
      </w:r>
      <w:r w:rsidRPr="00152C0F">
        <w:rPr>
          <w:rFonts w:ascii="Times New Roman" w:eastAsia="Calibri" w:hAnsi="Times New Roman" w:cs="Times New Roman"/>
          <w:sz w:val="28"/>
          <w:szCs w:val="28"/>
          <w:lang w:eastAsia="en-US"/>
        </w:rPr>
        <w:t>–</w:t>
      </w:r>
      <w:r w:rsidRPr="00152C0F">
        <w:rPr>
          <w:rFonts w:ascii="Times New Roman" w:eastAsia="Calibri" w:hAnsi="Times New Roman" w:cs="Times New Roman"/>
          <w:sz w:val="28"/>
          <w:szCs w:val="28"/>
          <w:lang w:eastAsia="en-US"/>
        </w:rPr>
        <w:t>respecto del procedimiento legislativo ordinario</w:t>
      </w:r>
      <w:r w:rsidRPr="00152C0F">
        <w:rPr>
          <w:rFonts w:ascii="Times New Roman" w:eastAsia="Calibri" w:hAnsi="Times New Roman" w:cs="Times New Roman"/>
          <w:sz w:val="28"/>
          <w:szCs w:val="28"/>
          <w:lang w:eastAsia="en-US"/>
        </w:rPr>
        <w:t>–</w:t>
      </w:r>
      <w:r w:rsidRPr="00152C0F">
        <w:rPr>
          <w:rFonts w:ascii="Times New Roman" w:eastAsia="Calibri" w:hAnsi="Times New Roman" w:cs="Times New Roman"/>
          <w:sz w:val="28"/>
          <w:szCs w:val="28"/>
          <w:lang w:eastAsia="en-US"/>
        </w:rPr>
        <w:t xml:space="preserve">, </w:t>
      </w:r>
      <w:r w:rsidRPr="00152C0F">
        <w:rPr>
          <w:rFonts w:ascii="Times New Roman" w:eastAsia="Calibri" w:hAnsi="Times New Roman" w:cs="Times New Roman"/>
          <w:sz w:val="28"/>
          <w:szCs w:val="28"/>
          <w:lang w:eastAsia="en-US"/>
        </w:rPr>
        <w:t xml:space="preserve">más </w:t>
      </w:r>
      <w:r w:rsidRPr="00152C0F">
        <w:rPr>
          <w:rFonts w:ascii="Times New Roman" w:eastAsia="Calibri" w:hAnsi="Times New Roman" w:cs="Times New Roman"/>
          <w:sz w:val="28"/>
          <w:szCs w:val="28"/>
          <w:lang w:eastAsia="en-US"/>
        </w:rPr>
        <w:t xml:space="preserve">abreviado </w:t>
      </w:r>
      <w:r w:rsidRPr="00152C0F">
        <w:rPr>
          <w:rFonts w:ascii="Times New Roman" w:eastAsia="Calibri" w:hAnsi="Times New Roman" w:cs="Times New Roman"/>
          <w:sz w:val="28"/>
          <w:szCs w:val="28"/>
          <w:lang w:eastAsia="en-US"/>
        </w:rPr>
        <w:t xml:space="preserve">en </w:t>
      </w:r>
      <w:r w:rsidRPr="00152C0F">
        <w:rPr>
          <w:rFonts w:ascii="Times New Roman" w:eastAsia="Calibri" w:hAnsi="Times New Roman" w:cs="Times New Roman"/>
          <w:sz w:val="28"/>
          <w:szCs w:val="28"/>
          <w:lang w:eastAsia="en-US"/>
        </w:rPr>
        <w:t xml:space="preserve">cuanto a los plazos para </w:t>
      </w:r>
      <w:r w:rsidRPr="00152C0F">
        <w:rPr>
          <w:rFonts w:ascii="Times New Roman" w:eastAsia="Calibri" w:hAnsi="Times New Roman" w:cs="Times New Roman"/>
          <w:sz w:val="28"/>
          <w:szCs w:val="28"/>
          <w:lang w:eastAsia="en-US"/>
        </w:rPr>
        <w:t>la aprobación del proyecto en primer y segundo debates en cada cámara,</w:t>
      </w:r>
      <w:r w:rsidRPr="00152C0F">
        <w:rPr>
          <w:rFonts w:ascii="Times New Roman" w:eastAsia="Calibri" w:hAnsi="Times New Roman" w:cs="Times New Roman"/>
          <w:sz w:val="28"/>
          <w:szCs w:val="28"/>
          <w:lang w:eastAsia="en-US"/>
        </w:rPr>
        <w:t xml:space="preserve"> </w:t>
      </w:r>
      <w:r w:rsidRPr="00152C0F">
        <w:rPr>
          <w:rFonts w:ascii="Times New Roman" w:eastAsia="Calibri" w:hAnsi="Times New Roman" w:cs="Times New Roman"/>
          <w:sz w:val="28"/>
          <w:szCs w:val="28"/>
          <w:lang w:eastAsia="en-US"/>
        </w:rPr>
        <w:t>y más limitado en cuanto a las competencias del Congreso</w:t>
      </w:r>
      <w:r w:rsidRPr="00152C0F">
        <w:rPr>
          <w:rFonts w:ascii="Times New Roman" w:eastAsia="Calibri" w:hAnsi="Times New Roman" w:cs="Times New Roman"/>
          <w:sz w:val="28"/>
          <w:szCs w:val="28"/>
        </w:rPr>
        <w:t>.</w:t>
      </w:r>
    </w:p>
    <w:p w:rsidR="00F64571" w:rsidRPr="00152C0F" w:rsidRDefault="00152C0F" w:rsidP="00F64571">
      <w:pPr>
        <w:pStyle w:val="Prrafodelista"/>
        <w:ind w:left="0"/>
        <w:jc w:val="both"/>
        <w:rPr>
          <w:rFonts w:ascii="Times New Roman" w:hAnsi="Times New Roman" w:cs="Times New Roman"/>
          <w:sz w:val="28"/>
          <w:szCs w:val="28"/>
        </w:rPr>
      </w:pPr>
    </w:p>
    <w:p w:rsidR="00F64571" w:rsidRPr="00152C0F" w:rsidRDefault="00152C0F" w:rsidP="00F64571">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Esto es así por decisión expresa del constituyente al decidir sobre la competencia del </w:t>
      </w:r>
      <w:r w:rsidRPr="00152C0F">
        <w:rPr>
          <w:rFonts w:ascii="Times New Roman" w:hAnsi="Times New Roman" w:cs="Times New Roman"/>
          <w:sz w:val="28"/>
          <w:szCs w:val="28"/>
        </w:rPr>
        <w:t>C</w:t>
      </w:r>
      <w:r w:rsidRPr="00152C0F">
        <w:rPr>
          <w:rFonts w:ascii="Times New Roman" w:hAnsi="Times New Roman" w:cs="Times New Roman"/>
          <w:sz w:val="28"/>
          <w:szCs w:val="28"/>
        </w:rPr>
        <w:t>ongreso en re</w:t>
      </w:r>
      <w:r w:rsidRPr="00152C0F">
        <w:rPr>
          <w:rFonts w:ascii="Times New Roman" w:hAnsi="Times New Roman" w:cs="Times New Roman"/>
          <w:sz w:val="28"/>
          <w:szCs w:val="28"/>
        </w:rPr>
        <w:t xml:space="preserve">lación con </w:t>
      </w:r>
      <w:r w:rsidRPr="00152C0F">
        <w:rPr>
          <w:rFonts w:ascii="Times New Roman" w:hAnsi="Times New Roman" w:cs="Times New Roman"/>
          <w:sz w:val="28"/>
          <w:szCs w:val="28"/>
        </w:rPr>
        <w:t>el</w:t>
      </w:r>
      <w:r w:rsidRPr="00152C0F">
        <w:rPr>
          <w:rFonts w:ascii="Times New Roman" w:hAnsi="Times New Roman" w:cs="Times New Roman"/>
          <w:sz w:val="28"/>
          <w:szCs w:val="28"/>
        </w:rPr>
        <w:t xml:space="preserve"> plan nacional de desarrollo. En efecto, en los debates de sesión plenaria, al decidir sobre el papel del </w:t>
      </w:r>
      <w:r w:rsidRPr="00152C0F">
        <w:rPr>
          <w:rFonts w:ascii="Times New Roman" w:hAnsi="Times New Roman" w:cs="Times New Roman"/>
          <w:sz w:val="28"/>
          <w:szCs w:val="28"/>
        </w:rPr>
        <w:t>C</w:t>
      </w:r>
      <w:r w:rsidRPr="00152C0F">
        <w:rPr>
          <w:rFonts w:ascii="Times New Roman" w:hAnsi="Times New Roman" w:cs="Times New Roman"/>
          <w:sz w:val="28"/>
          <w:szCs w:val="28"/>
        </w:rPr>
        <w:t xml:space="preserve">ongreso </w:t>
      </w:r>
      <w:r w:rsidRPr="00152C0F">
        <w:rPr>
          <w:rFonts w:ascii="Times New Roman" w:hAnsi="Times New Roman" w:cs="Times New Roman"/>
          <w:sz w:val="28"/>
          <w:szCs w:val="28"/>
        </w:rPr>
        <w:t xml:space="preserve">de la República </w:t>
      </w:r>
      <w:r w:rsidRPr="00152C0F">
        <w:rPr>
          <w:rFonts w:ascii="Times New Roman" w:hAnsi="Times New Roman" w:cs="Times New Roman"/>
          <w:sz w:val="28"/>
          <w:szCs w:val="28"/>
        </w:rPr>
        <w:t xml:space="preserve">en materia de planeación, se acordó dejar entre corchetes la palabra “aprobar” (ver transcripción </w:t>
      </w:r>
      <w:r w:rsidRPr="00152C0F">
        <w:rPr>
          <w:rFonts w:ascii="Times New Roman" w:hAnsi="Times New Roman" w:cs="Times New Roman"/>
          <w:sz w:val="28"/>
          <w:szCs w:val="28"/>
        </w:rPr>
        <w:t xml:space="preserve">de la </w:t>
      </w:r>
      <w:r w:rsidRPr="00152C0F">
        <w:rPr>
          <w:rFonts w:ascii="Times New Roman" w:hAnsi="Times New Roman" w:cs="Times New Roman"/>
          <w:sz w:val="28"/>
          <w:szCs w:val="28"/>
        </w:rPr>
        <w:t xml:space="preserve">sesión </w:t>
      </w:r>
      <w:r w:rsidRPr="00152C0F">
        <w:rPr>
          <w:rFonts w:ascii="Times New Roman" w:hAnsi="Times New Roman" w:cs="Times New Roman"/>
          <w:sz w:val="28"/>
          <w:szCs w:val="28"/>
        </w:rPr>
        <w:t>de j</w:t>
      </w:r>
      <w:r w:rsidRPr="00152C0F">
        <w:rPr>
          <w:rFonts w:ascii="Times New Roman" w:hAnsi="Times New Roman" w:cs="Times New Roman"/>
          <w:sz w:val="28"/>
          <w:szCs w:val="28"/>
        </w:rPr>
        <w:t>unio 11 de 1991). Luego</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en la Comisión codificadora (junio 14 de 1991), se dijo:</w:t>
      </w:r>
    </w:p>
    <w:p w:rsidR="00F64571" w:rsidRPr="00152C0F" w:rsidRDefault="00152C0F" w:rsidP="00F64571">
      <w:pPr>
        <w:pStyle w:val="Prrafodelista"/>
        <w:ind w:left="0"/>
        <w:jc w:val="both"/>
        <w:rPr>
          <w:rFonts w:ascii="Times New Roman" w:hAnsi="Times New Roman" w:cs="Times New Roman"/>
          <w:sz w:val="28"/>
          <w:szCs w:val="28"/>
        </w:rPr>
      </w:pPr>
    </w:p>
    <w:p w:rsidR="00F64571" w:rsidRPr="00152C0F" w:rsidRDefault="00152C0F" w:rsidP="00DD3D98">
      <w:pPr>
        <w:pStyle w:val="NormalWeb"/>
        <w:ind w:left="567" w:right="618"/>
        <w:jc w:val="both"/>
        <w:rPr>
          <w:rFonts w:ascii="Times New Roman" w:hAnsi="Times New Roman" w:cs="Times New Roman"/>
          <w:sz w:val="28"/>
        </w:rPr>
      </w:pPr>
      <w:r w:rsidRPr="00152C0F">
        <w:rPr>
          <w:rFonts w:ascii="Times New Roman" w:hAnsi="Times New Roman" w:cs="Times New Roman"/>
          <w:sz w:val="28"/>
        </w:rPr>
        <w:t xml:space="preserve">“(...) la intención, al menos en las discusiones en la comisión, era la de circunscribir la función del Congreso, la función legislativa, a la </w:t>
      </w:r>
      <w:r w:rsidRPr="00152C0F">
        <w:rPr>
          <w:rFonts w:ascii="Times New Roman" w:hAnsi="Times New Roman" w:cs="Times New Roman"/>
          <w:sz w:val="28"/>
          <w:u w:val="single"/>
        </w:rPr>
        <w:t>aprobación</w:t>
      </w:r>
      <w:r w:rsidRPr="00152C0F">
        <w:rPr>
          <w:rFonts w:ascii="Times New Roman" w:hAnsi="Times New Roman" w:cs="Times New Roman"/>
          <w:sz w:val="28"/>
        </w:rPr>
        <w:t>, por considerar</w:t>
      </w:r>
      <w:r w:rsidRPr="00152C0F">
        <w:rPr>
          <w:rFonts w:ascii="Times New Roman" w:hAnsi="Times New Roman" w:cs="Times New Roman"/>
          <w:sz w:val="28"/>
        </w:rPr>
        <w:t xml:space="preserve"> que el verbo </w:t>
      </w:r>
      <w:r w:rsidRPr="00152C0F">
        <w:rPr>
          <w:rFonts w:ascii="Times New Roman" w:hAnsi="Times New Roman" w:cs="Times New Roman"/>
          <w:sz w:val="28"/>
          <w:u w:val="single"/>
        </w:rPr>
        <w:t>fijar</w:t>
      </w:r>
      <w:r w:rsidRPr="00152C0F">
        <w:rPr>
          <w:rFonts w:ascii="Times New Roman" w:hAnsi="Times New Roman" w:cs="Times New Roman"/>
          <w:sz w:val="28"/>
        </w:rPr>
        <w:t xml:space="preserve"> tenía una connotación más amplia, ese fue un criterio que se tuvo en cuenta en las discusiones en la Comisión”.</w:t>
      </w:r>
    </w:p>
    <w:p w:rsidR="00F64571" w:rsidRPr="00152C0F" w:rsidRDefault="00152C0F" w:rsidP="00F64571">
      <w:pPr>
        <w:pStyle w:val="Prrafodelista"/>
        <w:ind w:left="0"/>
        <w:jc w:val="both"/>
        <w:rPr>
          <w:rFonts w:ascii="Times New Roman" w:hAnsi="Times New Roman" w:cs="Times New Roman"/>
          <w:sz w:val="28"/>
          <w:szCs w:val="28"/>
        </w:rPr>
      </w:pPr>
    </w:p>
    <w:p w:rsidR="00F64571" w:rsidRPr="00152C0F" w:rsidRDefault="00152C0F" w:rsidP="00F64571">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Así mismo, dicha </w:t>
      </w:r>
      <w:r w:rsidRPr="00152C0F">
        <w:rPr>
          <w:rFonts w:ascii="Times New Roman" w:hAnsi="Times New Roman" w:cs="Times New Roman"/>
          <w:sz w:val="28"/>
          <w:szCs w:val="28"/>
        </w:rPr>
        <w:t>c</w:t>
      </w:r>
      <w:r w:rsidRPr="00152C0F">
        <w:rPr>
          <w:rFonts w:ascii="Times New Roman" w:hAnsi="Times New Roman" w:cs="Times New Roman"/>
          <w:sz w:val="28"/>
          <w:szCs w:val="28"/>
        </w:rPr>
        <w:t xml:space="preserve">omisión, al examinar la redacción del artículo 150.3, hizo alusión a la redacción del </w:t>
      </w:r>
      <w:r w:rsidRPr="00152C0F">
        <w:rPr>
          <w:rFonts w:ascii="Times New Roman" w:hAnsi="Times New Roman" w:cs="Times New Roman"/>
          <w:sz w:val="28"/>
          <w:szCs w:val="28"/>
        </w:rPr>
        <w:t xml:space="preserve">ordinal </w:t>
      </w:r>
      <w:r w:rsidRPr="00152C0F">
        <w:rPr>
          <w:rFonts w:ascii="Times New Roman" w:hAnsi="Times New Roman" w:cs="Times New Roman"/>
          <w:sz w:val="28"/>
          <w:szCs w:val="28"/>
        </w:rPr>
        <w:t>4 del artíc</w:t>
      </w:r>
      <w:r w:rsidRPr="00152C0F">
        <w:rPr>
          <w:rFonts w:ascii="Times New Roman" w:hAnsi="Times New Roman" w:cs="Times New Roman"/>
          <w:sz w:val="28"/>
          <w:szCs w:val="28"/>
        </w:rPr>
        <w:t xml:space="preserve">ulo 76 de la Constitución anterior, para explicar el cambio de la palabra “fijar” por </w:t>
      </w:r>
      <w:r w:rsidRPr="00152C0F">
        <w:rPr>
          <w:rFonts w:ascii="Times New Roman" w:hAnsi="Times New Roman" w:cs="Times New Roman"/>
          <w:sz w:val="28"/>
          <w:szCs w:val="28"/>
        </w:rPr>
        <w:t xml:space="preserve">la </w:t>
      </w:r>
      <w:r w:rsidRPr="00152C0F">
        <w:rPr>
          <w:rFonts w:ascii="Times New Roman" w:hAnsi="Times New Roman" w:cs="Times New Roman"/>
          <w:sz w:val="28"/>
          <w:szCs w:val="28"/>
        </w:rPr>
        <w:t>de “aprobar”</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con el propósito explícito de limitar la competencia del Congreso:</w:t>
      </w:r>
    </w:p>
    <w:p w:rsidR="00F64571" w:rsidRPr="00152C0F" w:rsidRDefault="00152C0F" w:rsidP="00F64571">
      <w:pPr>
        <w:pStyle w:val="Prrafodelista"/>
        <w:ind w:left="0"/>
        <w:jc w:val="both"/>
        <w:rPr>
          <w:rFonts w:ascii="Times New Roman" w:hAnsi="Times New Roman" w:cs="Times New Roman"/>
          <w:sz w:val="28"/>
          <w:szCs w:val="28"/>
        </w:rPr>
      </w:pPr>
    </w:p>
    <w:p w:rsidR="00F64571" w:rsidRPr="00152C0F" w:rsidRDefault="00152C0F" w:rsidP="00DD3D98">
      <w:pPr>
        <w:pStyle w:val="NormalWeb"/>
        <w:ind w:left="567" w:right="618"/>
        <w:jc w:val="both"/>
        <w:rPr>
          <w:rFonts w:ascii="Times New Roman" w:hAnsi="Times New Roman" w:cs="Times New Roman"/>
          <w:sz w:val="28"/>
        </w:rPr>
      </w:pPr>
      <w:r w:rsidRPr="00152C0F">
        <w:rPr>
          <w:rFonts w:ascii="Times New Roman" w:hAnsi="Times New Roman" w:cs="Times New Roman"/>
          <w:sz w:val="28"/>
        </w:rPr>
        <w:t>“</w:t>
      </w:r>
      <w:r w:rsidRPr="00152C0F">
        <w:rPr>
          <w:rFonts w:ascii="Times New Roman" w:hAnsi="Times New Roman" w:cs="Times New Roman"/>
          <w:sz w:val="28"/>
        </w:rPr>
        <w:t>[</w:t>
      </w:r>
      <w:r w:rsidRPr="00152C0F">
        <w:rPr>
          <w:rFonts w:ascii="Times New Roman" w:hAnsi="Times New Roman" w:cs="Times New Roman"/>
          <w:sz w:val="28"/>
        </w:rPr>
        <w:t>...</w:t>
      </w:r>
      <w:r w:rsidRPr="00152C0F">
        <w:rPr>
          <w:rFonts w:ascii="Times New Roman" w:hAnsi="Times New Roman" w:cs="Times New Roman"/>
          <w:sz w:val="28"/>
        </w:rPr>
        <w:t>]</w:t>
      </w:r>
      <w:r w:rsidRPr="00152C0F">
        <w:rPr>
          <w:rFonts w:ascii="Times New Roman" w:hAnsi="Times New Roman" w:cs="Times New Roman"/>
          <w:sz w:val="28"/>
        </w:rPr>
        <w:t xml:space="preserve"> está más preciso el numeral cuarto actual del artículo 76 que este proyecto qu</w:t>
      </w:r>
      <w:r w:rsidRPr="00152C0F">
        <w:rPr>
          <w:rFonts w:ascii="Times New Roman" w:hAnsi="Times New Roman" w:cs="Times New Roman"/>
          <w:sz w:val="28"/>
        </w:rPr>
        <w:t xml:space="preserve">e se hizo, que es un recorte del actual numeral 4, que no es especialmente afortunado, salvo en cuanto a lo que la Comisión Quinta en lugar de dejar la expresión </w:t>
      </w:r>
      <w:r w:rsidRPr="00152C0F">
        <w:rPr>
          <w:rFonts w:ascii="Times New Roman" w:hAnsi="Times New Roman" w:cs="Times New Roman"/>
          <w:sz w:val="28"/>
          <w:u w:val="single"/>
        </w:rPr>
        <w:t>fijar</w:t>
      </w:r>
      <w:r w:rsidRPr="00152C0F">
        <w:rPr>
          <w:rFonts w:ascii="Times New Roman" w:hAnsi="Times New Roman" w:cs="Times New Roman"/>
          <w:sz w:val="28"/>
        </w:rPr>
        <w:t xml:space="preserve"> los planes que tiene el artículo actual, puso </w:t>
      </w:r>
      <w:r w:rsidRPr="00152C0F">
        <w:rPr>
          <w:rFonts w:ascii="Times New Roman" w:hAnsi="Times New Roman" w:cs="Times New Roman"/>
          <w:sz w:val="28"/>
          <w:u w:val="single"/>
        </w:rPr>
        <w:t>aprobar, para disminuir un poco esa facult</w:t>
      </w:r>
      <w:r w:rsidRPr="00152C0F">
        <w:rPr>
          <w:rFonts w:ascii="Times New Roman" w:hAnsi="Times New Roman" w:cs="Times New Roman"/>
          <w:sz w:val="28"/>
          <w:u w:val="single"/>
        </w:rPr>
        <w:t>ad del Congreso</w:t>
      </w:r>
      <w:r w:rsidRPr="00152C0F">
        <w:rPr>
          <w:rFonts w:ascii="Times New Roman" w:hAnsi="Times New Roman" w:cs="Times New Roman"/>
          <w:sz w:val="28"/>
        </w:rPr>
        <w:t>”.</w:t>
      </w:r>
    </w:p>
    <w:p w:rsidR="00FD5162" w:rsidRPr="00152C0F" w:rsidRDefault="00152C0F" w:rsidP="00FD5162">
      <w:pPr>
        <w:rPr>
          <w:rFonts w:ascii="Times New Roman" w:hAnsi="Times New Roman" w:cs="Times New Roman"/>
          <w:sz w:val="28"/>
          <w:szCs w:val="28"/>
        </w:rPr>
      </w:pPr>
    </w:p>
    <w:p w:rsidR="00C174E7" w:rsidRPr="00152C0F" w:rsidRDefault="00152C0F" w:rsidP="00E53C60">
      <w:pPr>
        <w:pStyle w:val="Prrafodelista"/>
        <w:numPr>
          <w:ilvl w:val="0"/>
          <w:numId w:val="2"/>
        </w:numPr>
        <w:ind w:left="0" w:firstLine="0"/>
        <w:jc w:val="both"/>
        <w:rPr>
          <w:rFonts w:ascii="Times New Roman" w:hAnsi="Times New Roman" w:cs="Times New Roman"/>
          <w:sz w:val="28"/>
          <w:szCs w:val="28"/>
        </w:rPr>
      </w:pPr>
      <w:r w:rsidRPr="00152C0F">
        <w:rPr>
          <w:rFonts w:ascii="Times New Roman" w:eastAsia="Calibri" w:hAnsi="Times New Roman" w:cs="Times New Roman"/>
          <w:sz w:val="28"/>
          <w:szCs w:val="28"/>
        </w:rPr>
        <w:t xml:space="preserve">En concordancia con tal determinación del constituyente, </w:t>
      </w:r>
      <w:r w:rsidRPr="00152C0F">
        <w:rPr>
          <w:rFonts w:ascii="Times New Roman" w:hAnsi="Times New Roman" w:cs="Times New Roman"/>
          <w:sz w:val="28"/>
          <w:szCs w:val="28"/>
          <w:shd w:val="clear" w:color="auto" w:fill="FFFFFF"/>
          <w:lang w:val="es-ES"/>
        </w:rPr>
        <w:t>los artículos 341 de la Constitución y 20 a 25 de la Ley 152 de 1994</w:t>
      </w:r>
      <w:r w:rsidRPr="00152C0F">
        <w:rPr>
          <w:rFonts w:ascii="Times New Roman" w:hAnsi="Times New Roman" w:cs="Times New Roman"/>
          <w:sz w:val="28"/>
          <w:szCs w:val="28"/>
          <w:shd w:val="clear" w:color="auto" w:fill="FFFFFF"/>
          <w:vertAlign w:val="superscript"/>
          <w:lang w:val="es-ES"/>
        </w:rPr>
        <w:footnoteReference w:id="68"/>
      </w:r>
      <w:r w:rsidRPr="00152C0F">
        <w:rPr>
          <w:rFonts w:ascii="Times New Roman" w:hAnsi="Times New Roman" w:cs="Times New Roman"/>
          <w:sz w:val="28"/>
          <w:szCs w:val="28"/>
          <w:shd w:val="clear" w:color="auto" w:fill="FFFFFF"/>
          <w:lang w:val="es-ES"/>
        </w:rPr>
        <w:t xml:space="preserve">, </w:t>
      </w:r>
      <w:r w:rsidRPr="00152C0F">
        <w:rPr>
          <w:rFonts w:ascii="Times New Roman" w:eastAsia="Calibri" w:hAnsi="Times New Roman" w:cs="Times New Roman"/>
          <w:sz w:val="28"/>
          <w:szCs w:val="28"/>
        </w:rPr>
        <w:t>regul</w:t>
      </w:r>
      <w:r w:rsidRPr="00152C0F">
        <w:rPr>
          <w:rFonts w:ascii="Times New Roman" w:eastAsia="Calibri" w:hAnsi="Times New Roman" w:cs="Times New Roman"/>
          <w:sz w:val="28"/>
          <w:szCs w:val="28"/>
        </w:rPr>
        <w:t>an</w:t>
      </w:r>
      <w:r w:rsidRPr="00152C0F">
        <w:rPr>
          <w:rFonts w:ascii="Times New Roman" w:eastAsia="Calibri" w:hAnsi="Times New Roman" w:cs="Times New Roman"/>
          <w:sz w:val="28"/>
          <w:szCs w:val="28"/>
        </w:rPr>
        <w:t xml:space="preserve"> </w:t>
      </w:r>
      <w:r w:rsidRPr="00152C0F">
        <w:rPr>
          <w:rFonts w:ascii="Times New Roman" w:eastAsia="Calibri" w:hAnsi="Times New Roman" w:cs="Times New Roman"/>
          <w:sz w:val="28"/>
          <w:szCs w:val="28"/>
        </w:rPr>
        <w:t>el</w:t>
      </w:r>
      <w:r w:rsidRPr="00152C0F">
        <w:rPr>
          <w:rFonts w:ascii="Times New Roman" w:eastAsia="Calibri" w:hAnsi="Times New Roman" w:cs="Times New Roman"/>
          <w:sz w:val="28"/>
          <w:szCs w:val="28"/>
        </w:rPr>
        <w:t xml:space="preserve"> procedimiento de aprobación del plan nacional de desarrollo</w:t>
      </w:r>
      <w:r w:rsidRPr="00152C0F">
        <w:rPr>
          <w:rFonts w:ascii="Times New Roman" w:hAnsi="Times New Roman" w:cs="Times New Roman"/>
          <w:sz w:val="28"/>
          <w:szCs w:val="28"/>
          <w:shd w:val="clear" w:color="auto" w:fill="FFFFFF"/>
          <w:lang w:val="es-ES"/>
        </w:rPr>
        <w:t>. A partir de estas disposiciones es po</w:t>
      </w:r>
      <w:r w:rsidRPr="00152C0F">
        <w:rPr>
          <w:rFonts w:ascii="Times New Roman" w:hAnsi="Times New Roman" w:cs="Times New Roman"/>
          <w:sz w:val="28"/>
          <w:szCs w:val="28"/>
          <w:shd w:val="clear" w:color="auto" w:fill="FFFFFF"/>
          <w:lang w:val="es-ES"/>
        </w:rPr>
        <w:t>sible diferenciar l</w:t>
      </w:r>
      <w:r w:rsidRPr="00152C0F">
        <w:rPr>
          <w:rFonts w:ascii="Times New Roman" w:hAnsi="Times New Roman" w:cs="Times New Roman"/>
          <w:sz w:val="28"/>
          <w:szCs w:val="28"/>
          <w:shd w:val="clear" w:color="auto" w:fill="FFFFFF"/>
          <w:lang w:val="es-ES"/>
        </w:rPr>
        <w:t>a</w:t>
      </w:r>
      <w:r w:rsidRPr="00152C0F">
        <w:rPr>
          <w:rFonts w:ascii="Times New Roman" w:hAnsi="Times New Roman" w:cs="Times New Roman"/>
          <w:sz w:val="28"/>
          <w:szCs w:val="28"/>
          <w:shd w:val="clear" w:color="auto" w:fill="FFFFFF"/>
          <w:lang w:val="es-ES"/>
        </w:rPr>
        <w:t xml:space="preserve">s siguientes </w:t>
      </w:r>
      <w:r w:rsidRPr="00152C0F">
        <w:rPr>
          <w:rFonts w:ascii="Times New Roman" w:hAnsi="Times New Roman" w:cs="Times New Roman"/>
          <w:sz w:val="28"/>
          <w:szCs w:val="28"/>
          <w:shd w:val="clear" w:color="auto" w:fill="FFFFFF"/>
          <w:lang w:val="es-ES"/>
        </w:rPr>
        <w:t>etapas</w:t>
      </w:r>
      <w:r w:rsidRPr="00152C0F">
        <w:rPr>
          <w:rFonts w:ascii="Times New Roman" w:hAnsi="Times New Roman" w:cs="Times New Roman"/>
          <w:sz w:val="28"/>
          <w:szCs w:val="28"/>
          <w:shd w:val="clear" w:color="auto" w:fill="FFFFFF"/>
          <w:lang w:val="es-ES"/>
        </w:rPr>
        <w:t xml:space="preserve"> del trámite: </w:t>
      </w:r>
    </w:p>
    <w:p w:rsidR="00C174E7" w:rsidRPr="00152C0F" w:rsidRDefault="00152C0F" w:rsidP="00C174E7">
      <w:pPr>
        <w:pStyle w:val="Prrafodelista"/>
        <w:rPr>
          <w:rFonts w:ascii="Times New Roman" w:hAnsi="Times New Roman" w:cs="Times New Roman"/>
          <w:sz w:val="28"/>
          <w:szCs w:val="28"/>
          <w:shd w:val="clear" w:color="auto" w:fill="FFFFFF"/>
          <w:lang w:val="es-ES"/>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 xml:space="preserve">(i) </w:t>
      </w:r>
      <w:r w:rsidRPr="00152C0F">
        <w:rPr>
          <w:rFonts w:ascii="Times New Roman" w:hAnsi="Times New Roman" w:cs="Times New Roman"/>
          <w:i/>
          <w:iCs/>
          <w:sz w:val="28"/>
          <w:szCs w:val="28"/>
          <w:shd w:val="clear" w:color="auto" w:fill="FFFFFF"/>
          <w:lang w:val="es-ES"/>
        </w:rPr>
        <w:t>Presentación</w:t>
      </w:r>
      <w:r w:rsidRPr="00152C0F">
        <w:rPr>
          <w:rFonts w:ascii="Times New Roman" w:hAnsi="Times New Roman" w:cs="Times New Roman"/>
          <w:sz w:val="28"/>
          <w:szCs w:val="28"/>
          <w:shd w:val="clear" w:color="auto" w:fill="FFFFFF"/>
          <w:lang w:val="es-ES"/>
        </w:rPr>
        <w:t xml:space="preserve">. </w:t>
      </w:r>
      <w:r w:rsidRPr="00152C0F">
        <w:rPr>
          <w:rFonts w:ascii="Times New Roman" w:hAnsi="Times New Roman" w:cs="Times New Roman"/>
          <w:sz w:val="28"/>
          <w:szCs w:val="28"/>
          <w:shd w:val="clear" w:color="auto" w:fill="FFFFFF"/>
          <w:lang w:val="es-ES"/>
        </w:rPr>
        <w:t xml:space="preserve">La presentación del proyecto de ley aprobatoria del plan nacional de desarrollo a consideración del Congreso de la República es </w:t>
      </w:r>
      <w:r w:rsidRPr="00152C0F">
        <w:rPr>
          <w:rFonts w:ascii="Times New Roman" w:hAnsi="Times New Roman" w:cs="Times New Roman"/>
          <w:sz w:val="28"/>
          <w:szCs w:val="28"/>
          <w:shd w:val="clear" w:color="auto" w:fill="FFFFFF"/>
          <w:lang w:val="es-ES"/>
        </w:rPr>
        <w:t xml:space="preserve">de iniciativa exclusiva del gobierno nacional, </w:t>
      </w:r>
      <w:r w:rsidRPr="00152C0F">
        <w:rPr>
          <w:rFonts w:ascii="Times New Roman" w:hAnsi="Times New Roman" w:cs="Times New Roman"/>
          <w:sz w:val="28"/>
          <w:szCs w:val="28"/>
          <w:shd w:val="clear" w:color="auto" w:fill="FFFFFF"/>
          <w:lang w:val="es-ES"/>
        </w:rPr>
        <w:t xml:space="preserve">y debe hacerlo </w:t>
      </w:r>
      <w:r w:rsidRPr="00152C0F">
        <w:rPr>
          <w:rFonts w:ascii="Times New Roman" w:hAnsi="Times New Roman" w:cs="Times New Roman"/>
          <w:sz w:val="28"/>
          <w:szCs w:val="28"/>
          <w:shd w:val="clear" w:color="auto" w:fill="FFFFFF"/>
          <w:lang w:val="es-ES"/>
        </w:rPr>
        <w:t>por intermedio del Ministerio de Hacienda y Crédito Público antes del 7 de febrero siguiente al inicio del respectivo periodo presidencial, para lo cual el presidente de la República debe convocar</w:t>
      </w:r>
      <w:r w:rsidRPr="00152C0F">
        <w:rPr>
          <w:rFonts w:ascii="Times New Roman" w:hAnsi="Times New Roman" w:cs="Times New Roman"/>
          <w:sz w:val="28"/>
          <w:szCs w:val="28"/>
          <w:shd w:val="clear" w:color="auto" w:fill="FFFFFF"/>
          <w:lang w:val="es-ES"/>
        </w:rPr>
        <w:t>lo</w:t>
      </w:r>
      <w:r w:rsidRPr="00152C0F">
        <w:rPr>
          <w:rFonts w:ascii="Times New Roman" w:hAnsi="Times New Roman" w:cs="Times New Roman"/>
          <w:sz w:val="28"/>
          <w:szCs w:val="28"/>
          <w:shd w:val="clear" w:color="auto" w:fill="FFFFFF"/>
          <w:lang w:val="es-ES"/>
        </w:rPr>
        <w:t xml:space="preserve"> a sesiones extraordinarias.</w:t>
      </w:r>
    </w:p>
    <w:p w:rsidR="00C174E7" w:rsidRPr="00152C0F" w:rsidRDefault="00152C0F" w:rsidP="00C174E7">
      <w:pPr>
        <w:pStyle w:val="Prrafodelista"/>
        <w:rPr>
          <w:rFonts w:ascii="Times New Roman" w:hAnsi="Times New Roman" w:cs="Times New Roman"/>
          <w:sz w:val="28"/>
          <w:szCs w:val="28"/>
          <w:shd w:val="clear" w:color="auto" w:fill="FFFFFF"/>
          <w:lang w:val="es-ES"/>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 xml:space="preserve">(ii) </w:t>
      </w:r>
      <w:r w:rsidRPr="00152C0F">
        <w:rPr>
          <w:rFonts w:ascii="Times New Roman" w:hAnsi="Times New Roman" w:cs="Times New Roman"/>
          <w:i/>
          <w:iCs/>
          <w:sz w:val="28"/>
          <w:szCs w:val="28"/>
          <w:shd w:val="clear" w:color="auto" w:fill="FFFFFF"/>
          <w:lang w:val="es-ES"/>
        </w:rPr>
        <w:t>Primer d</w:t>
      </w:r>
      <w:r w:rsidRPr="00152C0F">
        <w:rPr>
          <w:rFonts w:ascii="Times New Roman" w:hAnsi="Times New Roman" w:cs="Times New Roman"/>
          <w:i/>
          <w:iCs/>
          <w:sz w:val="28"/>
          <w:szCs w:val="28"/>
          <w:shd w:val="clear" w:color="auto" w:fill="FFFFFF"/>
          <w:lang w:val="es-ES"/>
        </w:rPr>
        <w:t>ebate</w:t>
      </w:r>
      <w:r w:rsidRPr="00152C0F">
        <w:rPr>
          <w:rFonts w:ascii="Times New Roman" w:hAnsi="Times New Roman" w:cs="Times New Roman"/>
          <w:sz w:val="28"/>
          <w:szCs w:val="28"/>
          <w:shd w:val="clear" w:color="auto" w:fill="FFFFFF"/>
          <w:lang w:val="es-ES"/>
        </w:rPr>
        <w:t xml:space="preserve">. Se debe dar primer debate al proyecto </w:t>
      </w:r>
      <w:r w:rsidRPr="00152C0F">
        <w:rPr>
          <w:rFonts w:ascii="Times New Roman" w:hAnsi="Times New Roman" w:cs="Times New Roman"/>
          <w:sz w:val="28"/>
          <w:szCs w:val="28"/>
          <w:shd w:val="clear" w:color="auto" w:fill="FFFFFF"/>
          <w:lang w:val="es-ES"/>
        </w:rPr>
        <w:t>en sesión conjunta de</w:t>
      </w:r>
      <w:r w:rsidRPr="00152C0F">
        <w:rPr>
          <w:rFonts w:ascii="Times New Roman" w:hAnsi="Times New Roman" w:cs="Times New Roman"/>
          <w:sz w:val="28"/>
          <w:szCs w:val="28"/>
          <w:shd w:val="clear" w:color="auto" w:fill="FFFFFF"/>
          <w:lang w:val="es-ES"/>
        </w:rPr>
        <w:t xml:space="preserve"> las comisiones de asuntos económicos de ambas Cámaras, en un término improrrogable de </w:t>
      </w:r>
      <w:r w:rsidRPr="00152C0F">
        <w:rPr>
          <w:rFonts w:ascii="Times New Roman" w:hAnsi="Times New Roman" w:cs="Times New Roman"/>
          <w:sz w:val="28"/>
          <w:szCs w:val="28"/>
          <w:shd w:val="clear" w:color="auto" w:fill="FFFFFF"/>
          <w:lang w:val="es-ES"/>
        </w:rPr>
        <w:t>45</w:t>
      </w:r>
      <w:r w:rsidRPr="00152C0F">
        <w:rPr>
          <w:rFonts w:ascii="Times New Roman" w:hAnsi="Times New Roman" w:cs="Times New Roman"/>
          <w:sz w:val="28"/>
          <w:szCs w:val="28"/>
          <w:shd w:val="clear" w:color="auto" w:fill="FFFFFF"/>
          <w:lang w:val="es-ES"/>
        </w:rPr>
        <w:t xml:space="preserve"> días. </w:t>
      </w:r>
    </w:p>
    <w:p w:rsidR="00C174E7" w:rsidRPr="00152C0F" w:rsidRDefault="00152C0F" w:rsidP="00C174E7">
      <w:pPr>
        <w:pStyle w:val="Prrafodelista"/>
        <w:rPr>
          <w:rFonts w:ascii="Times New Roman" w:hAnsi="Times New Roman" w:cs="Times New Roman"/>
          <w:sz w:val="28"/>
          <w:szCs w:val="28"/>
          <w:shd w:val="clear" w:color="auto" w:fill="FFFFFF"/>
          <w:lang w:val="es-ES"/>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 xml:space="preserve">(iii) </w:t>
      </w:r>
      <w:r w:rsidRPr="00152C0F">
        <w:rPr>
          <w:rFonts w:ascii="Times New Roman" w:hAnsi="Times New Roman" w:cs="Times New Roman"/>
          <w:i/>
          <w:iCs/>
          <w:sz w:val="28"/>
          <w:szCs w:val="28"/>
          <w:shd w:val="clear" w:color="auto" w:fill="FFFFFF"/>
          <w:lang w:val="es-ES"/>
        </w:rPr>
        <w:t>Segundo debate</w:t>
      </w:r>
      <w:r w:rsidRPr="00152C0F">
        <w:rPr>
          <w:rFonts w:ascii="Times New Roman" w:hAnsi="Times New Roman" w:cs="Times New Roman"/>
          <w:sz w:val="28"/>
          <w:szCs w:val="28"/>
          <w:shd w:val="clear" w:color="auto" w:fill="FFFFFF"/>
          <w:lang w:val="es-ES"/>
        </w:rPr>
        <w:t xml:space="preserve">. A partir del informe que elaboren las comisiones conjuntas de asuntos </w:t>
      </w:r>
      <w:r w:rsidRPr="00152C0F">
        <w:rPr>
          <w:rFonts w:ascii="Times New Roman" w:hAnsi="Times New Roman" w:cs="Times New Roman"/>
          <w:sz w:val="28"/>
          <w:szCs w:val="28"/>
          <w:shd w:val="clear" w:color="auto" w:fill="FFFFFF"/>
          <w:lang w:val="es-ES"/>
        </w:rPr>
        <w:t xml:space="preserve">económicos, cada una de las Cámaras en sesión plenaria debe discutir y decidir sobre el proyecto en un término improrrogable de </w:t>
      </w:r>
      <w:r w:rsidRPr="00152C0F">
        <w:rPr>
          <w:rFonts w:ascii="Times New Roman" w:hAnsi="Times New Roman" w:cs="Times New Roman"/>
          <w:sz w:val="28"/>
          <w:szCs w:val="28"/>
          <w:shd w:val="clear" w:color="auto" w:fill="FFFFFF"/>
          <w:lang w:val="es-ES"/>
        </w:rPr>
        <w:t>45</w:t>
      </w:r>
      <w:r w:rsidRPr="00152C0F">
        <w:rPr>
          <w:rFonts w:ascii="Times New Roman" w:hAnsi="Times New Roman" w:cs="Times New Roman"/>
          <w:sz w:val="28"/>
          <w:szCs w:val="28"/>
          <w:shd w:val="clear" w:color="auto" w:fill="FFFFFF"/>
          <w:lang w:val="es-ES"/>
        </w:rPr>
        <w:t xml:space="preserve"> días. </w:t>
      </w:r>
    </w:p>
    <w:p w:rsidR="00C174E7" w:rsidRPr="00152C0F" w:rsidRDefault="00152C0F" w:rsidP="00C174E7">
      <w:pPr>
        <w:pStyle w:val="Prrafodelista"/>
        <w:rPr>
          <w:rFonts w:ascii="Times New Roman" w:hAnsi="Times New Roman" w:cs="Times New Roman"/>
          <w:sz w:val="28"/>
          <w:szCs w:val="28"/>
          <w:shd w:val="clear" w:color="auto" w:fill="FFFFFF"/>
          <w:lang w:val="es-ES"/>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 xml:space="preserve">En cuanto a las modificaciones que se le pueden introducir al proyecto durante su trámite legislativo, la Constitución </w:t>
      </w:r>
      <w:r w:rsidRPr="00152C0F">
        <w:rPr>
          <w:rFonts w:ascii="Times New Roman" w:hAnsi="Times New Roman" w:cs="Times New Roman"/>
          <w:sz w:val="28"/>
          <w:szCs w:val="28"/>
          <w:shd w:val="clear" w:color="auto" w:fill="FFFFFF"/>
          <w:lang w:val="es-ES"/>
        </w:rPr>
        <w:t>diferencia</w:t>
      </w:r>
      <w:r w:rsidRPr="00152C0F">
        <w:rPr>
          <w:rFonts w:ascii="Times New Roman" w:hAnsi="Times New Roman" w:cs="Times New Roman"/>
          <w:sz w:val="28"/>
          <w:szCs w:val="28"/>
          <w:shd w:val="clear" w:color="auto" w:fill="FFFFFF"/>
          <w:lang w:val="es-ES"/>
        </w:rPr>
        <w:t xml:space="preserve"> entre las que puede hacer el Gobierno y las que puede realizar el Congreso. El gobierno nacional puede proponer modificaciones</w:t>
      </w:r>
      <w:r w:rsidRPr="00152C0F">
        <w:rPr>
          <w:rFonts w:ascii="Times New Roman" w:hAnsi="Times New Roman" w:cs="Times New Roman"/>
          <w:sz w:val="28"/>
          <w:szCs w:val="28"/>
          <w:shd w:val="clear" w:color="auto" w:fill="FFFFFF"/>
          <w:lang w:val="es-ES"/>
        </w:rPr>
        <w:t xml:space="preserve"> a cualquiera de las partes que integran el plan nacional de desarrollo. El Congreso, por su parte, puede introducir modificaciones al componente del plan de inversiones públicas, “siempre y cuando se mantenga el equilibrio financiero” (artículos 341 de la</w:t>
      </w:r>
      <w:r w:rsidRPr="00152C0F">
        <w:rPr>
          <w:rFonts w:ascii="Times New Roman" w:hAnsi="Times New Roman" w:cs="Times New Roman"/>
          <w:sz w:val="28"/>
          <w:szCs w:val="28"/>
          <w:shd w:val="clear" w:color="auto" w:fill="FFFFFF"/>
          <w:lang w:val="es-ES"/>
        </w:rPr>
        <w:t xml:space="preserve"> Constitución y 22 de la Ley 152 de 1994), para lo cual requiere previa “aprobación por escrito del Gobierno Nacional por conducto del ministro de Hacienda y Crédito Público”.</w:t>
      </w:r>
      <w:r w:rsidRPr="00152C0F">
        <w:rPr>
          <w:rFonts w:ascii="Times New Roman" w:hAnsi="Times New Roman" w:cs="Times New Roman"/>
          <w:sz w:val="28"/>
          <w:szCs w:val="18"/>
          <w:lang w:eastAsia="es-MX"/>
        </w:rPr>
        <w:t xml:space="preserve"> </w:t>
      </w:r>
      <w:r w:rsidRPr="00152C0F">
        <w:rPr>
          <w:rFonts w:ascii="Times New Roman" w:hAnsi="Times New Roman" w:cs="Times New Roman"/>
          <w:sz w:val="28"/>
          <w:szCs w:val="28"/>
          <w:shd w:val="clear" w:color="auto" w:fill="FFFFFF"/>
        </w:rPr>
        <w:t>Cualquier incremento en las autorizaciones de endeudamiento solicitadas o inclus</w:t>
      </w:r>
      <w:r w:rsidRPr="00152C0F">
        <w:rPr>
          <w:rFonts w:ascii="Times New Roman" w:hAnsi="Times New Roman" w:cs="Times New Roman"/>
          <w:sz w:val="28"/>
          <w:szCs w:val="28"/>
          <w:shd w:val="clear" w:color="auto" w:fill="FFFFFF"/>
        </w:rPr>
        <w:t>ión de proyectos de inversión no contemplados en el proyecto gubernamental, requiere el visto bueno del Gobierno nacional.</w:t>
      </w:r>
    </w:p>
    <w:p w:rsidR="00C174E7" w:rsidRPr="00152C0F" w:rsidRDefault="00152C0F" w:rsidP="00C174E7">
      <w:pPr>
        <w:pStyle w:val="Prrafodelista"/>
        <w:rPr>
          <w:rFonts w:ascii="Times New Roman" w:hAnsi="Times New Roman" w:cs="Times New Roman"/>
          <w:sz w:val="28"/>
          <w:szCs w:val="28"/>
          <w:lang w:eastAsia="es-MX"/>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lang w:eastAsia="es-MX"/>
        </w:rPr>
        <w:t>Los desacuerdos con el contenido de la parte general, si los hubiere, no s</w:t>
      </w:r>
      <w:r w:rsidRPr="00152C0F">
        <w:rPr>
          <w:rFonts w:ascii="Times New Roman" w:hAnsi="Times New Roman" w:cs="Times New Roman"/>
          <w:sz w:val="28"/>
          <w:szCs w:val="28"/>
          <w:lang w:eastAsia="es-MX"/>
        </w:rPr>
        <w:t>erá</w:t>
      </w:r>
      <w:r w:rsidRPr="00152C0F">
        <w:rPr>
          <w:rFonts w:ascii="Times New Roman" w:hAnsi="Times New Roman" w:cs="Times New Roman"/>
          <w:sz w:val="28"/>
          <w:szCs w:val="28"/>
          <w:lang w:eastAsia="es-MX"/>
        </w:rPr>
        <w:t xml:space="preserve">n obstáculo para que el gobierno ejecute las políticas </w:t>
      </w:r>
      <w:r w:rsidRPr="00152C0F">
        <w:rPr>
          <w:rFonts w:ascii="Times New Roman" w:hAnsi="Times New Roman" w:cs="Times New Roman"/>
          <w:sz w:val="28"/>
          <w:szCs w:val="28"/>
          <w:lang w:eastAsia="es-MX"/>
        </w:rPr>
        <w:t xml:space="preserve">propuestas en lo que sea de su competencia (artículo 341 de la Constitución). </w:t>
      </w:r>
      <w:r w:rsidRPr="00152C0F">
        <w:rPr>
          <w:rFonts w:ascii="Times New Roman" w:hAnsi="Times New Roman" w:cs="Times New Roman"/>
          <w:sz w:val="28"/>
          <w:szCs w:val="28"/>
          <w:lang w:eastAsia="es-MX"/>
        </w:rPr>
        <w:t xml:space="preserve">Sobre este aspecto se dijo en la Asamblea Nacional Constituyente que la parte </w:t>
      </w:r>
      <w:r w:rsidRPr="00152C0F">
        <w:rPr>
          <w:rFonts w:ascii="Times New Roman" w:hAnsi="Times New Roman" w:cs="Times New Roman"/>
          <w:sz w:val="28"/>
          <w:szCs w:val="28"/>
          <w:lang w:eastAsia="es-MX"/>
        </w:rPr>
        <w:t xml:space="preserve">general o </w:t>
      </w:r>
      <w:r w:rsidRPr="00152C0F">
        <w:rPr>
          <w:rFonts w:ascii="Times New Roman" w:hAnsi="Times New Roman" w:cs="Times New Roman"/>
          <w:sz w:val="28"/>
          <w:szCs w:val="28"/>
          <w:lang w:eastAsia="es-MX"/>
        </w:rPr>
        <w:t xml:space="preserve">programática no requería aprobación del Congreso porque ya la </w:t>
      </w:r>
      <w:r w:rsidRPr="00152C0F">
        <w:rPr>
          <w:rFonts w:ascii="Times New Roman" w:hAnsi="Times New Roman" w:cs="Times New Roman"/>
          <w:sz w:val="28"/>
          <w:szCs w:val="28"/>
          <w:lang w:eastAsia="es-MX"/>
        </w:rPr>
        <w:t>había</w:t>
      </w:r>
      <w:r w:rsidRPr="00152C0F">
        <w:rPr>
          <w:rFonts w:ascii="Times New Roman" w:hAnsi="Times New Roman" w:cs="Times New Roman"/>
          <w:sz w:val="28"/>
          <w:szCs w:val="28"/>
          <w:lang w:eastAsia="es-MX"/>
        </w:rPr>
        <w:t>n</w:t>
      </w:r>
      <w:r w:rsidRPr="00152C0F">
        <w:rPr>
          <w:rFonts w:ascii="Times New Roman" w:hAnsi="Times New Roman" w:cs="Times New Roman"/>
          <w:sz w:val="28"/>
          <w:szCs w:val="28"/>
          <w:lang w:eastAsia="es-MX"/>
        </w:rPr>
        <w:t xml:space="preserve"> </w:t>
      </w:r>
      <w:r w:rsidRPr="00152C0F">
        <w:rPr>
          <w:rFonts w:ascii="Times New Roman" w:hAnsi="Times New Roman" w:cs="Times New Roman"/>
          <w:sz w:val="28"/>
          <w:szCs w:val="28"/>
          <w:lang w:eastAsia="es-MX"/>
        </w:rPr>
        <w:t>apoya</w:t>
      </w:r>
      <w:r w:rsidRPr="00152C0F">
        <w:rPr>
          <w:rFonts w:ascii="Times New Roman" w:hAnsi="Times New Roman" w:cs="Times New Roman"/>
          <w:sz w:val="28"/>
          <w:szCs w:val="28"/>
          <w:lang w:eastAsia="es-MX"/>
        </w:rPr>
        <w:t>do</w:t>
      </w:r>
      <w:r w:rsidRPr="00152C0F">
        <w:rPr>
          <w:rFonts w:ascii="Times New Roman" w:hAnsi="Times New Roman" w:cs="Times New Roman"/>
          <w:sz w:val="28"/>
          <w:szCs w:val="28"/>
          <w:lang w:eastAsia="es-MX"/>
        </w:rPr>
        <w:t xml:space="preserve"> los electores en la campaña</w:t>
      </w:r>
      <w:r w:rsidRPr="00152C0F">
        <w:rPr>
          <w:rStyle w:val="Refdenotaalpie"/>
          <w:rFonts w:ascii="Times New Roman" w:hAnsi="Times New Roman" w:cs="Times New Roman"/>
          <w:sz w:val="28"/>
          <w:szCs w:val="28"/>
          <w:shd w:val="clear" w:color="auto" w:fill="FFFFFF"/>
          <w:lang w:val="es-ES"/>
        </w:rPr>
        <w:footnoteReference w:id="69"/>
      </w:r>
      <w:r w:rsidRPr="00152C0F">
        <w:rPr>
          <w:rFonts w:ascii="Times New Roman" w:hAnsi="Times New Roman" w:cs="Times New Roman"/>
          <w:sz w:val="28"/>
          <w:szCs w:val="28"/>
          <w:lang w:eastAsia="es-MX"/>
        </w:rPr>
        <w:t xml:space="preserve">. </w:t>
      </w:r>
      <w:r w:rsidRPr="00152C0F">
        <w:rPr>
          <w:rFonts w:ascii="Times New Roman" w:hAnsi="Times New Roman" w:cs="Times New Roman"/>
          <w:sz w:val="28"/>
          <w:szCs w:val="28"/>
          <w:lang w:val="es-ES"/>
        </w:rPr>
        <w:t xml:space="preserve">El plan de inversiones, por el contrario, requiere ser aprobado mediante ley que, en los términos del artículo 341 de la Constitución, </w:t>
      </w:r>
      <w:r w:rsidRPr="00152C0F">
        <w:rPr>
          <w:rFonts w:ascii="Times New Roman" w:hAnsi="Times New Roman" w:cs="Times New Roman"/>
          <w:sz w:val="28"/>
          <w:szCs w:val="28"/>
        </w:rPr>
        <w:t>tiene prelación sobre las demás leyes y sus mandatos constituyen mecanismos idóneos para s</w:t>
      </w:r>
      <w:r w:rsidRPr="00152C0F">
        <w:rPr>
          <w:rFonts w:ascii="Times New Roman" w:hAnsi="Times New Roman" w:cs="Times New Roman"/>
          <w:sz w:val="28"/>
          <w:szCs w:val="28"/>
        </w:rPr>
        <w:t xml:space="preserve">u ejecución sin necesidad de la expedición de leyes posteriores, razón por la </w:t>
      </w:r>
      <w:r w:rsidRPr="00152C0F">
        <w:rPr>
          <w:rFonts w:ascii="Times New Roman" w:hAnsi="Times New Roman" w:cs="Times New Roman"/>
          <w:sz w:val="28"/>
          <w:szCs w:val="28"/>
        </w:rPr>
        <w:t>que</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s</w:t>
      </w:r>
      <w:r w:rsidRPr="00152C0F">
        <w:rPr>
          <w:rFonts w:ascii="Times New Roman" w:hAnsi="Times New Roman" w:cs="Times New Roman"/>
          <w:sz w:val="28"/>
          <w:szCs w:val="28"/>
          <w:shd w:val="clear" w:color="auto" w:fill="FFFFFF"/>
          <w:lang w:val="es-ES"/>
        </w:rPr>
        <w:t xml:space="preserve">i el Congreso de la República no aprueba este componente del plan nacional de desarrollo en el término de </w:t>
      </w:r>
      <w:r w:rsidRPr="00152C0F">
        <w:rPr>
          <w:rFonts w:ascii="Times New Roman" w:hAnsi="Times New Roman" w:cs="Times New Roman"/>
          <w:sz w:val="28"/>
          <w:szCs w:val="28"/>
          <w:shd w:val="clear" w:color="auto" w:fill="FFFFFF"/>
          <w:lang w:val="es-ES"/>
        </w:rPr>
        <w:t>3</w:t>
      </w:r>
      <w:r w:rsidRPr="00152C0F">
        <w:rPr>
          <w:rFonts w:ascii="Times New Roman" w:hAnsi="Times New Roman" w:cs="Times New Roman"/>
          <w:sz w:val="28"/>
          <w:szCs w:val="28"/>
          <w:shd w:val="clear" w:color="auto" w:fill="FFFFFF"/>
          <w:lang w:val="es-ES"/>
        </w:rPr>
        <w:t xml:space="preserve"> meses, el Gobierno nacional puede poner en vigencia el proyecto </w:t>
      </w:r>
      <w:r w:rsidRPr="00152C0F">
        <w:rPr>
          <w:rFonts w:ascii="Times New Roman" w:hAnsi="Times New Roman" w:cs="Times New Roman"/>
          <w:sz w:val="28"/>
          <w:szCs w:val="28"/>
          <w:shd w:val="clear" w:color="auto" w:fill="FFFFFF"/>
          <w:lang w:val="es-ES"/>
        </w:rPr>
        <w:t>presentado mediante decreto con fuerza de ley</w:t>
      </w:r>
      <w:r w:rsidRPr="00152C0F">
        <w:rPr>
          <w:rStyle w:val="Refdenotaalpie"/>
          <w:rFonts w:ascii="Times New Roman" w:hAnsi="Times New Roman" w:cs="Times New Roman"/>
          <w:sz w:val="28"/>
          <w:szCs w:val="28"/>
          <w:shd w:val="clear" w:color="auto" w:fill="FFFFFF"/>
          <w:lang w:val="es-ES"/>
        </w:rPr>
        <w:footnoteReference w:id="70"/>
      </w:r>
      <w:r w:rsidRPr="00152C0F">
        <w:rPr>
          <w:rFonts w:ascii="Times New Roman" w:hAnsi="Times New Roman" w:cs="Times New Roman"/>
          <w:sz w:val="28"/>
          <w:szCs w:val="28"/>
          <w:shd w:val="clear" w:color="auto" w:fill="FFFFFF"/>
          <w:lang w:val="es-ES"/>
        </w:rPr>
        <w:t>.</w:t>
      </w:r>
    </w:p>
    <w:p w:rsidR="00C174E7" w:rsidRPr="00152C0F" w:rsidRDefault="00152C0F" w:rsidP="00C174E7">
      <w:pPr>
        <w:pStyle w:val="Prrafodelista"/>
        <w:rPr>
          <w:rFonts w:ascii="Times New Roman" w:hAnsi="Times New Roman" w:cs="Times New Roman"/>
          <w:sz w:val="28"/>
          <w:szCs w:val="28"/>
          <w:shd w:val="clear" w:color="auto" w:fill="FFFFFF"/>
          <w:lang w:val="es-ES"/>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En contraste con la regulación de la Constitución de 1886, la necesidad de dotar de fuerza vinculante a este componente del plan nacional de desarrollo condujo a que se adoptara la regulación contenida en el</w:t>
      </w:r>
      <w:r w:rsidRPr="00152C0F">
        <w:rPr>
          <w:rFonts w:ascii="Times New Roman" w:hAnsi="Times New Roman" w:cs="Times New Roman"/>
          <w:sz w:val="28"/>
          <w:szCs w:val="28"/>
          <w:shd w:val="clear" w:color="auto" w:fill="FFFFFF"/>
          <w:lang w:val="es-ES"/>
        </w:rPr>
        <w:t xml:space="preserve"> inciso tercero del artículo 341 de la Constitución Política de 1991, en el sentido de que la ley o el decreto ley que apruebe el plan de inversiones (a) “tendrá prelación sobre las demás leyes”, (b) “sus mandatos constituirán mecanismos idóneos para su ej</w:t>
      </w:r>
      <w:r w:rsidRPr="00152C0F">
        <w:rPr>
          <w:rFonts w:ascii="Times New Roman" w:hAnsi="Times New Roman" w:cs="Times New Roman"/>
          <w:sz w:val="28"/>
          <w:szCs w:val="28"/>
          <w:shd w:val="clear" w:color="auto" w:fill="FFFFFF"/>
          <w:lang w:val="es-ES"/>
        </w:rPr>
        <w:t>ecución” y (c) “suplirán los existentes sin necesidad de la expedición de leyes posteriores”</w:t>
      </w:r>
      <w:r w:rsidRPr="00152C0F">
        <w:rPr>
          <w:rStyle w:val="Refdenotaalpie"/>
          <w:rFonts w:ascii="Times New Roman" w:hAnsi="Times New Roman" w:cs="Times New Roman"/>
          <w:sz w:val="28"/>
          <w:szCs w:val="28"/>
          <w:shd w:val="clear" w:color="auto" w:fill="FFFFFF"/>
          <w:lang w:val="es-ES"/>
        </w:rPr>
        <w:footnoteReference w:id="71"/>
      </w:r>
      <w:r w:rsidRPr="00152C0F">
        <w:rPr>
          <w:rFonts w:ascii="Times New Roman" w:hAnsi="Times New Roman" w:cs="Times New Roman"/>
          <w:sz w:val="28"/>
          <w:szCs w:val="28"/>
          <w:shd w:val="clear" w:color="auto" w:fill="FFFFFF"/>
          <w:lang w:val="es-ES"/>
        </w:rPr>
        <w:t>.</w:t>
      </w:r>
    </w:p>
    <w:p w:rsidR="00C174E7" w:rsidRPr="00152C0F" w:rsidRDefault="00152C0F" w:rsidP="00C174E7">
      <w:pPr>
        <w:pStyle w:val="Prrafodelista"/>
        <w:rPr>
          <w:rFonts w:ascii="Times New Roman" w:hAnsi="Times New Roman" w:cs="Times New Roman"/>
          <w:sz w:val="28"/>
          <w:szCs w:val="28"/>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síntesis, cabría afirmar que el constituyente </w:t>
      </w:r>
      <w:r w:rsidRPr="00152C0F">
        <w:rPr>
          <w:rFonts w:ascii="Times New Roman" w:hAnsi="Times New Roman" w:cs="Times New Roman"/>
          <w:sz w:val="28"/>
          <w:szCs w:val="28"/>
        </w:rPr>
        <w:t>fortaleció</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e</w:t>
      </w:r>
      <w:r w:rsidRPr="00152C0F">
        <w:rPr>
          <w:rFonts w:ascii="Times New Roman" w:hAnsi="Times New Roman" w:cs="Times New Roman"/>
          <w:sz w:val="28"/>
          <w:szCs w:val="28"/>
        </w:rPr>
        <w:t xml:space="preserve">l proceso de </w:t>
      </w:r>
      <w:r w:rsidRPr="00152C0F">
        <w:rPr>
          <w:rFonts w:ascii="Times New Roman" w:hAnsi="Times New Roman" w:cs="Times New Roman"/>
          <w:i/>
          <w:iCs/>
          <w:sz w:val="28"/>
          <w:szCs w:val="28"/>
        </w:rPr>
        <w:t>elaboración</w:t>
      </w:r>
      <w:r w:rsidRPr="00152C0F">
        <w:rPr>
          <w:rFonts w:ascii="Times New Roman" w:hAnsi="Times New Roman" w:cs="Times New Roman"/>
          <w:sz w:val="28"/>
          <w:szCs w:val="28"/>
        </w:rPr>
        <w:t xml:space="preserve"> del plan </w:t>
      </w:r>
      <w:r w:rsidRPr="00152C0F">
        <w:rPr>
          <w:rFonts w:ascii="Times New Roman" w:hAnsi="Times New Roman" w:cs="Times New Roman"/>
          <w:sz w:val="28"/>
          <w:szCs w:val="28"/>
        </w:rPr>
        <w:t>y limitó la función del Congreso a</w:t>
      </w:r>
      <w:r w:rsidRPr="00152C0F">
        <w:rPr>
          <w:rFonts w:ascii="Times New Roman" w:hAnsi="Times New Roman" w:cs="Times New Roman"/>
          <w:sz w:val="28"/>
          <w:szCs w:val="28"/>
        </w:rPr>
        <w:t xml:space="preserve"> su </w:t>
      </w:r>
      <w:r w:rsidRPr="00152C0F">
        <w:rPr>
          <w:rFonts w:ascii="Times New Roman" w:hAnsi="Times New Roman" w:cs="Times New Roman"/>
          <w:i/>
          <w:iCs/>
          <w:sz w:val="28"/>
          <w:szCs w:val="28"/>
        </w:rPr>
        <w:t>aprobación</w:t>
      </w:r>
      <w:r w:rsidRPr="00152C0F">
        <w:rPr>
          <w:rFonts w:ascii="Times New Roman" w:hAnsi="Times New Roman" w:cs="Times New Roman"/>
          <w:sz w:val="28"/>
          <w:szCs w:val="28"/>
        </w:rPr>
        <w:t>. En la Constituc</w:t>
      </w:r>
      <w:r w:rsidRPr="00152C0F">
        <w:rPr>
          <w:rFonts w:ascii="Times New Roman" w:hAnsi="Times New Roman" w:cs="Times New Roman"/>
          <w:sz w:val="28"/>
          <w:szCs w:val="28"/>
        </w:rPr>
        <w:t xml:space="preserve">ión anterior el proceso de </w:t>
      </w:r>
      <w:r w:rsidRPr="00152C0F">
        <w:rPr>
          <w:rFonts w:ascii="Times New Roman" w:hAnsi="Times New Roman" w:cs="Times New Roman"/>
          <w:i/>
          <w:iCs/>
          <w:sz w:val="28"/>
          <w:szCs w:val="28"/>
        </w:rPr>
        <w:t>fijación</w:t>
      </w:r>
      <w:r w:rsidRPr="00152C0F">
        <w:rPr>
          <w:rFonts w:ascii="Times New Roman" w:hAnsi="Times New Roman" w:cs="Times New Roman"/>
          <w:sz w:val="28"/>
          <w:szCs w:val="28"/>
        </w:rPr>
        <w:t xml:space="preserve"> del plan por parte del Congreso consistía en un conjunto de mecanismos y procedimientos complejos y dispendiosos sin que </w:t>
      </w:r>
      <w:r w:rsidRPr="00152C0F">
        <w:rPr>
          <w:rFonts w:ascii="Times New Roman" w:hAnsi="Times New Roman" w:cs="Times New Roman"/>
          <w:sz w:val="28"/>
          <w:szCs w:val="28"/>
        </w:rPr>
        <w:t xml:space="preserve">se </w:t>
      </w:r>
      <w:r w:rsidRPr="00152C0F">
        <w:rPr>
          <w:rFonts w:ascii="Times New Roman" w:hAnsi="Times New Roman" w:cs="Times New Roman"/>
          <w:sz w:val="28"/>
          <w:szCs w:val="28"/>
        </w:rPr>
        <w:t xml:space="preserve">le </w:t>
      </w:r>
      <w:r w:rsidRPr="00152C0F">
        <w:rPr>
          <w:rFonts w:ascii="Times New Roman" w:hAnsi="Times New Roman" w:cs="Times New Roman"/>
          <w:sz w:val="28"/>
          <w:szCs w:val="28"/>
        </w:rPr>
        <w:t>garantizara fuerza vinculante al plan. La nueva regulación constitucional presenta las siguie</w:t>
      </w:r>
      <w:r w:rsidRPr="00152C0F">
        <w:rPr>
          <w:rFonts w:ascii="Times New Roman" w:hAnsi="Times New Roman" w:cs="Times New Roman"/>
          <w:sz w:val="28"/>
          <w:szCs w:val="28"/>
        </w:rPr>
        <w:t>ntes características:</w:t>
      </w:r>
    </w:p>
    <w:p w:rsidR="00C174E7" w:rsidRPr="00152C0F" w:rsidRDefault="00152C0F" w:rsidP="00C174E7">
      <w:pPr>
        <w:pStyle w:val="Prrafodelista"/>
        <w:rPr>
          <w:rFonts w:ascii="Times New Roman" w:hAnsi="Times New Roman" w:cs="Times New Roman"/>
          <w:sz w:val="28"/>
          <w:szCs w:val="28"/>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(i) </w:t>
      </w:r>
      <w:r w:rsidRPr="00152C0F">
        <w:rPr>
          <w:rFonts w:ascii="Times New Roman" w:hAnsi="Times New Roman" w:cs="Times New Roman"/>
          <w:i/>
          <w:iCs/>
          <w:sz w:val="28"/>
          <w:szCs w:val="28"/>
        </w:rPr>
        <w:t>Fortalecimiento</w:t>
      </w:r>
      <w:r w:rsidRPr="00152C0F">
        <w:rPr>
          <w:rFonts w:ascii="Times New Roman" w:hAnsi="Times New Roman" w:cs="Times New Roman"/>
          <w:i/>
          <w:iCs/>
          <w:sz w:val="28"/>
          <w:szCs w:val="28"/>
        </w:rPr>
        <w:t xml:space="preserve"> </w:t>
      </w:r>
      <w:r w:rsidRPr="00152C0F">
        <w:rPr>
          <w:rFonts w:ascii="Times New Roman" w:hAnsi="Times New Roman" w:cs="Times New Roman"/>
          <w:i/>
          <w:iCs/>
          <w:sz w:val="28"/>
          <w:szCs w:val="28"/>
        </w:rPr>
        <w:t>del</w:t>
      </w:r>
      <w:r w:rsidRPr="00152C0F">
        <w:rPr>
          <w:rFonts w:ascii="Times New Roman" w:hAnsi="Times New Roman" w:cs="Times New Roman"/>
          <w:i/>
          <w:iCs/>
          <w:sz w:val="28"/>
          <w:szCs w:val="28"/>
        </w:rPr>
        <w:t xml:space="preserve"> proceso de elaboración </w:t>
      </w:r>
      <w:r w:rsidRPr="00152C0F">
        <w:rPr>
          <w:rFonts w:ascii="Times New Roman" w:hAnsi="Times New Roman" w:cs="Times New Roman"/>
          <w:i/>
          <w:iCs/>
          <w:sz w:val="28"/>
          <w:szCs w:val="28"/>
        </w:rPr>
        <w:t xml:space="preserve">y limitación de la función del Congreso </w:t>
      </w:r>
      <w:r w:rsidRPr="00152C0F">
        <w:rPr>
          <w:rFonts w:ascii="Times New Roman" w:hAnsi="Times New Roman" w:cs="Times New Roman"/>
          <w:i/>
          <w:iCs/>
          <w:sz w:val="28"/>
          <w:szCs w:val="28"/>
        </w:rPr>
        <w:t>en cuanto a</w:t>
      </w:r>
      <w:r w:rsidRPr="00152C0F">
        <w:rPr>
          <w:rFonts w:ascii="Times New Roman" w:hAnsi="Times New Roman" w:cs="Times New Roman"/>
          <w:i/>
          <w:iCs/>
          <w:sz w:val="28"/>
          <w:szCs w:val="28"/>
        </w:rPr>
        <w:t xml:space="preserve"> su aprobación</w:t>
      </w:r>
      <w:r w:rsidRPr="00152C0F">
        <w:rPr>
          <w:rFonts w:ascii="Times New Roman" w:hAnsi="Times New Roman" w:cs="Times New Roman"/>
          <w:sz w:val="28"/>
          <w:szCs w:val="28"/>
        </w:rPr>
        <w:t xml:space="preserve">. La elaboración se encuentra regulada </w:t>
      </w:r>
      <w:r w:rsidRPr="00152C0F">
        <w:rPr>
          <w:rFonts w:ascii="Times New Roman" w:hAnsi="Times New Roman" w:cs="Times New Roman"/>
          <w:sz w:val="28"/>
          <w:szCs w:val="28"/>
        </w:rPr>
        <w:t>en</w:t>
      </w:r>
      <w:r w:rsidRPr="00152C0F">
        <w:rPr>
          <w:rFonts w:ascii="Times New Roman" w:hAnsi="Times New Roman" w:cs="Times New Roman"/>
          <w:sz w:val="28"/>
          <w:szCs w:val="28"/>
        </w:rPr>
        <w:t xml:space="preserve"> detalle como un procedimiento participativo que involucra a las autoridades nacionales y territoriales y, en particular, a los ciudadanos organizados bajo diversas formas de asociación, proceso que tiene una duración equivalente al doble de la prevista pa</w:t>
      </w:r>
      <w:r w:rsidRPr="00152C0F">
        <w:rPr>
          <w:rFonts w:ascii="Times New Roman" w:hAnsi="Times New Roman" w:cs="Times New Roman"/>
          <w:sz w:val="28"/>
          <w:szCs w:val="28"/>
        </w:rPr>
        <w:t>ra su aprobación en el Congreso.</w:t>
      </w:r>
    </w:p>
    <w:p w:rsidR="00C174E7" w:rsidRPr="00152C0F" w:rsidRDefault="00152C0F" w:rsidP="00C174E7">
      <w:pPr>
        <w:pStyle w:val="Prrafodelista"/>
        <w:rPr>
          <w:rFonts w:ascii="Times New Roman" w:hAnsi="Times New Roman" w:cs="Times New Roman"/>
          <w:sz w:val="28"/>
          <w:szCs w:val="28"/>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(ii) </w:t>
      </w:r>
      <w:r w:rsidRPr="00152C0F">
        <w:rPr>
          <w:rFonts w:ascii="Times New Roman" w:hAnsi="Times New Roman" w:cs="Times New Roman"/>
          <w:i/>
          <w:iCs/>
          <w:sz w:val="28"/>
          <w:szCs w:val="28"/>
        </w:rPr>
        <w:t>Mayor fuerza vinculante al plan de inversiones que a la parte general</w:t>
      </w:r>
      <w:r w:rsidRPr="00152C0F">
        <w:rPr>
          <w:rFonts w:ascii="Times New Roman" w:hAnsi="Times New Roman" w:cs="Times New Roman"/>
          <w:sz w:val="28"/>
          <w:szCs w:val="28"/>
        </w:rPr>
        <w:t xml:space="preserve">. El plan de inversiones concretiza o </w:t>
      </w:r>
      <w:r w:rsidRPr="00152C0F">
        <w:rPr>
          <w:rFonts w:ascii="Times New Roman" w:hAnsi="Times New Roman" w:cs="Times New Roman"/>
          <w:i/>
          <w:iCs/>
          <w:sz w:val="28"/>
          <w:szCs w:val="28"/>
        </w:rPr>
        <w:t>materializ</w:t>
      </w:r>
      <w:r w:rsidRPr="00152C0F">
        <w:rPr>
          <w:rFonts w:ascii="Times New Roman" w:hAnsi="Times New Roman" w:cs="Times New Roman"/>
          <w:i/>
          <w:iCs/>
          <w:sz w:val="28"/>
          <w:szCs w:val="28"/>
        </w:rPr>
        <w:t>a</w:t>
      </w:r>
      <w:r w:rsidRPr="00152C0F">
        <w:rPr>
          <w:rFonts w:ascii="Times New Roman" w:hAnsi="Times New Roman" w:cs="Times New Roman"/>
          <w:sz w:val="28"/>
          <w:szCs w:val="28"/>
        </w:rPr>
        <w:t xml:space="preserve"> la parte general, razón por la </w:t>
      </w:r>
      <w:r w:rsidRPr="00152C0F">
        <w:rPr>
          <w:rFonts w:ascii="Times New Roman" w:hAnsi="Times New Roman" w:cs="Times New Roman"/>
          <w:sz w:val="28"/>
          <w:szCs w:val="28"/>
        </w:rPr>
        <w:t>que</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se le confiere mayor fuerza vinculante y, por lo mismo, mayor r</w:t>
      </w:r>
      <w:r w:rsidRPr="00152C0F">
        <w:rPr>
          <w:rFonts w:ascii="Times New Roman" w:hAnsi="Times New Roman" w:cs="Times New Roman"/>
          <w:sz w:val="28"/>
          <w:szCs w:val="28"/>
        </w:rPr>
        <w:t>igor en su aprobación. La parte general traza la</w:t>
      </w:r>
      <w:r w:rsidRPr="00152C0F">
        <w:rPr>
          <w:rFonts w:ascii="Times New Roman" w:hAnsi="Times New Roman" w:cs="Times New Roman"/>
          <w:sz w:val="28"/>
          <w:szCs w:val="28"/>
        </w:rPr>
        <w:t>s estrategias y</w:t>
      </w:r>
      <w:r w:rsidRPr="00152C0F">
        <w:rPr>
          <w:rFonts w:ascii="Times New Roman" w:hAnsi="Times New Roman" w:cs="Times New Roman"/>
          <w:sz w:val="28"/>
          <w:szCs w:val="28"/>
        </w:rPr>
        <w:t xml:space="preserve"> política</w:t>
      </w:r>
      <w:r w:rsidRPr="00152C0F">
        <w:rPr>
          <w:rFonts w:ascii="Times New Roman" w:hAnsi="Times New Roman" w:cs="Times New Roman"/>
          <w:sz w:val="28"/>
          <w:szCs w:val="28"/>
        </w:rPr>
        <w:t>s</w:t>
      </w:r>
      <w:r w:rsidRPr="00152C0F">
        <w:rPr>
          <w:rFonts w:ascii="Times New Roman" w:hAnsi="Times New Roman" w:cs="Times New Roman"/>
          <w:sz w:val="28"/>
          <w:szCs w:val="28"/>
        </w:rPr>
        <w:t xml:space="preserve"> que el gobierno </w:t>
      </w:r>
      <w:r w:rsidRPr="00152C0F">
        <w:rPr>
          <w:rFonts w:ascii="Times New Roman" w:hAnsi="Times New Roman" w:cs="Times New Roman"/>
          <w:sz w:val="28"/>
          <w:szCs w:val="28"/>
        </w:rPr>
        <w:t xml:space="preserve">nacional </w:t>
      </w:r>
      <w:r w:rsidRPr="00152C0F">
        <w:rPr>
          <w:rFonts w:ascii="Times New Roman" w:hAnsi="Times New Roman" w:cs="Times New Roman"/>
          <w:sz w:val="28"/>
          <w:szCs w:val="28"/>
        </w:rPr>
        <w:t>ejecutará durante su período, lo cual explica que el Congreso carezca de competencia para modificarla y que las diferencias que el Congreso pueda tener con d</w:t>
      </w:r>
      <w:r w:rsidRPr="00152C0F">
        <w:rPr>
          <w:rFonts w:ascii="Times New Roman" w:hAnsi="Times New Roman" w:cs="Times New Roman"/>
          <w:sz w:val="28"/>
          <w:szCs w:val="28"/>
        </w:rPr>
        <w:t>icha parte no impid</w:t>
      </w:r>
      <w:r w:rsidRPr="00152C0F">
        <w:rPr>
          <w:rFonts w:ascii="Times New Roman" w:hAnsi="Times New Roman" w:cs="Times New Roman"/>
          <w:sz w:val="28"/>
          <w:szCs w:val="28"/>
        </w:rPr>
        <w:t>a</w:t>
      </w:r>
      <w:r w:rsidRPr="00152C0F">
        <w:rPr>
          <w:rFonts w:ascii="Times New Roman" w:hAnsi="Times New Roman" w:cs="Times New Roman"/>
          <w:sz w:val="28"/>
          <w:szCs w:val="28"/>
        </w:rPr>
        <w:t>n que el Gobierno la ejecute</w:t>
      </w:r>
      <w:r w:rsidRPr="00152C0F">
        <w:rPr>
          <w:rFonts w:ascii="Times New Roman" w:hAnsi="Times New Roman" w:cs="Times New Roman"/>
          <w:sz w:val="28"/>
          <w:szCs w:val="28"/>
        </w:rPr>
        <w:t xml:space="preserve"> en lo que sea de su competencia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Es por esto por lo que </w:t>
      </w:r>
      <w:r w:rsidRPr="00152C0F">
        <w:rPr>
          <w:rFonts w:ascii="Times New Roman" w:hAnsi="Times New Roman" w:cs="Times New Roman"/>
          <w:sz w:val="28"/>
          <w:szCs w:val="28"/>
        </w:rPr>
        <w:t xml:space="preserve">la </w:t>
      </w:r>
      <w:r w:rsidRPr="00152C0F">
        <w:rPr>
          <w:rFonts w:ascii="Times New Roman" w:hAnsi="Times New Roman" w:cs="Times New Roman"/>
          <w:sz w:val="28"/>
          <w:szCs w:val="28"/>
        </w:rPr>
        <w:t xml:space="preserve">falta de aprobación por el Congreso no </w:t>
      </w:r>
      <w:r w:rsidRPr="00152C0F">
        <w:rPr>
          <w:rFonts w:ascii="Times New Roman" w:hAnsi="Times New Roman" w:cs="Times New Roman"/>
          <w:sz w:val="28"/>
          <w:szCs w:val="28"/>
        </w:rPr>
        <w:t>autoriza</w:t>
      </w:r>
      <w:r w:rsidRPr="00152C0F">
        <w:rPr>
          <w:rFonts w:ascii="Times New Roman" w:hAnsi="Times New Roman" w:cs="Times New Roman"/>
          <w:sz w:val="28"/>
          <w:szCs w:val="28"/>
        </w:rPr>
        <w:t xml:space="preserve"> su adopción mediante decreto con fuerza de ley </w:t>
      </w:r>
      <w:r w:rsidRPr="00152C0F">
        <w:rPr>
          <w:rFonts w:ascii="Times New Roman" w:hAnsi="Times New Roman" w:cs="Times New Roman"/>
          <w:sz w:val="28"/>
          <w:szCs w:val="28"/>
        </w:rPr>
        <w:t>y</w:t>
      </w:r>
      <w:r w:rsidRPr="00152C0F">
        <w:rPr>
          <w:rFonts w:ascii="Times New Roman" w:hAnsi="Times New Roman" w:cs="Times New Roman"/>
          <w:sz w:val="28"/>
          <w:szCs w:val="28"/>
        </w:rPr>
        <w:t xml:space="preserve">, en todo caso, no impide que el </w:t>
      </w:r>
      <w:r w:rsidRPr="00152C0F">
        <w:rPr>
          <w:rFonts w:ascii="Times New Roman" w:hAnsi="Times New Roman" w:cs="Times New Roman"/>
          <w:sz w:val="28"/>
          <w:szCs w:val="28"/>
        </w:rPr>
        <w:t>G</w:t>
      </w:r>
      <w:r w:rsidRPr="00152C0F">
        <w:rPr>
          <w:rFonts w:ascii="Times New Roman" w:hAnsi="Times New Roman" w:cs="Times New Roman"/>
          <w:sz w:val="28"/>
          <w:szCs w:val="28"/>
        </w:rPr>
        <w:t xml:space="preserve">obierno la ejecute en lo de su competencia. El plan de inversiones, por el contrario, determina con carácter vinculante, por sí mismo, los programas y proyectos que se ejecutarán durante el cuatrienio, razón por la </w:t>
      </w:r>
      <w:r w:rsidRPr="00152C0F">
        <w:rPr>
          <w:rFonts w:ascii="Times New Roman" w:hAnsi="Times New Roman" w:cs="Times New Roman"/>
          <w:sz w:val="28"/>
          <w:szCs w:val="28"/>
        </w:rPr>
        <w:t>que</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debe expedirse mediante </w:t>
      </w:r>
      <w:r w:rsidRPr="00152C0F">
        <w:rPr>
          <w:rFonts w:ascii="Times New Roman" w:hAnsi="Times New Roman" w:cs="Times New Roman"/>
          <w:sz w:val="28"/>
          <w:szCs w:val="28"/>
        </w:rPr>
        <w:t>ley y, por lo</w:t>
      </w:r>
      <w:r w:rsidRPr="00152C0F">
        <w:rPr>
          <w:rFonts w:ascii="Times New Roman" w:hAnsi="Times New Roman" w:cs="Times New Roman"/>
          <w:sz w:val="28"/>
          <w:szCs w:val="28"/>
        </w:rPr>
        <w:t xml:space="preserve"> mismo, si el Congreso no lo hace, el gobierno puede </w:t>
      </w:r>
      <w:r w:rsidRPr="00152C0F">
        <w:rPr>
          <w:rFonts w:ascii="Times New Roman" w:hAnsi="Times New Roman" w:cs="Times New Roman"/>
          <w:sz w:val="28"/>
          <w:szCs w:val="28"/>
        </w:rPr>
        <w:t>poner en vigencia</w:t>
      </w:r>
      <w:r w:rsidRPr="00152C0F">
        <w:rPr>
          <w:rFonts w:ascii="Times New Roman" w:hAnsi="Times New Roman" w:cs="Times New Roman"/>
          <w:sz w:val="28"/>
          <w:szCs w:val="28"/>
        </w:rPr>
        <w:t xml:space="preserve"> el proyecto presentado mediante decreto con fuerza de ley.</w:t>
      </w:r>
    </w:p>
    <w:p w:rsidR="00C174E7" w:rsidRPr="00152C0F" w:rsidRDefault="00152C0F" w:rsidP="00C174E7">
      <w:pPr>
        <w:pStyle w:val="Prrafodelista"/>
        <w:ind w:left="0"/>
        <w:jc w:val="both"/>
        <w:rPr>
          <w:rFonts w:ascii="Times New Roman" w:hAnsi="Times New Roman" w:cs="Times New Roman"/>
          <w:sz w:val="28"/>
          <w:szCs w:val="28"/>
        </w:rPr>
      </w:pPr>
    </w:p>
    <w:p w:rsidR="00322D34"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rPr>
        <w:t xml:space="preserve">Cabe concluir, </w:t>
      </w:r>
      <w:r w:rsidRPr="00152C0F">
        <w:rPr>
          <w:rFonts w:ascii="Times New Roman" w:hAnsi="Times New Roman" w:cs="Times New Roman"/>
          <w:sz w:val="28"/>
          <w:szCs w:val="28"/>
          <w:shd w:val="clear" w:color="auto" w:fill="FFFFFF"/>
        </w:rPr>
        <w:t xml:space="preserve">en consecuencia, </w:t>
      </w:r>
      <w:r w:rsidRPr="00152C0F">
        <w:rPr>
          <w:rFonts w:ascii="Times New Roman" w:hAnsi="Times New Roman" w:cs="Times New Roman"/>
          <w:sz w:val="28"/>
          <w:szCs w:val="28"/>
          <w:shd w:val="clear" w:color="auto" w:fill="FFFFFF"/>
        </w:rPr>
        <w:t>que, para garantizar su ejecución, el plan nacional de desarrollo y de inversiones p</w:t>
      </w:r>
      <w:r w:rsidRPr="00152C0F">
        <w:rPr>
          <w:rFonts w:ascii="Times New Roman" w:hAnsi="Times New Roman" w:cs="Times New Roman"/>
          <w:sz w:val="28"/>
          <w:szCs w:val="28"/>
          <w:shd w:val="clear" w:color="auto" w:fill="FFFFFF"/>
        </w:rPr>
        <w:t>ú</w:t>
      </w:r>
      <w:r w:rsidRPr="00152C0F">
        <w:rPr>
          <w:rFonts w:ascii="Times New Roman" w:hAnsi="Times New Roman" w:cs="Times New Roman"/>
          <w:sz w:val="28"/>
          <w:szCs w:val="28"/>
          <w:shd w:val="clear" w:color="auto" w:fill="FFFFFF"/>
        </w:rPr>
        <w:t xml:space="preserve">blicas </w:t>
      </w:r>
      <w:r w:rsidRPr="00152C0F">
        <w:rPr>
          <w:rFonts w:ascii="Times New Roman" w:hAnsi="Times New Roman" w:cs="Times New Roman"/>
          <w:sz w:val="28"/>
          <w:szCs w:val="28"/>
          <w:shd w:val="clear" w:color="auto" w:fill="FFFFFF"/>
        </w:rPr>
        <w:t>s</w:t>
      </w:r>
      <w:r w:rsidRPr="00152C0F">
        <w:rPr>
          <w:rFonts w:ascii="Times New Roman" w:hAnsi="Times New Roman" w:cs="Times New Roman"/>
          <w:sz w:val="28"/>
          <w:szCs w:val="28"/>
          <w:shd w:val="clear" w:color="auto" w:fill="FFFFFF"/>
        </w:rPr>
        <w:t>eñala</w:t>
      </w:r>
      <w:r w:rsidRPr="00152C0F">
        <w:rPr>
          <w:rFonts w:ascii="Times New Roman" w:hAnsi="Times New Roman" w:cs="Times New Roman"/>
          <w:sz w:val="28"/>
          <w:szCs w:val="28"/>
          <w:shd w:val="clear" w:color="auto" w:fill="FFFFFF"/>
        </w:rPr>
        <w:t>rá</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w:t>
      </w:r>
      <w:r w:rsidRPr="00152C0F">
        <w:rPr>
          <w:rFonts w:ascii="Times New Roman" w:hAnsi="Times New Roman" w:cs="Times New Roman"/>
          <w:sz w:val="28"/>
          <w:szCs w:val="28"/>
          <w:shd w:val="clear" w:color="auto" w:fill="FFFFFF"/>
        </w:rPr>
        <w:t>en la parte general</w:t>
      </w:r>
      <w:r w:rsidRPr="00152C0F">
        <w:rPr>
          <w:rFonts w:ascii="Times New Roman" w:hAnsi="Times New Roman" w:cs="Times New Roman"/>
          <w:sz w:val="28"/>
          <w:szCs w:val="28"/>
          <w:shd w:val="clear" w:color="auto" w:fill="FFFFFF"/>
        </w:rPr>
        <w:t>–</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lang w:val="es-ES"/>
        </w:rPr>
        <w:t>los “</w:t>
      </w:r>
      <w:r w:rsidRPr="00152C0F">
        <w:rPr>
          <w:rFonts w:ascii="Times New Roman" w:hAnsi="Times New Roman" w:cs="Times New Roman"/>
          <w:i/>
          <w:iCs/>
          <w:sz w:val="28"/>
          <w:szCs w:val="28"/>
          <w:u w:val="single"/>
          <w:lang w:val="es-ES"/>
        </w:rPr>
        <w:t>procedimientos</w:t>
      </w:r>
      <w:r w:rsidRPr="00152C0F">
        <w:rPr>
          <w:rFonts w:ascii="Times New Roman" w:hAnsi="Times New Roman" w:cs="Times New Roman"/>
          <w:sz w:val="28"/>
          <w:szCs w:val="28"/>
          <w:u w:val="single"/>
          <w:lang w:val="es-ES"/>
        </w:rPr>
        <w:t xml:space="preserve"> y </w:t>
      </w:r>
      <w:r w:rsidRPr="00152C0F">
        <w:rPr>
          <w:rFonts w:ascii="Times New Roman" w:hAnsi="Times New Roman" w:cs="Times New Roman"/>
          <w:i/>
          <w:iCs/>
          <w:sz w:val="28"/>
          <w:szCs w:val="28"/>
          <w:u w:val="single"/>
          <w:lang w:val="es-ES"/>
        </w:rPr>
        <w:t>mecanismos</w:t>
      </w:r>
      <w:r w:rsidRPr="00152C0F">
        <w:rPr>
          <w:rFonts w:ascii="Times New Roman" w:hAnsi="Times New Roman" w:cs="Times New Roman"/>
          <w:sz w:val="28"/>
          <w:szCs w:val="28"/>
          <w:lang w:val="es-ES"/>
        </w:rPr>
        <w:t xml:space="preserve"> generales” necesarios para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alcanzar</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las</w:t>
      </w:r>
      <w:r w:rsidRPr="00152C0F">
        <w:rPr>
          <w:rFonts w:ascii="Times New Roman" w:hAnsi="Times New Roman" w:cs="Times New Roman"/>
          <w:sz w:val="28"/>
          <w:szCs w:val="28"/>
        </w:rPr>
        <w:t xml:space="preserve"> metas nacionales y sectoriales </w:t>
      </w:r>
      <w:r w:rsidRPr="00152C0F">
        <w:rPr>
          <w:rFonts w:ascii="Times New Roman" w:hAnsi="Times New Roman" w:cs="Times New Roman"/>
          <w:sz w:val="28"/>
          <w:szCs w:val="28"/>
        </w:rPr>
        <w:t xml:space="preserve">que se propongan </w:t>
      </w:r>
      <w:r w:rsidRPr="00152C0F">
        <w:rPr>
          <w:rFonts w:ascii="Times New Roman" w:hAnsi="Times New Roman" w:cs="Times New Roman"/>
          <w:sz w:val="28"/>
          <w:szCs w:val="28"/>
        </w:rPr>
        <w:t>en el plan</w:t>
      </w:r>
      <w:r w:rsidRPr="00152C0F">
        <w:rPr>
          <w:rFonts w:ascii="Times New Roman" w:hAnsi="Times New Roman" w:cs="Times New Roman"/>
          <w:sz w:val="28"/>
          <w:szCs w:val="28"/>
          <w:lang w:val="es-ES"/>
        </w:rPr>
        <w:t xml:space="preserve"> (artículo 5.b</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Ley 152 de 1994), y </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en el plan de inversiones</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los “</w:t>
      </w:r>
      <w:r w:rsidRPr="00152C0F">
        <w:rPr>
          <w:rFonts w:ascii="Times New Roman" w:hAnsi="Times New Roman" w:cs="Times New Roman"/>
          <w:i/>
          <w:iCs/>
          <w:sz w:val="28"/>
          <w:szCs w:val="28"/>
          <w:u w:val="single"/>
          <w:lang w:val="es-ES"/>
        </w:rPr>
        <w:t>mecanismos</w:t>
      </w:r>
      <w:r w:rsidRPr="00152C0F">
        <w:rPr>
          <w:rFonts w:ascii="Times New Roman" w:hAnsi="Times New Roman" w:cs="Times New Roman"/>
          <w:sz w:val="28"/>
          <w:szCs w:val="28"/>
          <w:lang w:val="es-ES"/>
        </w:rPr>
        <w:t xml:space="preserve"> idóneos” para la ejecución de los principales programas y proyectos de inversión (artículo 6.d</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Ley 152 de 1994). </w:t>
      </w:r>
      <w:r w:rsidRPr="00152C0F">
        <w:rPr>
          <w:rFonts w:ascii="Times New Roman" w:hAnsi="Times New Roman" w:cs="Times New Roman"/>
          <w:sz w:val="28"/>
          <w:szCs w:val="28"/>
          <w:lang w:val="es-ES"/>
        </w:rPr>
        <w:t>En</w:t>
      </w:r>
      <w:r w:rsidRPr="00152C0F">
        <w:rPr>
          <w:rFonts w:ascii="Times New Roman" w:hAnsi="Times New Roman" w:cs="Times New Roman"/>
          <w:sz w:val="28"/>
          <w:szCs w:val="28"/>
          <w:lang w:val="es-ES"/>
        </w:rPr>
        <w:t xml:space="preserve"> l</w:t>
      </w:r>
      <w:r w:rsidRPr="00152C0F">
        <w:rPr>
          <w:rFonts w:ascii="Times New Roman" w:hAnsi="Times New Roman" w:cs="Times New Roman"/>
          <w:sz w:val="28"/>
          <w:szCs w:val="28"/>
          <w:lang w:val="es-ES"/>
        </w:rPr>
        <w:t xml:space="preserve">a </w:t>
      </w:r>
      <w:r w:rsidRPr="00152C0F">
        <w:rPr>
          <w:rFonts w:ascii="Times New Roman" w:hAnsi="Times New Roman" w:cs="Times New Roman"/>
          <w:sz w:val="28"/>
          <w:szCs w:val="28"/>
          <w:lang w:val="es-ES"/>
        </w:rPr>
        <w:t>l</w:t>
      </w:r>
      <w:r w:rsidRPr="00152C0F">
        <w:rPr>
          <w:rFonts w:ascii="Times New Roman" w:hAnsi="Times New Roman" w:cs="Times New Roman"/>
          <w:sz w:val="28"/>
          <w:szCs w:val="28"/>
          <w:lang w:val="es-ES"/>
        </w:rPr>
        <w:t xml:space="preserve">ey aprobatoria, por su parte, </w:t>
      </w:r>
      <w:r w:rsidRPr="00152C0F">
        <w:rPr>
          <w:rFonts w:ascii="Times New Roman" w:hAnsi="Times New Roman" w:cs="Times New Roman"/>
          <w:sz w:val="28"/>
          <w:szCs w:val="28"/>
          <w:lang w:val="es-ES"/>
        </w:rPr>
        <w:t xml:space="preserve">se </w:t>
      </w:r>
      <w:r w:rsidRPr="00152C0F">
        <w:rPr>
          <w:rFonts w:ascii="Times New Roman" w:hAnsi="Times New Roman" w:cs="Times New Roman"/>
          <w:sz w:val="28"/>
          <w:szCs w:val="28"/>
          <w:lang w:val="es-ES"/>
        </w:rPr>
        <w:t>determinar</w:t>
      </w:r>
      <w:r w:rsidRPr="00152C0F">
        <w:rPr>
          <w:rFonts w:ascii="Times New Roman" w:hAnsi="Times New Roman" w:cs="Times New Roman"/>
          <w:sz w:val="28"/>
          <w:szCs w:val="28"/>
          <w:lang w:val="es-ES"/>
        </w:rPr>
        <w:t>án</w:t>
      </w:r>
      <w:r w:rsidRPr="00152C0F">
        <w:rPr>
          <w:rFonts w:ascii="Times New Roman" w:hAnsi="Times New Roman" w:cs="Times New Roman"/>
          <w:sz w:val="28"/>
          <w:szCs w:val="28"/>
          <w:shd w:val="clear" w:color="auto" w:fill="FFFFFF"/>
        </w:rPr>
        <w:t xml:space="preserve"> los </w:t>
      </w:r>
      <w:r w:rsidRPr="00152C0F">
        <w:rPr>
          <w:rFonts w:ascii="Times New Roman" w:hAnsi="Times New Roman" w:cs="Times New Roman"/>
          <w:i/>
          <w:iCs/>
          <w:sz w:val="28"/>
          <w:szCs w:val="28"/>
          <w:u w:val="single"/>
          <w:shd w:val="clear" w:color="auto" w:fill="FFFFFF"/>
        </w:rPr>
        <w:t>recursos y apropiaciones</w:t>
      </w:r>
      <w:r w:rsidRPr="00152C0F">
        <w:rPr>
          <w:rFonts w:ascii="Times New Roman" w:hAnsi="Times New Roman" w:cs="Times New Roman"/>
          <w:sz w:val="28"/>
          <w:szCs w:val="28"/>
          <w:shd w:val="clear" w:color="auto" w:fill="FFFFFF"/>
        </w:rPr>
        <w:t xml:space="preserve"> que se autoricen para la ejecución del plan y las </w:t>
      </w:r>
      <w:r w:rsidRPr="00152C0F">
        <w:rPr>
          <w:rFonts w:ascii="Times New Roman" w:hAnsi="Times New Roman" w:cs="Times New Roman"/>
          <w:i/>
          <w:iCs/>
          <w:sz w:val="28"/>
          <w:szCs w:val="28"/>
          <w:u w:val="single"/>
          <w:shd w:val="clear" w:color="auto" w:fill="FFFFFF"/>
        </w:rPr>
        <w:t>medidas</w:t>
      </w:r>
      <w:r w:rsidRPr="00152C0F">
        <w:rPr>
          <w:rFonts w:ascii="Times New Roman" w:hAnsi="Times New Roman" w:cs="Times New Roman"/>
          <w:sz w:val="28"/>
          <w:szCs w:val="28"/>
          <w:shd w:val="clear" w:color="auto" w:fill="FFFFFF"/>
        </w:rPr>
        <w:t xml:space="preserve"> n</w:t>
      </w:r>
      <w:r w:rsidRPr="00152C0F">
        <w:rPr>
          <w:rFonts w:ascii="Times New Roman" w:hAnsi="Times New Roman" w:cs="Times New Roman"/>
          <w:sz w:val="28"/>
          <w:szCs w:val="28"/>
          <w:shd w:val="clear" w:color="auto" w:fill="FFFFFF"/>
        </w:rPr>
        <w:t>ecesarias para impulsar su cumplimiento (artículo 150.3 de la Constitución). Est</w:t>
      </w:r>
      <w:r w:rsidRPr="00152C0F">
        <w:rPr>
          <w:rFonts w:ascii="Times New Roman" w:hAnsi="Times New Roman" w:cs="Times New Roman"/>
          <w:sz w:val="28"/>
          <w:szCs w:val="28"/>
          <w:shd w:val="clear" w:color="auto" w:fill="FFFFFF"/>
        </w:rPr>
        <w:t>e</w:t>
      </w:r>
      <w:r w:rsidRPr="00152C0F">
        <w:rPr>
          <w:rFonts w:ascii="Times New Roman" w:hAnsi="Times New Roman" w:cs="Times New Roman"/>
          <w:sz w:val="28"/>
          <w:szCs w:val="28"/>
          <w:shd w:val="clear" w:color="auto" w:fill="FFFFFF"/>
        </w:rPr>
        <w:t xml:space="preserve"> tipo de </w:t>
      </w:r>
      <w:r w:rsidRPr="00152C0F">
        <w:rPr>
          <w:rFonts w:ascii="Times New Roman" w:hAnsi="Times New Roman" w:cs="Times New Roman"/>
          <w:sz w:val="28"/>
          <w:szCs w:val="28"/>
          <w:shd w:val="clear" w:color="auto" w:fill="FFFFFF"/>
        </w:rPr>
        <w:t>disposiciones</w:t>
      </w:r>
      <w:r w:rsidRPr="00152C0F">
        <w:rPr>
          <w:rFonts w:ascii="Times New Roman" w:hAnsi="Times New Roman" w:cs="Times New Roman"/>
          <w:sz w:val="28"/>
          <w:szCs w:val="28"/>
          <w:shd w:val="clear" w:color="auto" w:fill="FFFFFF"/>
        </w:rPr>
        <w:t xml:space="preserve"> que pueden ser incorporadas al plan y a la ley aprobatoria (</w:t>
      </w:r>
      <w:r w:rsidRPr="00152C0F">
        <w:rPr>
          <w:rFonts w:ascii="Times New Roman" w:hAnsi="Times New Roman" w:cs="Times New Roman"/>
          <w:i/>
          <w:iCs/>
          <w:sz w:val="28"/>
          <w:szCs w:val="28"/>
          <w:shd w:val="clear" w:color="auto" w:fill="FFFFFF"/>
        </w:rPr>
        <w:t>procedimientos</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i/>
          <w:iCs/>
          <w:sz w:val="28"/>
          <w:szCs w:val="28"/>
          <w:shd w:val="clear" w:color="auto" w:fill="FFFFFF"/>
        </w:rPr>
        <w:t>mecanismos</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i/>
          <w:iCs/>
          <w:sz w:val="28"/>
          <w:szCs w:val="28"/>
          <w:shd w:val="clear" w:color="auto" w:fill="FFFFFF"/>
        </w:rPr>
        <w:t>apropiaciones</w:t>
      </w:r>
      <w:r w:rsidRPr="00152C0F">
        <w:rPr>
          <w:rFonts w:ascii="Times New Roman" w:hAnsi="Times New Roman" w:cs="Times New Roman"/>
          <w:sz w:val="28"/>
          <w:szCs w:val="28"/>
          <w:shd w:val="clear" w:color="auto" w:fill="FFFFFF"/>
        </w:rPr>
        <w:t xml:space="preserve"> y</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i/>
          <w:iCs/>
          <w:sz w:val="28"/>
          <w:szCs w:val="28"/>
          <w:shd w:val="clear" w:color="auto" w:fill="FFFFFF"/>
        </w:rPr>
        <w:t>medidas</w:t>
      </w:r>
      <w:r w:rsidRPr="00152C0F">
        <w:rPr>
          <w:rFonts w:ascii="Times New Roman" w:hAnsi="Times New Roman" w:cs="Times New Roman"/>
          <w:sz w:val="28"/>
          <w:szCs w:val="28"/>
          <w:shd w:val="clear" w:color="auto" w:fill="FFFFFF"/>
        </w:rPr>
        <w:t>)</w:t>
      </w:r>
      <w:r w:rsidRPr="00152C0F">
        <w:rPr>
          <w:rFonts w:ascii="Times New Roman" w:hAnsi="Times New Roman" w:cs="Times New Roman"/>
          <w:sz w:val="28"/>
          <w:szCs w:val="28"/>
          <w:shd w:val="clear" w:color="auto" w:fill="FFFFFF"/>
        </w:rPr>
        <w:t xml:space="preserve"> tienen por finalidad impulsar el cumplimiento o la ejecución del plan y, precisamente por ello, </w:t>
      </w:r>
      <w:r w:rsidRPr="00152C0F">
        <w:rPr>
          <w:rFonts w:ascii="Times New Roman" w:hAnsi="Times New Roman" w:cs="Times New Roman"/>
          <w:sz w:val="28"/>
          <w:szCs w:val="28"/>
          <w:shd w:val="clear" w:color="auto" w:fill="FFFFFF"/>
        </w:rPr>
        <w:t xml:space="preserve">han llevado a la jurisprudencia a precisar que se trata de </w:t>
      </w:r>
      <w:r w:rsidRPr="00152C0F">
        <w:rPr>
          <w:rFonts w:ascii="Times New Roman" w:hAnsi="Times New Roman" w:cs="Times New Roman"/>
          <w:i/>
          <w:iCs/>
          <w:sz w:val="28"/>
          <w:szCs w:val="28"/>
          <w:shd w:val="clear" w:color="auto" w:fill="FFFFFF"/>
        </w:rPr>
        <w:t>disposiciones instrumentales</w:t>
      </w:r>
      <w:r w:rsidRPr="00152C0F">
        <w:rPr>
          <w:rFonts w:ascii="Times New Roman" w:hAnsi="Times New Roman" w:cs="Times New Roman"/>
          <w:sz w:val="28"/>
          <w:szCs w:val="28"/>
          <w:shd w:val="clear" w:color="auto" w:fill="FFFFFF"/>
        </w:rPr>
        <w:t xml:space="preserve"> o de </w:t>
      </w:r>
      <w:r w:rsidRPr="00152C0F">
        <w:rPr>
          <w:rFonts w:ascii="Times New Roman" w:hAnsi="Times New Roman" w:cs="Times New Roman"/>
          <w:sz w:val="28"/>
          <w:szCs w:val="28"/>
          <w:shd w:val="clear" w:color="auto" w:fill="FFFFFF"/>
        </w:rPr>
        <w:t>asignación</w:t>
      </w:r>
      <w:r w:rsidRPr="00152C0F">
        <w:rPr>
          <w:rFonts w:ascii="Times New Roman" w:hAnsi="Times New Roman" w:cs="Times New Roman"/>
          <w:sz w:val="28"/>
          <w:szCs w:val="28"/>
          <w:shd w:val="clear" w:color="auto" w:fill="FFFFFF"/>
        </w:rPr>
        <w:t xml:space="preserve"> de recursos</w:t>
      </w:r>
      <w:r w:rsidRPr="00152C0F">
        <w:rPr>
          <w:rFonts w:ascii="Times New Roman" w:hAnsi="Times New Roman" w:cs="Times New Roman"/>
          <w:sz w:val="28"/>
          <w:szCs w:val="28"/>
          <w:shd w:val="clear" w:color="auto" w:fill="FFFFFF"/>
        </w:rPr>
        <w:t>,</w:t>
      </w:r>
      <w:r w:rsidRPr="00152C0F">
        <w:rPr>
          <w:rFonts w:ascii="Times New Roman" w:hAnsi="Times New Roman" w:cs="Times New Roman"/>
          <w:sz w:val="28"/>
          <w:szCs w:val="28"/>
          <w:shd w:val="clear" w:color="auto" w:fill="FFFFFF"/>
        </w:rPr>
        <w:t xml:space="preserve"> necesari</w:t>
      </w:r>
      <w:r w:rsidRPr="00152C0F">
        <w:rPr>
          <w:rFonts w:ascii="Times New Roman" w:hAnsi="Times New Roman" w:cs="Times New Roman"/>
          <w:sz w:val="28"/>
          <w:szCs w:val="28"/>
          <w:shd w:val="clear" w:color="auto" w:fill="FFFFFF"/>
        </w:rPr>
        <w:t>a</w:t>
      </w:r>
      <w:r w:rsidRPr="00152C0F">
        <w:rPr>
          <w:rFonts w:ascii="Times New Roman" w:hAnsi="Times New Roman" w:cs="Times New Roman"/>
          <w:sz w:val="28"/>
          <w:szCs w:val="28"/>
          <w:shd w:val="clear" w:color="auto" w:fill="FFFFFF"/>
        </w:rPr>
        <w:t xml:space="preserve">s para </w:t>
      </w:r>
      <w:r w:rsidRPr="00152C0F">
        <w:rPr>
          <w:rFonts w:ascii="Times New Roman" w:hAnsi="Times New Roman" w:cs="Times New Roman"/>
          <w:sz w:val="28"/>
          <w:szCs w:val="28"/>
          <w:shd w:val="clear" w:color="auto" w:fill="FFFFFF"/>
        </w:rPr>
        <w:t xml:space="preserve">su </w:t>
      </w:r>
      <w:r w:rsidRPr="00152C0F">
        <w:rPr>
          <w:rFonts w:ascii="Times New Roman" w:hAnsi="Times New Roman" w:cs="Times New Roman"/>
          <w:sz w:val="28"/>
          <w:szCs w:val="28"/>
          <w:shd w:val="clear" w:color="auto" w:fill="FFFFFF"/>
        </w:rPr>
        <w:t>ejecución.</w:t>
      </w:r>
    </w:p>
    <w:p w:rsidR="00322D34" w:rsidRPr="00152C0F" w:rsidRDefault="00152C0F" w:rsidP="00A553C9">
      <w:pPr>
        <w:jc w:val="both"/>
        <w:rPr>
          <w:rFonts w:ascii="Times New Roman" w:hAnsi="Times New Roman" w:cs="Times New Roman"/>
          <w:sz w:val="28"/>
          <w:szCs w:val="28"/>
        </w:rPr>
      </w:pPr>
    </w:p>
    <w:bookmarkEnd w:id="6"/>
    <w:p w:rsidR="00322D34" w:rsidRPr="00152C0F" w:rsidRDefault="00152C0F" w:rsidP="00A17EA0">
      <w:pPr>
        <w:pStyle w:val="Estilo1"/>
        <w:numPr>
          <w:ilvl w:val="0"/>
          <w:numId w:val="4"/>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 xml:space="preserve">El </w:t>
      </w:r>
      <w:r w:rsidRPr="00152C0F">
        <w:rPr>
          <w:rStyle w:val="Ttulo1Car"/>
          <w:rFonts w:ascii="Times New Roman" w:hAnsi="Times New Roman" w:cs="Times New Roman"/>
          <w:bCs/>
          <w:color w:val="auto"/>
          <w:sz w:val="28"/>
          <w:szCs w:val="28"/>
        </w:rPr>
        <w:t>principio de unidad de materia en relación con las disposiciones de la ley aprobatoria del Plan Nacional de Desarrollo</w:t>
      </w:r>
      <w:r w:rsidRPr="00152C0F">
        <w:rPr>
          <w:rStyle w:val="Refdenotaalpie"/>
          <w:rFonts w:ascii="Times New Roman" w:eastAsia="Cambria" w:hAnsi="Times New Roman" w:cs="Times New Roman"/>
          <w:b/>
          <w:bCs/>
        </w:rPr>
        <w:footnoteReference w:id="72"/>
      </w:r>
    </w:p>
    <w:p w:rsidR="00322D34" w:rsidRPr="00152C0F" w:rsidRDefault="00152C0F" w:rsidP="00A553C9">
      <w:pPr>
        <w:jc w:val="both"/>
        <w:rPr>
          <w:rFonts w:ascii="Times New Roman" w:hAnsi="Times New Roman" w:cs="Times New Roman"/>
          <w:b/>
          <w:sz w:val="28"/>
          <w:szCs w:val="28"/>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 xml:space="preserve">El principio de unidad </w:t>
      </w:r>
      <w:r w:rsidRPr="00152C0F">
        <w:rPr>
          <w:rFonts w:ascii="Times New Roman" w:hAnsi="Times New Roman" w:cs="Times New Roman"/>
          <w:sz w:val="28"/>
          <w:szCs w:val="28"/>
          <w:shd w:val="clear" w:color="auto" w:fill="FFFFFF"/>
          <w:lang w:val="es-ES"/>
        </w:rPr>
        <w:t xml:space="preserve">tiene fundamento en </w:t>
      </w:r>
      <w:r w:rsidRPr="00152C0F">
        <w:rPr>
          <w:rFonts w:ascii="Times New Roman" w:hAnsi="Times New Roman" w:cs="Times New Roman"/>
          <w:sz w:val="28"/>
          <w:szCs w:val="28"/>
          <w:shd w:val="clear" w:color="auto" w:fill="FFFFFF"/>
          <w:lang w:val="es-ES"/>
        </w:rPr>
        <w:t>los artículos 158 y 169 de la Constitución</w:t>
      </w:r>
      <w:r w:rsidRPr="00152C0F">
        <w:rPr>
          <w:rFonts w:ascii="Times New Roman" w:hAnsi="Times New Roman" w:cs="Times New Roman"/>
          <w:sz w:val="28"/>
          <w:szCs w:val="28"/>
          <w:shd w:val="clear" w:color="auto" w:fill="FFFFFF"/>
          <w:lang w:val="es-ES"/>
        </w:rPr>
        <w:t xml:space="preserve">, y su </w:t>
      </w:r>
      <w:r w:rsidRPr="00152C0F">
        <w:rPr>
          <w:rFonts w:ascii="Times New Roman" w:hAnsi="Times New Roman" w:cs="Times New Roman"/>
          <w:sz w:val="28"/>
          <w:szCs w:val="28"/>
          <w:shd w:val="clear" w:color="auto" w:fill="FFFFFF"/>
          <w:lang w:val="es-ES"/>
        </w:rPr>
        <w:t xml:space="preserve">función </w:t>
      </w:r>
      <w:r w:rsidRPr="00152C0F">
        <w:rPr>
          <w:rFonts w:ascii="Times New Roman" w:hAnsi="Times New Roman" w:cs="Times New Roman"/>
          <w:sz w:val="28"/>
          <w:szCs w:val="28"/>
          <w:shd w:val="clear" w:color="auto" w:fill="FFFFFF"/>
          <w:lang w:val="es-ES"/>
        </w:rPr>
        <w:t xml:space="preserve">es </w:t>
      </w:r>
      <w:r w:rsidRPr="00152C0F">
        <w:rPr>
          <w:rFonts w:ascii="Times New Roman" w:hAnsi="Times New Roman" w:cs="Times New Roman"/>
          <w:sz w:val="28"/>
          <w:szCs w:val="28"/>
          <w:shd w:val="clear" w:color="auto" w:fill="FFFFFF"/>
          <w:lang w:val="es-ES"/>
        </w:rPr>
        <w:t xml:space="preserve">racionalizar y tecnificar el ejercicio de la </w:t>
      </w:r>
      <w:r w:rsidRPr="00152C0F">
        <w:rPr>
          <w:rFonts w:ascii="Times New Roman" w:hAnsi="Times New Roman" w:cs="Times New Roman"/>
          <w:sz w:val="28"/>
          <w:szCs w:val="28"/>
          <w:shd w:val="clear" w:color="auto" w:fill="FFFFFF"/>
          <w:lang w:val="es-ES"/>
        </w:rPr>
        <w:t xml:space="preserve">labor </w:t>
      </w:r>
      <w:r w:rsidRPr="00152C0F">
        <w:rPr>
          <w:rFonts w:ascii="Times New Roman" w:hAnsi="Times New Roman" w:cs="Times New Roman"/>
          <w:sz w:val="28"/>
          <w:szCs w:val="28"/>
          <w:shd w:val="clear" w:color="auto" w:fill="FFFFFF"/>
          <w:lang w:val="es-ES"/>
        </w:rPr>
        <w:t>legislativa, de tal forma que se impida la inclusión subrepticia de disposiciones inconexas con la materia principal de cada ley y</w:t>
      </w:r>
      <w:r w:rsidRPr="00152C0F">
        <w:rPr>
          <w:rFonts w:ascii="Times New Roman" w:hAnsi="Times New Roman" w:cs="Times New Roman"/>
          <w:sz w:val="28"/>
          <w:szCs w:val="28"/>
          <w:shd w:val="clear" w:color="auto" w:fill="FFFFFF"/>
          <w:lang w:val="es-ES"/>
        </w:rPr>
        <w:t xml:space="preserve"> que</w:t>
      </w:r>
      <w:r w:rsidRPr="00152C0F">
        <w:rPr>
          <w:rFonts w:ascii="Times New Roman" w:hAnsi="Times New Roman" w:cs="Times New Roman"/>
          <w:sz w:val="28"/>
          <w:szCs w:val="28"/>
          <w:shd w:val="clear" w:color="auto" w:fill="FFFFFF"/>
          <w:lang w:val="es-ES"/>
        </w:rPr>
        <w:t>, por tanto, escapen al riguroso proceso de construcción legislativa</w:t>
      </w:r>
      <w:r w:rsidRPr="00152C0F">
        <w:rPr>
          <w:rFonts w:ascii="Times New Roman" w:hAnsi="Times New Roman" w:cs="Times New Roman"/>
          <w:sz w:val="28"/>
          <w:szCs w:val="28"/>
          <w:shd w:val="clear" w:color="auto" w:fill="FFFFFF"/>
          <w:vertAlign w:val="superscript"/>
          <w:lang w:val="es-ES"/>
        </w:rPr>
        <w:footnoteReference w:id="73"/>
      </w:r>
      <w:r w:rsidRPr="00152C0F">
        <w:rPr>
          <w:rFonts w:ascii="Times New Roman" w:hAnsi="Times New Roman" w:cs="Times New Roman"/>
          <w:sz w:val="28"/>
          <w:szCs w:val="28"/>
          <w:shd w:val="clear" w:color="auto" w:fill="FFFFFF"/>
          <w:lang w:val="es-ES"/>
        </w:rPr>
        <w:t xml:space="preserve">. </w:t>
      </w:r>
      <w:r w:rsidRPr="00152C0F">
        <w:rPr>
          <w:rFonts w:ascii="Times New Roman" w:hAnsi="Times New Roman" w:cs="Times New Roman"/>
          <w:sz w:val="28"/>
          <w:szCs w:val="28"/>
          <w:shd w:val="clear" w:color="auto" w:fill="FFFFFF"/>
          <w:lang w:val="es-ES"/>
        </w:rPr>
        <w:t>Dado que garantiza un debate material en el legislativo</w:t>
      </w:r>
      <w:r w:rsidRPr="00152C0F">
        <w:rPr>
          <w:rFonts w:ascii="Times New Roman" w:hAnsi="Times New Roman" w:cs="Times New Roman"/>
          <w:sz w:val="28"/>
          <w:szCs w:val="28"/>
          <w:shd w:val="clear" w:color="auto" w:fill="FFFFFF"/>
          <w:lang w:val="es-ES"/>
        </w:rPr>
        <w:t xml:space="preserve"> respecto de una temática común, y no sobre disposiciones autónomas e independientes, </w:t>
      </w:r>
      <w:r w:rsidRPr="00152C0F">
        <w:rPr>
          <w:rFonts w:ascii="Times New Roman" w:hAnsi="Times New Roman" w:cs="Times New Roman"/>
          <w:sz w:val="28"/>
          <w:szCs w:val="28"/>
          <w:shd w:val="clear" w:color="auto" w:fill="FFFFFF"/>
          <w:lang w:val="es-ES"/>
        </w:rPr>
        <w:t>se le ha considerado consustancial al principio democrático</w:t>
      </w:r>
      <w:r w:rsidRPr="00152C0F">
        <w:rPr>
          <w:rFonts w:ascii="Times New Roman" w:hAnsi="Times New Roman" w:cs="Times New Roman"/>
          <w:sz w:val="28"/>
          <w:szCs w:val="28"/>
          <w:shd w:val="clear" w:color="auto" w:fill="FFFFFF"/>
          <w:vertAlign w:val="superscript"/>
          <w:lang w:val="es-ES"/>
        </w:rPr>
        <w:footnoteReference w:id="74"/>
      </w:r>
      <w:r w:rsidRPr="00152C0F">
        <w:rPr>
          <w:rFonts w:ascii="Times New Roman" w:hAnsi="Times New Roman" w:cs="Times New Roman"/>
          <w:sz w:val="28"/>
          <w:szCs w:val="28"/>
          <w:shd w:val="clear" w:color="auto" w:fill="FFFFFF"/>
          <w:lang w:val="es-ES"/>
        </w:rPr>
        <w:t xml:space="preserve">. </w:t>
      </w:r>
    </w:p>
    <w:p w:rsidR="00C174E7" w:rsidRPr="00152C0F" w:rsidRDefault="00152C0F" w:rsidP="00C174E7">
      <w:pPr>
        <w:pStyle w:val="Prrafodelista"/>
        <w:ind w:left="0"/>
        <w:jc w:val="both"/>
        <w:rPr>
          <w:rFonts w:ascii="Times New Roman" w:hAnsi="Times New Roman" w:cs="Times New Roman"/>
          <w:sz w:val="28"/>
          <w:szCs w:val="28"/>
        </w:rPr>
      </w:pPr>
    </w:p>
    <w:p w:rsidR="00E2741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lang w:val="es-ES"/>
        </w:rPr>
        <w:t xml:space="preserve">El desconocimiento de este principio </w:t>
      </w:r>
      <w:r w:rsidRPr="00152C0F">
        <w:rPr>
          <w:rFonts w:ascii="Times New Roman" w:hAnsi="Times New Roman" w:cs="Times New Roman"/>
          <w:sz w:val="28"/>
          <w:szCs w:val="28"/>
          <w:shd w:val="clear" w:color="auto" w:fill="FFFFFF"/>
          <w:lang w:val="es-ES"/>
        </w:rPr>
        <w:t xml:space="preserve">es un </w:t>
      </w:r>
      <w:r w:rsidRPr="00152C0F">
        <w:rPr>
          <w:rFonts w:ascii="Times New Roman" w:hAnsi="Times New Roman" w:cs="Times New Roman"/>
          <w:sz w:val="28"/>
          <w:szCs w:val="28"/>
          <w:shd w:val="clear" w:color="auto" w:fill="FFFFFF"/>
          <w:lang w:val="es-ES"/>
        </w:rPr>
        <w:t>vicio su</w:t>
      </w:r>
      <w:r w:rsidRPr="00152C0F">
        <w:rPr>
          <w:rFonts w:ascii="Times New Roman" w:hAnsi="Times New Roman" w:cs="Times New Roman"/>
          <w:sz w:val="28"/>
          <w:szCs w:val="28"/>
          <w:shd w:val="clear" w:color="auto" w:fill="FFFFFF"/>
          <w:lang w:val="es-ES"/>
        </w:rPr>
        <w:t xml:space="preserve">stantivo </w:t>
      </w:r>
      <w:r w:rsidRPr="00152C0F">
        <w:rPr>
          <w:rFonts w:ascii="Times New Roman" w:hAnsi="Times New Roman" w:cs="Times New Roman"/>
          <w:sz w:val="28"/>
          <w:szCs w:val="28"/>
          <w:shd w:val="clear" w:color="auto" w:fill="FFFFFF"/>
          <w:lang w:val="es-ES"/>
        </w:rPr>
        <w:t xml:space="preserve">del trámite legislativo </w:t>
      </w:r>
      <w:r w:rsidRPr="00152C0F">
        <w:rPr>
          <w:rFonts w:ascii="Times New Roman" w:hAnsi="Times New Roman" w:cs="Times New Roman"/>
          <w:sz w:val="28"/>
          <w:szCs w:val="28"/>
          <w:shd w:val="clear" w:color="auto" w:fill="FFFFFF"/>
          <w:lang w:val="es-ES"/>
        </w:rPr>
        <w:t>y no meramente formal</w:t>
      </w:r>
      <w:r w:rsidRPr="00152C0F">
        <w:rPr>
          <w:rFonts w:ascii="Times New Roman" w:hAnsi="Times New Roman" w:cs="Times New Roman"/>
          <w:sz w:val="28"/>
          <w:szCs w:val="28"/>
          <w:shd w:val="clear" w:color="auto" w:fill="FFFFFF"/>
          <w:lang w:val="es-ES"/>
        </w:rPr>
        <w:t xml:space="preserve">; esto es así, </w:t>
      </w:r>
      <w:r w:rsidRPr="00152C0F">
        <w:rPr>
          <w:rFonts w:ascii="Times New Roman" w:hAnsi="Times New Roman" w:cs="Times New Roman"/>
          <w:sz w:val="28"/>
          <w:szCs w:val="28"/>
          <w:shd w:val="clear" w:color="auto" w:fill="FFFFFF"/>
          <w:lang w:val="es-ES"/>
        </w:rPr>
        <w:t xml:space="preserve">dado que la compatibilidad de las disposiciones acusadas con aquel exige una valoración acerca de </w:t>
      </w:r>
      <w:r w:rsidRPr="00152C0F">
        <w:rPr>
          <w:rFonts w:ascii="Times New Roman" w:hAnsi="Times New Roman" w:cs="Times New Roman"/>
          <w:sz w:val="28"/>
          <w:szCs w:val="28"/>
          <w:shd w:val="clear" w:color="auto" w:fill="FFFFFF"/>
        </w:rPr>
        <w:t>la materia objeto de regulación y no propiamente del proce</w:t>
      </w:r>
      <w:r w:rsidRPr="00152C0F">
        <w:rPr>
          <w:rFonts w:ascii="Times New Roman" w:hAnsi="Times New Roman" w:cs="Times New Roman"/>
          <w:sz w:val="28"/>
          <w:szCs w:val="28"/>
          <w:shd w:val="clear" w:color="auto" w:fill="FFFFFF"/>
        </w:rPr>
        <w:t>dimiento</w:t>
      </w:r>
      <w:r w:rsidRPr="00152C0F">
        <w:rPr>
          <w:rFonts w:ascii="Times New Roman" w:hAnsi="Times New Roman" w:cs="Times New Roman"/>
          <w:sz w:val="28"/>
          <w:szCs w:val="28"/>
          <w:shd w:val="clear" w:color="auto" w:fill="FFFFFF"/>
        </w:rPr>
        <w:t xml:space="preserve"> de formación de la voluntad legislativa. Es por esto por lo que las disposiciones enjuiciadas pueden haber sido adoptadas mediante el procedimiento previsto para su aprobación, sanción y promulgación, y aun así ser inconstitucionales, al no satisfacer las</w:t>
      </w:r>
      <w:r w:rsidRPr="00152C0F">
        <w:rPr>
          <w:rFonts w:ascii="Times New Roman" w:hAnsi="Times New Roman" w:cs="Times New Roman"/>
          <w:sz w:val="28"/>
          <w:szCs w:val="28"/>
          <w:shd w:val="clear" w:color="auto" w:fill="FFFFFF"/>
        </w:rPr>
        <w:t xml:space="preserve"> exigencias de</w:t>
      </w:r>
      <w:r w:rsidRPr="00152C0F">
        <w:rPr>
          <w:rFonts w:ascii="Times New Roman" w:hAnsi="Times New Roman" w:cs="Times New Roman"/>
          <w:sz w:val="28"/>
          <w:szCs w:val="28"/>
          <w:shd w:val="clear" w:color="auto" w:fill="FFFFFF"/>
        </w:rPr>
        <w:t xml:space="preserve"> este parámetro de control constitucional</w:t>
      </w:r>
      <w:r w:rsidRPr="00152C0F">
        <w:rPr>
          <w:rFonts w:ascii="Times New Roman" w:hAnsi="Times New Roman" w:cs="Times New Roman"/>
          <w:sz w:val="28"/>
          <w:szCs w:val="28"/>
          <w:shd w:val="clear" w:color="auto" w:fill="FFFFFF"/>
          <w:vertAlign w:val="superscript"/>
        </w:rPr>
        <w:footnoteReference w:id="75"/>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 xml:space="preserve">Por esta razón, además, </w:t>
      </w:r>
      <w:r w:rsidRPr="00152C0F">
        <w:rPr>
          <w:rFonts w:ascii="Times New Roman" w:hAnsi="Times New Roman" w:cs="Times New Roman"/>
          <w:sz w:val="28"/>
          <w:szCs w:val="28"/>
          <w:shd w:val="clear" w:color="auto" w:fill="FFFFFF"/>
        </w:rPr>
        <w:t>este tipo de cuestionamientos no est</w:t>
      </w:r>
      <w:r w:rsidRPr="00152C0F">
        <w:rPr>
          <w:rFonts w:ascii="Times New Roman" w:hAnsi="Times New Roman" w:cs="Times New Roman"/>
          <w:sz w:val="28"/>
          <w:szCs w:val="28"/>
          <w:shd w:val="clear" w:color="auto" w:fill="FFFFFF"/>
        </w:rPr>
        <w:t>á</w:t>
      </w:r>
      <w:r w:rsidRPr="00152C0F">
        <w:rPr>
          <w:rFonts w:ascii="Times New Roman" w:hAnsi="Times New Roman" w:cs="Times New Roman"/>
          <w:sz w:val="28"/>
          <w:szCs w:val="28"/>
          <w:shd w:val="clear" w:color="auto" w:fill="FFFFFF"/>
        </w:rPr>
        <w:t xml:space="preserve"> sujeto al término de caducidad de que trata el artículo 242.3 de la Constitución</w:t>
      </w:r>
      <w:r w:rsidRPr="00152C0F">
        <w:rPr>
          <w:rFonts w:ascii="Times New Roman" w:hAnsi="Times New Roman" w:cs="Times New Roman"/>
          <w:sz w:val="28"/>
          <w:szCs w:val="28"/>
          <w:shd w:val="clear" w:color="auto" w:fill="FFFFFF"/>
        </w:rPr>
        <w:t>. E</w:t>
      </w:r>
      <w:r w:rsidRPr="00152C0F">
        <w:rPr>
          <w:rFonts w:ascii="Times New Roman" w:hAnsi="Times New Roman" w:cs="Times New Roman"/>
          <w:sz w:val="28"/>
          <w:szCs w:val="28"/>
          <w:shd w:val="clear" w:color="auto" w:fill="FFFFFF"/>
        </w:rPr>
        <w:t xml:space="preserve">n la Sentencia C-1177 de 2004, la Sala precisó </w:t>
      </w:r>
      <w:r w:rsidRPr="00152C0F">
        <w:rPr>
          <w:rFonts w:ascii="Times New Roman" w:hAnsi="Times New Roman" w:cs="Times New Roman"/>
          <w:sz w:val="28"/>
          <w:szCs w:val="28"/>
          <w:shd w:val="clear" w:color="auto" w:fill="FFFFFF"/>
        </w:rPr>
        <w:t xml:space="preserve">sobre </w:t>
      </w:r>
      <w:r w:rsidRPr="00152C0F">
        <w:rPr>
          <w:rFonts w:ascii="Times New Roman" w:hAnsi="Times New Roman" w:cs="Times New Roman"/>
          <w:sz w:val="28"/>
          <w:szCs w:val="28"/>
          <w:shd w:val="clear" w:color="auto" w:fill="FFFFFF"/>
        </w:rPr>
        <w:t xml:space="preserve">el particular </w:t>
      </w:r>
      <w:r w:rsidRPr="00152C0F">
        <w:rPr>
          <w:rFonts w:ascii="Times New Roman" w:hAnsi="Times New Roman" w:cs="Times New Roman"/>
          <w:sz w:val="28"/>
          <w:szCs w:val="28"/>
          <w:shd w:val="clear" w:color="auto" w:fill="FFFFFF"/>
        </w:rPr>
        <w:t xml:space="preserve">lo siguiente: </w:t>
      </w:r>
    </w:p>
    <w:p w:rsidR="00E27417" w:rsidRPr="00152C0F" w:rsidRDefault="00152C0F" w:rsidP="00E27417">
      <w:pPr>
        <w:pStyle w:val="Prrafodelista"/>
        <w:rPr>
          <w:rFonts w:ascii="Times New Roman" w:hAnsi="Times New Roman" w:cs="Times New Roman"/>
          <w:sz w:val="28"/>
          <w:szCs w:val="28"/>
          <w:shd w:val="clear" w:color="auto" w:fill="FFFFFF"/>
        </w:rPr>
      </w:pPr>
    </w:p>
    <w:p w:rsidR="00C174E7" w:rsidRPr="00152C0F" w:rsidRDefault="00152C0F" w:rsidP="00E27417">
      <w:pPr>
        <w:pStyle w:val="Prrafodelista"/>
        <w:ind w:left="567" w:right="616"/>
        <w:jc w:val="both"/>
        <w:rPr>
          <w:rFonts w:ascii="Times New Roman" w:hAnsi="Times New Roman" w:cs="Times New Roman"/>
          <w:sz w:val="28"/>
          <w:szCs w:val="24"/>
        </w:rPr>
      </w:pPr>
      <w:r w:rsidRPr="00152C0F">
        <w:rPr>
          <w:rFonts w:ascii="Times New Roman" w:hAnsi="Times New Roman" w:cs="Times New Roman"/>
          <w:sz w:val="28"/>
          <w:szCs w:val="24"/>
          <w:shd w:val="clear" w:color="auto" w:fill="FFFFFF"/>
        </w:rPr>
        <w:t>“cualquier desconocimiento de la regla de unidad de materia es por antonomasia un vicio de competencia con entidad sustantiva, ya que el vicio se predica directamente del propio contenido de la norma -al regular ésta un tema e</w:t>
      </w:r>
      <w:r w:rsidRPr="00152C0F">
        <w:rPr>
          <w:rFonts w:ascii="Times New Roman" w:hAnsi="Times New Roman" w:cs="Times New Roman"/>
          <w:sz w:val="28"/>
          <w:szCs w:val="24"/>
          <w:shd w:val="clear" w:color="auto" w:fill="FFFFFF"/>
        </w:rPr>
        <w:t>xtraño al conjunto de la ley-, y que por tal razón no se encuentra sometido al término de caducidad […], pudiendo ser declarado en cualquier momento por el órgano a quien se le asigna el control de constitucionalidad de las leyes, siempre que medie petició</w:t>
      </w:r>
      <w:r w:rsidRPr="00152C0F">
        <w:rPr>
          <w:rFonts w:ascii="Times New Roman" w:hAnsi="Times New Roman" w:cs="Times New Roman"/>
          <w:sz w:val="28"/>
          <w:szCs w:val="24"/>
          <w:shd w:val="clear" w:color="auto" w:fill="FFFFFF"/>
        </w:rPr>
        <w:t>n ciudadana o tenga lugar el control automático o previo”.</w:t>
      </w:r>
    </w:p>
    <w:p w:rsidR="00C174E7" w:rsidRPr="00152C0F" w:rsidRDefault="00152C0F" w:rsidP="00C174E7">
      <w:pPr>
        <w:pStyle w:val="Prrafodelista"/>
        <w:ind w:left="0"/>
        <w:jc w:val="both"/>
        <w:rPr>
          <w:rFonts w:ascii="Times New Roman" w:hAnsi="Times New Roman" w:cs="Times New Roman"/>
          <w:sz w:val="28"/>
          <w:szCs w:val="28"/>
        </w:rPr>
      </w:pPr>
    </w:p>
    <w:p w:rsidR="00322D34"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Como se precisa seguidamente, la jurisprudencia de la Sala ha diferenciado el estándar de control para valorar presuntas infracciones al principio de unidad de materia según el tipo de ley de que </w:t>
      </w:r>
      <w:r w:rsidRPr="00152C0F">
        <w:rPr>
          <w:rFonts w:ascii="Times New Roman" w:hAnsi="Times New Roman" w:cs="Times New Roman"/>
          <w:sz w:val="28"/>
          <w:szCs w:val="28"/>
        </w:rPr>
        <w:t xml:space="preserve">se trate. Por regla general, y para la mayoría de las leyes, el estándar de control es </w:t>
      </w:r>
      <w:r w:rsidRPr="00152C0F">
        <w:rPr>
          <w:rFonts w:ascii="Times New Roman" w:hAnsi="Times New Roman" w:cs="Times New Roman"/>
          <w:i/>
          <w:iCs/>
          <w:sz w:val="28"/>
          <w:szCs w:val="28"/>
        </w:rPr>
        <w:t>flexible</w:t>
      </w:r>
      <w:r w:rsidRPr="00152C0F">
        <w:rPr>
          <w:rFonts w:ascii="Times New Roman" w:hAnsi="Times New Roman" w:cs="Times New Roman"/>
          <w:sz w:val="28"/>
          <w:szCs w:val="28"/>
        </w:rPr>
        <w:t xml:space="preserve">, </w:t>
      </w:r>
      <w:r w:rsidRPr="00152C0F">
        <w:rPr>
          <w:rFonts w:ascii="Times New Roman" w:hAnsi="Times New Roman" w:cs="Times New Roman"/>
          <w:i/>
          <w:iCs/>
          <w:sz w:val="28"/>
          <w:szCs w:val="28"/>
        </w:rPr>
        <w:t>dúctil</w:t>
      </w:r>
      <w:r w:rsidRPr="00152C0F">
        <w:rPr>
          <w:rFonts w:ascii="Times New Roman" w:hAnsi="Times New Roman" w:cs="Times New Roman"/>
          <w:sz w:val="28"/>
          <w:szCs w:val="28"/>
        </w:rPr>
        <w:t xml:space="preserve"> o </w:t>
      </w:r>
      <w:r w:rsidRPr="00152C0F">
        <w:rPr>
          <w:rFonts w:ascii="Times New Roman" w:hAnsi="Times New Roman" w:cs="Times New Roman"/>
          <w:i/>
          <w:iCs/>
          <w:sz w:val="28"/>
          <w:szCs w:val="28"/>
        </w:rPr>
        <w:t>leve</w:t>
      </w:r>
      <w:r w:rsidRPr="00152C0F">
        <w:rPr>
          <w:rFonts w:ascii="Times New Roman" w:hAnsi="Times New Roman" w:cs="Times New Roman"/>
          <w:sz w:val="28"/>
          <w:szCs w:val="28"/>
        </w:rPr>
        <w:t xml:space="preserve">; para las disposiciones de la ley aprobatoria del plan nacional de desarrollo el estándar es </w:t>
      </w:r>
      <w:r w:rsidRPr="00152C0F">
        <w:rPr>
          <w:rFonts w:ascii="Times New Roman" w:hAnsi="Times New Roman" w:cs="Times New Roman"/>
          <w:i/>
          <w:iCs/>
          <w:sz w:val="28"/>
          <w:szCs w:val="28"/>
        </w:rPr>
        <w:t>estricto</w:t>
      </w:r>
      <w:r w:rsidRPr="00152C0F">
        <w:rPr>
          <w:rFonts w:ascii="Times New Roman" w:hAnsi="Times New Roman" w:cs="Times New Roman"/>
          <w:sz w:val="28"/>
          <w:szCs w:val="28"/>
        </w:rPr>
        <w:t xml:space="preserve">, y mucho más respecto de aquellas que </w:t>
      </w:r>
      <w:r w:rsidRPr="00152C0F">
        <w:rPr>
          <w:rFonts w:ascii="Times New Roman" w:hAnsi="Times New Roman" w:cs="Times New Roman"/>
          <w:sz w:val="28"/>
          <w:szCs w:val="28"/>
        </w:rPr>
        <w:t>introducen modificaciones permanentes</w:t>
      </w:r>
      <w:r w:rsidRPr="00152C0F">
        <w:rPr>
          <w:rFonts w:ascii="Times New Roman" w:hAnsi="Times New Roman" w:cs="Times New Roman"/>
          <w:sz w:val="28"/>
          <w:szCs w:val="28"/>
        </w:rPr>
        <w:t xml:space="preserve"> o</w:t>
      </w:r>
      <w:r w:rsidRPr="00152C0F">
        <w:rPr>
          <w:rFonts w:ascii="Times New Roman" w:hAnsi="Times New Roman" w:cs="Times New Roman"/>
          <w:sz w:val="28"/>
          <w:szCs w:val="28"/>
        </w:rPr>
        <w:t xml:space="preserve"> estructurales </w:t>
      </w:r>
      <w:r w:rsidRPr="00152C0F">
        <w:rPr>
          <w:rFonts w:ascii="Times New Roman" w:hAnsi="Times New Roman" w:cs="Times New Roman"/>
          <w:sz w:val="28"/>
          <w:szCs w:val="28"/>
        </w:rPr>
        <w:t xml:space="preserve">a la legislación y </w:t>
      </w:r>
      <w:r w:rsidRPr="00152C0F">
        <w:rPr>
          <w:rFonts w:ascii="Times New Roman" w:hAnsi="Times New Roman" w:cs="Times New Roman"/>
          <w:sz w:val="28"/>
          <w:szCs w:val="28"/>
        </w:rPr>
        <w:t xml:space="preserve">que superan </w:t>
      </w:r>
      <w:r w:rsidRPr="00152C0F">
        <w:rPr>
          <w:rFonts w:ascii="Times New Roman" w:hAnsi="Times New Roman" w:cs="Times New Roman"/>
          <w:sz w:val="28"/>
          <w:szCs w:val="28"/>
        </w:rPr>
        <w:t>el periodo de vigencia cuatrienal del plan.</w:t>
      </w:r>
    </w:p>
    <w:p w:rsidR="00322D34" w:rsidRPr="00152C0F" w:rsidRDefault="00152C0F" w:rsidP="00A553C9">
      <w:pPr>
        <w:pStyle w:val="Prrafodelista"/>
        <w:ind w:left="0"/>
        <w:jc w:val="both"/>
        <w:rPr>
          <w:rFonts w:ascii="Times New Roman" w:hAnsi="Times New Roman" w:cs="Times New Roman"/>
          <w:sz w:val="28"/>
          <w:szCs w:val="28"/>
        </w:rPr>
      </w:pPr>
    </w:p>
    <w:p w:rsidR="00322D34" w:rsidRPr="00152C0F" w:rsidRDefault="00152C0F" w:rsidP="00A17EA0">
      <w:pPr>
        <w:pStyle w:val="Estilo1"/>
        <w:numPr>
          <w:ilvl w:val="1"/>
          <w:numId w:val="4"/>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El estándar general del control constitucional para evidenciar el desconocimiento del principio de unidad de materia para la g</w:t>
      </w:r>
      <w:r w:rsidRPr="00152C0F">
        <w:rPr>
          <w:rStyle w:val="Ttulo1Car"/>
          <w:rFonts w:ascii="Times New Roman" w:hAnsi="Times New Roman" w:cs="Times New Roman"/>
          <w:bCs/>
          <w:color w:val="auto"/>
          <w:sz w:val="28"/>
          <w:szCs w:val="28"/>
        </w:rPr>
        <w:t xml:space="preserve">eneralidad de las leyes es de carácter </w:t>
      </w:r>
      <w:r w:rsidRPr="00152C0F">
        <w:rPr>
          <w:rStyle w:val="Ttulo1Car"/>
          <w:rFonts w:ascii="Times New Roman" w:hAnsi="Times New Roman" w:cs="Times New Roman"/>
          <w:bCs/>
          <w:i/>
          <w:iCs/>
          <w:color w:val="auto"/>
          <w:sz w:val="28"/>
          <w:szCs w:val="28"/>
        </w:rPr>
        <w:t>flexible</w:t>
      </w:r>
      <w:r w:rsidRPr="00152C0F">
        <w:rPr>
          <w:rStyle w:val="Ttulo1Car"/>
          <w:rFonts w:ascii="Times New Roman" w:hAnsi="Times New Roman" w:cs="Times New Roman"/>
          <w:bCs/>
          <w:color w:val="auto"/>
          <w:sz w:val="28"/>
          <w:szCs w:val="28"/>
        </w:rPr>
        <w:t xml:space="preserve">, </w:t>
      </w:r>
      <w:r w:rsidRPr="00152C0F">
        <w:rPr>
          <w:rStyle w:val="Ttulo1Car"/>
          <w:rFonts w:ascii="Times New Roman" w:hAnsi="Times New Roman" w:cs="Times New Roman"/>
          <w:bCs/>
          <w:i/>
          <w:iCs/>
          <w:color w:val="auto"/>
          <w:sz w:val="28"/>
          <w:szCs w:val="28"/>
        </w:rPr>
        <w:t>dúctil</w:t>
      </w:r>
      <w:r w:rsidRPr="00152C0F">
        <w:rPr>
          <w:rStyle w:val="Ttulo1Car"/>
          <w:rFonts w:ascii="Times New Roman" w:hAnsi="Times New Roman" w:cs="Times New Roman"/>
          <w:bCs/>
          <w:color w:val="auto"/>
          <w:sz w:val="28"/>
          <w:szCs w:val="28"/>
        </w:rPr>
        <w:t xml:space="preserve"> o </w:t>
      </w:r>
      <w:r w:rsidRPr="00152C0F">
        <w:rPr>
          <w:rStyle w:val="Ttulo1Car"/>
          <w:rFonts w:ascii="Times New Roman" w:hAnsi="Times New Roman" w:cs="Times New Roman"/>
          <w:bCs/>
          <w:i/>
          <w:iCs/>
          <w:color w:val="auto"/>
          <w:sz w:val="28"/>
          <w:szCs w:val="28"/>
        </w:rPr>
        <w:t>leve</w:t>
      </w:r>
    </w:p>
    <w:p w:rsidR="00322D34" w:rsidRPr="00152C0F" w:rsidRDefault="00152C0F" w:rsidP="00A553C9">
      <w:pPr>
        <w:pStyle w:val="Prrafodelista"/>
        <w:ind w:left="0"/>
        <w:jc w:val="both"/>
        <w:rPr>
          <w:rFonts w:ascii="Times New Roman" w:hAnsi="Times New Roman" w:cs="Times New Roman"/>
          <w:sz w:val="28"/>
          <w:szCs w:val="28"/>
        </w:rPr>
      </w:pPr>
    </w:p>
    <w:p w:rsidR="0031184A"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rPr>
        <w:t>Como regla general, la Sala ha advertido que la rigurosidad en el estudio del cumplimiento de los mandatos derivados del principio de unidad de materia no puede ser de tal magnitud que su apli</w:t>
      </w:r>
      <w:r w:rsidRPr="00152C0F">
        <w:rPr>
          <w:rFonts w:ascii="Times New Roman" w:hAnsi="Times New Roman" w:cs="Times New Roman"/>
          <w:sz w:val="28"/>
          <w:szCs w:val="28"/>
          <w:shd w:val="clear" w:color="auto" w:fill="FFFFFF"/>
        </w:rPr>
        <w:t>cación dé lugar a la anulación del principio democrático</w:t>
      </w:r>
      <w:r w:rsidRPr="00152C0F">
        <w:rPr>
          <w:rFonts w:ascii="Times New Roman" w:hAnsi="Times New Roman" w:cs="Times New Roman"/>
          <w:sz w:val="28"/>
          <w:szCs w:val="28"/>
          <w:shd w:val="clear" w:color="auto" w:fill="FFFFFF"/>
          <w:vertAlign w:val="superscript"/>
        </w:rPr>
        <w:footnoteReference w:id="76"/>
      </w:r>
      <w:r w:rsidRPr="00152C0F">
        <w:rPr>
          <w:rFonts w:ascii="Times New Roman" w:hAnsi="Times New Roman" w:cs="Times New Roman"/>
          <w:sz w:val="28"/>
          <w:szCs w:val="28"/>
          <w:shd w:val="clear" w:color="auto" w:fill="FFFFFF"/>
        </w:rPr>
        <w:t xml:space="preserve">. Por tanto, </w:t>
      </w:r>
      <w:r w:rsidRPr="00152C0F">
        <w:rPr>
          <w:rFonts w:ascii="Times New Roman" w:hAnsi="Times New Roman" w:cs="Times New Roman"/>
          <w:sz w:val="28"/>
          <w:szCs w:val="28"/>
          <w:shd w:val="clear" w:color="auto" w:fill="FFFFFF"/>
        </w:rPr>
        <w:t xml:space="preserve">ha indicado: </w:t>
      </w:r>
    </w:p>
    <w:p w:rsidR="0031184A" w:rsidRPr="00152C0F" w:rsidRDefault="00152C0F" w:rsidP="0031184A">
      <w:pPr>
        <w:pStyle w:val="Prrafodelista"/>
        <w:ind w:left="0"/>
        <w:jc w:val="both"/>
        <w:rPr>
          <w:rFonts w:ascii="Times New Roman" w:hAnsi="Times New Roman" w:cs="Times New Roman"/>
          <w:sz w:val="28"/>
          <w:szCs w:val="28"/>
          <w:shd w:val="clear" w:color="auto" w:fill="FFFFFF"/>
        </w:rPr>
      </w:pPr>
    </w:p>
    <w:p w:rsidR="00C174E7" w:rsidRPr="00152C0F" w:rsidRDefault="00152C0F" w:rsidP="0031184A">
      <w:pPr>
        <w:pStyle w:val="Prrafodelista"/>
        <w:ind w:left="567" w:right="616"/>
        <w:jc w:val="both"/>
        <w:rPr>
          <w:rFonts w:ascii="Times New Roman" w:hAnsi="Times New Roman" w:cs="Times New Roman"/>
          <w:sz w:val="28"/>
          <w:szCs w:val="24"/>
        </w:rPr>
      </w:pPr>
      <w:r w:rsidRPr="00152C0F">
        <w:rPr>
          <w:rFonts w:ascii="Times New Roman" w:hAnsi="Times New Roman" w:cs="Times New Roman"/>
          <w:sz w:val="28"/>
          <w:szCs w:val="24"/>
          <w:shd w:val="clear" w:color="auto" w:fill="FFFFFF"/>
        </w:rPr>
        <w:t>“</w:t>
      </w:r>
      <w:r w:rsidRPr="00152C0F">
        <w:rPr>
          <w:rFonts w:ascii="Times New Roman" w:hAnsi="Times New Roman" w:cs="Times New Roman"/>
          <w:sz w:val="28"/>
          <w:szCs w:val="24"/>
          <w:shd w:val="clear" w:color="auto" w:fill="FFFFFF"/>
        </w:rPr>
        <w:t>So</w:t>
      </w:r>
      <w:r w:rsidRPr="00152C0F">
        <w:rPr>
          <w:rFonts w:ascii="Times New Roman" w:hAnsi="Times New Roman" w:cs="Times New Roman"/>
          <w:sz w:val="28"/>
          <w:szCs w:val="24"/>
          <w:shd w:val="clear" w:color="auto" w:fill="FFFFFF"/>
        </w:rPr>
        <w:t xml:space="preserve">lamente aquellos apartes, segmentos o proposiciones de una ley respecto de los cuales, razonable y objetivamente, no sea posible establecer una relación de conexidad causal, teleológica, temática o sistémica </w:t>
      </w:r>
      <w:r w:rsidRPr="00152C0F">
        <w:rPr>
          <w:rFonts w:ascii="Times New Roman" w:hAnsi="Times New Roman" w:cs="Times New Roman"/>
          <w:sz w:val="28"/>
          <w:szCs w:val="24"/>
          <w:shd w:val="clear" w:color="auto" w:fill="FFFFFF"/>
        </w:rPr>
        <w:t xml:space="preserve">[sic] </w:t>
      </w:r>
      <w:r w:rsidRPr="00152C0F">
        <w:rPr>
          <w:rFonts w:ascii="Times New Roman" w:hAnsi="Times New Roman" w:cs="Times New Roman"/>
          <w:sz w:val="28"/>
          <w:szCs w:val="24"/>
          <w:shd w:val="clear" w:color="auto" w:fill="FFFFFF"/>
        </w:rPr>
        <w:t>con la materia dominante de la misma, debe</w:t>
      </w:r>
      <w:r w:rsidRPr="00152C0F">
        <w:rPr>
          <w:rFonts w:ascii="Times New Roman" w:hAnsi="Times New Roman" w:cs="Times New Roman"/>
          <w:sz w:val="28"/>
          <w:szCs w:val="24"/>
          <w:shd w:val="clear" w:color="auto" w:fill="FFFFFF"/>
        </w:rPr>
        <w:t>n rechazarse como inadmisibles si están incorporados en el proyecto o declararse inexequibles si integran el cuerpo de la ley”</w:t>
      </w:r>
      <w:r w:rsidRPr="00152C0F">
        <w:rPr>
          <w:rFonts w:ascii="Times New Roman" w:hAnsi="Times New Roman" w:cs="Times New Roman"/>
          <w:sz w:val="28"/>
          <w:szCs w:val="24"/>
          <w:shd w:val="clear" w:color="auto" w:fill="FFFFFF"/>
          <w:vertAlign w:val="superscript"/>
        </w:rPr>
        <w:footnoteReference w:id="77"/>
      </w:r>
      <w:r w:rsidRPr="00152C0F">
        <w:rPr>
          <w:rFonts w:ascii="Times New Roman" w:hAnsi="Times New Roman" w:cs="Times New Roman"/>
          <w:sz w:val="28"/>
          <w:szCs w:val="24"/>
          <w:shd w:val="clear" w:color="auto" w:fill="FFFFFF"/>
        </w:rPr>
        <w:t>.</w:t>
      </w:r>
    </w:p>
    <w:p w:rsidR="00C174E7" w:rsidRPr="00152C0F" w:rsidRDefault="00152C0F" w:rsidP="00C174E7">
      <w:pPr>
        <w:pStyle w:val="Prrafodelista"/>
        <w:ind w:left="0"/>
        <w:jc w:val="both"/>
        <w:rPr>
          <w:rFonts w:ascii="Times New Roman" w:hAnsi="Times New Roman" w:cs="Times New Roman"/>
          <w:sz w:val="28"/>
          <w:szCs w:val="28"/>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rPr>
        <w:t xml:space="preserve">La metodología </w:t>
      </w:r>
      <w:r w:rsidRPr="00152C0F">
        <w:rPr>
          <w:rFonts w:ascii="Times New Roman" w:hAnsi="Times New Roman" w:cs="Times New Roman"/>
          <w:sz w:val="28"/>
          <w:szCs w:val="28"/>
          <w:shd w:val="clear" w:color="auto" w:fill="FFFFFF"/>
        </w:rPr>
        <w:t>señalada</w:t>
      </w:r>
      <w:r w:rsidRPr="00152C0F">
        <w:rPr>
          <w:rFonts w:ascii="Times New Roman" w:hAnsi="Times New Roman" w:cs="Times New Roman"/>
          <w:sz w:val="28"/>
          <w:szCs w:val="28"/>
          <w:shd w:val="clear" w:color="auto" w:fill="FFFFFF"/>
        </w:rPr>
        <w:t xml:space="preserve"> por la jurisprudencia para determinar la compatibilidad de este tipo de disposiciones con las normas constitucionales de las que se deriva el principio de unidad de materia consta de dos pasos. En primer lugar, se debe identificar el núcleo temático de la</w:t>
      </w:r>
      <w:r w:rsidRPr="00152C0F">
        <w:rPr>
          <w:rFonts w:ascii="Times New Roman" w:hAnsi="Times New Roman" w:cs="Times New Roman"/>
          <w:sz w:val="28"/>
          <w:szCs w:val="28"/>
          <w:shd w:val="clear" w:color="auto" w:fill="FFFFFF"/>
        </w:rPr>
        <w:t xml:space="preserve"> ley de la cual forma parte la disposición cuestionada. En segundo lugar, se debe valorar si entre esta y aquel existe una relación de conexidad material, que puede ser de carácter causal, teleológico, temático o </w:t>
      </w:r>
      <w:r w:rsidRPr="00152C0F">
        <w:rPr>
          <w:rFonts w:ascii="Times New Roman" w:hAnsi="Times New Roman" w:cs="Times New Roman"/>
          <w:sz w:val="28"/>
          <w:szCs w:val="28"/>
          <w:shd w:val="clear" w:color="auto" w:fill="FFFFFF"/>
        </w:rPr>
        <w:t>sistemático</w:t>
      </w:r>
      <w:r w:rsidRPr="00152C0F">
        <w:rPr>
          <w:rFonts w:ascii="Times New Roman" w:hAnsi="Times New Roman" w:cs="Times New Roman"/>
          <w:sz w:val="28"/>
          <w:szCs w:val="28"/>
          <w:shd w:val="clear" w:color="auto" w:fill="FFFFFF"/>
        </w:rPr>
        <w:t>. En caso de que esta relación d</w:t>
      </w:r>
      <w:r w:rsidRPr="00152C0F">
        <w:rPr>
          <w:rFonts w:ascii="Times New Roman" w:hAnsi="Times New Roman" w:cs="Times New Roman"/>
          <w:sz w:val="28"/>
          <w:szCs w:val="28"/>
          <w:shd w:val="clear" w:color="auto" w:fill="FFFFFF"/>
        </w:rPr>
        <w:t xml:space="preserve">e conexidad no se acredite, la disposición habría desconocido el contenido normativo del principio de unidad de materia, y, por tanto, se debe declarar inexequible. </w:t>
      </w:r>
    </w:p>
    <w:p w:rsidR="00C174E7" w:rsidRPr="00152C0F" w:rsidRDefault="00152C0F" w:rsidP="00C174E7">
      <w:pPr>
        <w:pStyle w:val="Prrafodelista"/>
        <w:rPr>
          <w:rFonts w:ascii="Times New Roman" w:hAnsi="Times New Roman" w:cs="Times New Roman"/>
          <w:sz w:val="28"/>
          <w:szCs w:val="28"/>
          <w:shd w:val="clear" w:color="auto" w:fill="FFFFFF"/>
        </w:rPr>
      </w:pPr>
    </w:p>
    <w:p w:rsidR="00322D34"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rPr>
        <w:t>A partir de este estándar, en la jurisprudencia constitucional se ha precisado que la uni</w:t>
      </w:r>
      <w:r w:rsidRPr="00152C0F">
        <w:rPr>
          <w:rFonts w:ascii="Times New Roman" w:hAnsi="Times New Roman" w:cs="Times New Roman"/>
          <w:sz w:val="28"/>
          <w:szCs w:val="28"/>
          <w:shd w:val="clear" w:color="auto" w:fill="FFFFFF"/>
        </w:rPr>
        <w:t>dad de materia “no significa simplicidad temática, de tal manera que un proyecto solo pudiese referirse a un único tema”</w:t>
      </w:r>
      <w:r w:rsidRPr="00152C0F">
        <w:rPr>
          <w:rFonts w:ascii="Times New Roman" w:hAnsi="Times New Roman" w:cs="Times New Roman"/>
          <w:sz w:val="28"/>
          <w:szCs w:val="28"/>
          <w:shd w:val="clear" w:color="auto" w:fill="FFFFFF"/>
        </w:rPr>
        <w:t xml:space="preserve"> (Sentencia C-992 de 2001)</w:t>
      </w:r>
      <w:r w:rsidRPr="00152C0F">
        <w:rPr>
          <w:rFonts w:ascii="Times New Roman" w:hAnsi="Times New Roman" w:cs="Times New Roman"/>
          <w:sz w:val="28"/>
          <w:szCs w:val="28"/>
          <w:shd w:val="clear" w:color="auto" w:fill="FFFFFF"/>
        </w:rPr>
        <w:t xml:space="preserve">. Es por esta razón que es admisible la incorporación de varias disposiciones referidas a distintas temáticas </w:t>
      </w:r>
      <w:r w:rsidRPr="00152C0F">
        <w:rPr>
          <w:rFonts w:ascii="Times New Roman" w:hAnsi="Times New Roman" w:cs="Times New Roman"/>
          <w:sz w:val="28"/>
          <w:szCs w:val="28"/>
          <w:shd w:val="clear" w:color="auto" w:fill="FFFFFF"/>
        </w:rPr>
        <w:t>en una misma ley, siempre que sea posible evidenciar una relación de conexidad entre sí, incluso cuando tales temáticas no hayan sido tratadas desde el inicio del trámite legislativo (cfr., al respecto, la Sentencia C-992 de 2001), y, por tanto, se ha prec</w:t>
      </w:r>
      <w:r w:rsidRPr="00152C0F">
        <w:rPr>
          <w:rFonts w:ascii="Times New Roman" w:hAnsi="Times New Roman" w:cs="Times New Roman"/>
          <w:sz w:val="28"/>
          <w:szCs w:val="28"/>
          <w:shd w:val="clear" w:color="auto" w:fill="FFFFFF"/>
        </w:rPr>
        <w:t xml:space="preserve">isado que </w:t>
      </w:r>
      <w:r w:rsidRPr="00152C0F">
        <w:rPr>
          <w:rFonts w:ascii="Times New Roman" w:hAnsi="Times New Roman" w:cs="Times New Roman"/>
          <w:sz w:val="28"/>
          <w:szCs w:val="28"/>
          <w:lang w:val="es-419"/>
        </w:rPr>
        <w:t>“e</w:t>
      </w:r>
      <w:r w:rsidRPr="00152C0F">
        <w:rPr>
          <w:rFonts w:ascii="Times New Roman" w:hAnsi="Times New Roman" w:cs="Times New Roman"/>
          <w:sz w:val="28"/>
          <w:szCs w:val="28"/>
          <w:shd w:val="clear" w:color="auto" w:fill="FFFFFF"/>
        </w:rPr>
        <w:t>l término ‘materia’, para estos efectos, se toma en una acepción amplia, comprensiva de varios asuntos que tienen en ella su necesario referente”</w:t>
      </w:r>
      <w:r w:rsidRPr="00152C0F">
        <w:rPr>
          <w:rStyle w:val="Refdenotaalpie"/>
          <w:rFonts w:ascii="Times New Roman" w:hAnsi="Times New Roman" w:cs="Times New Roman"/>
          <w:sz w:val="28"/>
          <w:szCs w:val="28"/>
          <w:shd w:val="clear" w:color="auto" w:fill="FFFFFF"/>
        </w:rPr>
        <w:footnoteReference w:id="78"/>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En este sentido, respecto de la generalidad de las leyes, como lo ha advertido la Sala, entre ot</w:t>
      </w:r>
      <w:r w:rsidRPr="00152C0F">
        <w:rPr>
          <w:rFonts w:ascii="Times New Roman" w:hAnsi="Times New Roman" w:cs="Times New Roman"/>
          <w:sz w:val="28"/>
          <w:szCs w:val="28"/>
        </w:rPr>
        <w:t>ras, en la Sentencia C-896 de 2012, la intensidad o el rigor del examen puede ser menor en los eventos en los que ha existido a lo largo del proceso legislativo una deliberación extendida</w:t>
      </w:r>
      <w:r w:rsidRPr="00152C0F">
        <w:rPr>
          <w:rStyle w:val="Refdenotaalpie"/>
          <w:rFonts w:ascii="Times New Roman" w:hAnsi="Times New Roman" w:cs="Times New Roman"/>
          <w:sz w:val="28"/>
          <w:szCs w:val="28"/>
        </w:rPr>
        <w:footnoteReference w:id="79"/>
      </w:r>
      <w:r w:rsidRPr="00152C0F">
        <w:rPr>
          <w:rFonts w:ascii="Times New Roman" w:hAnsi="Times New Roman" w:cs="Times New Roman"/>
          <w:sz w:val="28"/>
          <w:szCs w:val="28"/>
        </w:rPr>
        <w:t>.</w:t>
      </w:r>
    </w:p>
    <w:p w:rsidR="00322D34" w:rsidRPr="00152C0F" w:rsidRDefault="00152C0F" w:rsidP="00A553C9">
      <w:pPr>
        <w:rPr>
          <w:rFonts w:ascii="Times New Roman" w:hAnsi="Times New Roman" w:cs="Times New Roman"/>
          <w:sz w:val="28"/>
          <w:szCs w:val="28"/>
          <w:shd w:val="clear" w:color="auto" w:fill="FFFFFF"/>
        </w:rPr>
      </w:pPr>
    </w:p>
    <w:p w:rsidR="00322D34" w:rsidRPr="00152C0F" w:rsidRDefault="00152C0F" w:rsidP="00A17EA0">
      <w:pPr>
        <w:pStyle w:val="Estilo1"/>
        <w:numPr>
          <w:ilvl w:val="1"/>
          <w:numId w:val="4"/>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 xml:space="preserve">El estándar del control constitucional </w:t>
      </w:r>
      <w:r w:rsidRPr="00152C0F">
        <w:rPr>
          <w:rStyle w:val="Ttulo1Car"/>
          <w:rFonts w:ascii="Times New Roman" w:hAnsi="Times New Roman" w:cs="Times New Roman"/>
          <w:bCs/>
          <w:color w:val="auto"/>
          <w:sz w:val="28"/>
          <w:szCs w:val="28"/>
        </w:rPr>
        <w:t>respecto</w:t>
      </w:r>
      <w:r w:rsidRPr="00152C0F">
        <w:rPr>
          <w:rStyle w:val="Ttulo1Car"/>
          <w:rFonts w:ascii="Times New Roman" w:hAnsi="Times New Roman" w:cs="Times New Roman"/>
          <w:bCs/>
          <w:color w:val="auto"/>
          <w:sz w:val="28"/>
          <w:szCs w:val="28"/>
        </w:rPr>
        <w:t xml:space="preserve"> del principio de unidad de materia </w:t>
      </w:r>
      <w:r w:rsidRPr="00152C0F">
        <w:rPr>
          <w:rStyle w:val="Ttulo1Car"/>
          <w:rFonts w:ascii="Times New Roman" w:hAnsi="Times New Roman" w:cs="Times New Roman"/>
          <w:bCs/>
          <w:color w:val="auto"/>
          <w:sz w:val="28"/>
          <w:szCs w:val="28"/>
        </w:rPr>
        <w:t>en</w:t>
      </w:r>
      <w:r w:rsidRPr="00152C0F">
        <w:rPr>
          <w:rStyle w:val="Ttulo1Car"/>
          <w:rFonts w:ascii="Times New Roman" w:hAnsi="Times New Roman" w:cs="Times New Roman"/>
          <w:bCs/>
          <w:color w:val="auto"/>
          <w:sz w:val="28"/>
          <w:szCs w:val="28"/>
        </w:rPr>
        <w:t xml:space="preserve"> la ley aprobatoria del plan nacional de desarrollo es </w:t>
      </w:r>
      <w:r w:rsidRPr="00152C0F">
        <w:rPr>
          <w:rStyle w:val="Ttulo1Car"/>
          <w:rFonts w:ascii="Times New Roman" w:hAnsi="Times New Roman" w:cs="Times New Roman"/>
          <w:bCs/>
          <w:i/>
          <w:iCs/>
          <w:color w:val="auto"/>
          <w:sz w:val="28"/>
          <w:szCs w:val="28"/>
        </w:rPr>
        <w:t>estricto</w:t>
      </w:r>
    </w:p>
    <w:p w:rsidR="00322D34" w:rsidRPr="00152C0F" w:rsidRDefault="00152C0F" w:rsidP="00A553C9">
      <w:pPr>
        <w:pStyle w:val="Prrafodelista"/>
        <w:ind w:left="0"/>
        <w:jc w:val="both"/>
        <w:rPr>
          <w:rFonts w:ascii="Times New Roman" w:hAnsi="Times New Roman" w:cs="Times New Roman"/>
          <w:sz w:val="28"/>
          <w:szCs w:val="28"/>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rPr>
        <w:t xml:space="preserve">Como se </w:t>
      </w:r>
      <w:r w:rsidRPr="00152C0F">
        <w:rPr>
          <w:rFonts w:ascii="Times New Roman" w:hAnsi="Times New Roman" w:cs="Times New Roman"/>
          <w:sz w:val="28"/>
          <w:szCs w:val="28"/>
          <w:shd w:val="clear" w:color="auto" w:fill="FFFFFF"/>
        </w:rPr>
        <w:t>indicó</w:t>
      </w:r>
      <w:r w:rsidRPr="00152C0F">
        <w:rPr>
          <w:rFonts w:ascii="Times New Roman" w:hAnsi="Times New Roman" w:cs="Times New Roman"/>
          <w:sz w:val="28"/>
          <w:szCs w:val="28"/>
          <w:shd w:val="clear" w:color="auto" w:fill="FFFFFF"/>
        </w:rPr>
        <w:t xml:space="preserve">, tanto la Constitución como la Ley 152 de 1994, </w:t>
      </w:r>
      <w:r w:rsidRPr="00152C0F">
        <w:rPr>
          <w:rFonts w:ascii="Times New Roman" w:hAnsi="Times New Roman" w:cs="Times New Roman"/>
          <w:iCs/>
          <w:sz w:val="28"/>
          <w:szCs w:val="28"/>
          <w:shd w:val="clear" w:color="auto" w:fill="FFFFFF"/>
        </w:rPr>
        <w:t>“por la cual se establece la Ley Orgánica del Plan de Desarrollo”</w:t>
      </w:r>
      <w:r w:rsidRPr="00152C0F">
        <w:rPr>
          <w:rFonts w:ascii="Times New Roman" w:hAnsi="Times New Roman" w:cs="Times New Roman"/>
          <w:sz w:val="28"/>
          <w:szCs w:val="28"/>
          <w:shd w:val="clear" w:color="auto" w:fill="FFFFFF"/>
        </w:rPr>
        <w:t xml:space="preserve">, determinan los </w:t>
      </w:r>
      <w:r w:rsidRPr="00152C0F">
        <w:rPr>
          <w:rFonts w:ascii="Times New Roman" w:hAnsi="Times New Roman" w:cs="Times New Roman"/>
          <w:sz w:val="28"/>
          <w:szCs w:val="28"/>
          <w:shd w:val="clear" w:color="auto" w:fill="FFFFFF"/>
        </w:rPr>
        <w:t>contenidos de</w:t>
      </w:r>
      <w:r w:rsidRPr="00152C0F">
        <w:rPr>
          <w:rFonts w:ascii="Times New Roman" w:hAnsi="Times New Roman" w:cs="Times New Roman"/>
          <w:sz w:val="28"/>
          <w:szCs w:val="28"/>
          <w:shd w:val="clear" w:color="auto" w:fill="FFFFFF"/>
        </w:rPr>
        <w:t>l plan y de la ley aprobatoria</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bCs/>
          <w:sz w:val="28"/>
          <w:szCs w:val="28"/>
          <w:shd w:val="clear" w:color="auto" w:fill="FFFFFF"/>
          <w:lang w:val="es-ES_tradnl"/>
        </w:rPr>
        <w:t xml:space="preserve">La jurisprudencia constitucional ha reconocido </w:t>
      </w:r>
      <w:r w:rsidRPr="00152C0F">
        <w:rPr>
          <w:rFonts w:ascii="Times New Roman" w:hAnsi="Times New Roman" w:cs="Times New Roman"/>
          <w:bCs/>
          <w:sz w:val="28"/>
          <w:szCs w:val="28"/>
          <w:shd w:val="clear" w:color="auto" w:fill="FFFFFF"/>
          <w:lang w:val="es-ES_tradnl"/>
        </w:rPr>
        <w:t>que el</w:t>
      </w:r>
      <w:r w:rsidRPr="00152C0F">
        <w:rPr>
          <w:rFonts w:ascii="Times New Roman" w:hAnsi="Times New Roman" w:cs="Times New Roman"/>
          <w:bCs/>
          <w:sz w:val="28"/>
          <w:szCs w:val="28"/>
          <w:shd w:val="clear" w:color="auto" w:fill="FFFFFF"/>
          <w:lang w:val="es-ES_tradnl"/>
        </w:rPr>
        <w:t xml:space="preserve"> </w:t>
      </w:r>
      <w:r w:rsidRPr="00152C0F">
        <w:rPr>
          <w:rFonts w:ascii="Times New Roman" w:hAnsi="Times New Roman" w:cs="Times New Roman"/>
          <w:sz w:val="28"/>
          <w:szCs w:val="28"/>
          <w:shd w:val="clear" w:color="auto" w:fill="FFFFFF"/>
        </w:rPr>
        <w:t xml:space="preserve">contenido </w:t>
      </w:r>
      <w:r w:rsidRPr="00152C0F">
        <w:rPr>
          <w:rFonts w:ascii="Times New Roman" w:hAnsi="Times New Roman" w:cs="Times New Roman"/>
          <w:sz w:val="28"/>
          <w:szCs w:val="28"/>
          <w:shd w:val="clear" w:color="auto" w:fill="FFFFFF"/>
        </w:rPr>
        <w:t xml:space="preserve">del plan es </w:t>
      </w:r>
      <w:r w:rsidRPr="00152C0F">
        <w:rPr>
          <w:rFonts w:ascii="Times New Roman" w:hAnsi="Times New Roman" w:cs="Times New Roman"/>
          <w:sz w:val="28"/>
          <w:szCs w:val="28"/>
          <w:shd w:val="clear" w:color="auto" w:fill="FFFFFF"/>
        </w:rPr>
        <w:t>multitemático y heterogéneo</w:t>
      </w:r>
      <w:r w:rsidRPr="00152C0F">
        <w:rPr>
          <w:rFonts w:ascii="Times New Roman" w:hAnsi="Times New Roman" w:cs="Times New Roman"/>
          <w:sz w:val="28"/>
          <w:szCs w:val="28"/>
          <w:shd w:val="clear" w:color="auto" w:fill="FFFFFF"/>
          <w:vertAlign w:val="superscript"/>
        </w:rPr>
        <w:footnoteReference w:id="80"/>
      </w:r>
      <w:r w:rsidRPr="00152C0F">
        <w:rPr>
          <w:rFonts w:ascii="Times New Roman" w:hAnsi="Times New Roman" w:cs="Times New Roman"/>
          <w:sz w:val="28"/>
          <w:szCs w:val="28"/>
          <w:shd w:val="clear" w:color="auto" w:fill="FFFFFF"/>
        </w:rPr>
        <w:t>,</w:t>
      </w:r>
      <w:r w:rsidRPr="00152C0F">
        <w:rPr>
          <w:rFonts w:ascii="Times New Roman" w:hAnsi="Times New Roman" w:cs="Times New Roman"/>
          <w:sz w:val="28"/>
          <w:szCs w:val="28"/>
          <w:shd w:val="clear" w:color="auto" w:fill="FFFFFF"/>
        </w:rPr>
        <w:t xml:space="preserve"> por contener las estrategias y orientaciones generales de la política económica, social y ambiental que a</w:t>
      </w:r>
      <w:r w:rsidRPr="00152C0F">
        <w:rPr>
          <w:rFonts w:ascii="Times New Roman" w:hAnsi="Times New Roman" w:cs="Times New Roman"/>
          <w:sz w:val="28"/>
          <w:szCs w:val="28"/>
          <w:shd w:val="clear" w:color="auto" w:fill="FFFFFF"/>
        </w:rPr>
        <w:t>doptará el Gobierno durante su período para alcanzar los objetivos y metas nacionales y sectoriales de la acción estatal.</w:t>
      </w:r>
    </w:p>
    <w:p w:rsidR="00C174E7" w:rsidRPr="00152C0F" w:rsidRDefault="00152C0F" w:rsidP="00C174E7">
      <w:pPr>
        <w:pStyle w:val="Prrafodelista"/>
        <w:ind w:left="0"/>
        <w:jc w:val="both"/>
        <w:rPr>
          <w:rFonts w:ascii="Times New Roman" w:hAnsi="Times New Roman" w:cs="Times New Roman"/>
          <w:sz w:val="28"/>
          <w:szCs w:val="28"/>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Por </w:t>
      </w:r>
      <w:r w:rsidRPr="00152C0F">
        <w:rPr>
          <w:rFonts w:ascii="Times New Roman" w:hAnsi="Times New Roman" w:cs="Times New Roman"/>
          <w:sz w:val="28"/>
          <w:szCs w:val="28"/>
        </w:rPr>
        <w:t xml:space="preserve">esta </w:t>
      </w:r>
      <w:r w:rsidRPr="00152C0F">
        <w:rPr>
          <w:rFonts w:ascii="Times New Roman" w:hAnsi="Times New Roman" w:cs="Times New Roman"/>
          <w:sz w:val="28"/>
          <w:szCs w:val="28"/>
        </w:rPr>
        <w:t>razón, un estándar leve de control, como el que se aplica a la generalidad de las leyes, da</w:t>
      </w:r>
      <w:r w:rsidRPr="00152C0F">
        <w:rPr>
          <w:rFonts w:ascii="Times New Roman" w:hAnsi="Times New Roman" w:cs="Times New Roman"/>
          <w:sz w:val="28"/>
          <w:szCs w:val="28"/>
        </w:rPr>
        <w:t>ría</w:t>
      </w:r>
      <w:r w:rsidRPr="00152C0F">
        <w:rPr>
          <w:rFonts w:ascii="Times New Roman" w:hAnsi="Times New Roman" w:cs="Times New Roman"/>
          <w:sz w:val="28"/>
          <w:szCs w:val="28"/>
        </w:rPr>
        <w:t xml:space="preserve"> lugar a </w:t>
      </w:r>
      <w:r w:rsidRPr="00152C0F">
        <w:rPr>
          <w:rFonts w:ascii="Times New Roman" w:hAnsi="Times New Roman" w:cs="Times New Roman"/>
          <w:sz w:val="28"/>
          <w:szCs w:val="28"/>
          <w:shd w:val="clear" w:color="auto" w:fill="FFFFFF"/>
        </w:rPr>
        <w:t xml:space="preserve">la inclusión de cualquier tipo de medida en la ley aprobatoria del plan y, </w:t>
      </w:r>
      <w:r w:rsidRPr="00152C0F">
        <w:rPr>
          <w:rFonts w:ascii="Times New Roman" w:hAnsi="Times New Roman" w:cs="Times New Roman"/>
          <w:sz w:val="28"/>
          <w:szCs w:val="28"/>
          <w:shd w:val="clear" w:color="auto" w:fill="FFFFFF"/>
        </w:rPr>
        <w:t>de esta forma</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no solo vac</w:t>
      </w:r>
      <w:r w:rsidRPr="00152C0F">
        <w:rPr>
          <w:rFonts w:ascii="Times New Roman" w:hAnsi="Times New Roman" w:cs="Times New Roman"/>
          <w:sz w:val="28"/>
          <w:szCs w:val="28"/>
          <w:shd w:val="clear" w:color="auto" w:fill="FFFFFF"/>
        </w:rPr>
        <w:t>i</w:t>
      </w:r>
      <w:r w:rsidRPr="00152C0F">
        <w:rPr>
          <w:rFonts w:ascii="Times New Roman" w:hAnsi="Times New Roman" w:cs="Times New Roman"/>
          <w:sz w:val="28"/>
          <w:szCs w:val="28"/>
          <w:shd w:val="clear" w:color="auto" w:fill="FFFFFF"/>
        </w:rPr>
        <w:t>a</w:t>
      </w:r>
      <w:r w:rsidRPr="00152C0F">
        <w:rPr>
          <w:rFonts w:ascii="Times New Roman" w:hAnsi="Times New Roman" w:cs="Times New Roman"/>
          <w:sz w:val="28"/>
          <w:szCs w:val="28"/>
          <w:shd w:val="clear" w:color="auto" w:fill="FFFFFF"/>
        </w:rPr>
        <w:t>ría</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de contenido la competencia legislativa ordinaria del Congreso</w:t>
      </w:r>
      <w:r w:rsidRPr="00152C0F">
        <w:rPr>
          <w:rFonts w:ascii="Times New Roman" w:hAnsi="Times New Roman" w:cs="Times New Roman"/>
          <w:sz w:val="28"/>
          <w:szCs w:val="28"/>
          <w:shd w:val="clear" w:color="auto" w:fill="FFFFFF"/>
        </w:rPr>
        <w:t xml:space="preserve">, sino que </w:t>
      </w:r>
      <w:r w:rsidRPr="00152C0F">
        <w:rPr>
          <w:rFonts w:ascii="Times New Roman" w:hAnsi="Times New Roman" w:cs="Times New Roman"/>
          <w:sz w:val="28"/>
          <w:szCs w:val="28"/>
          <w:shd w:val="clear" w:color="auto" w:fill="FFFFFF"/>
        </w:rPr>
        <w:t xml:space="preserve">la </w:t>
      </w:r>
      <w:r w:rsidRPr="00152C0F">
        <w:rPr>
          <w:rFonts w:ascii="Times New Roman" w:hAnsi="Times New Roman" w:cs="Times New Roman"/>
          <w:sz w:val="28"/>
          <w:szCs w:val="28"/>
          <w:shd w:val="clear" w:color="auto" w:fill="FFFFFF"/>
        </w:rPr>
        <w:t xml:space="preserve">inclusión de disposiciones </w:t>
      </w:r>
      <w:r w:rsidRPr="00152C0F">
        <w:rPr>
          <w:rFonts w:ascii="Times New Roman" w:hAnsi="Times New Roman" w:cs="Times New Roman"/>
          <w:sz w:val="28"/>
          <w:szCs w:val="28"/>
          <w:shd w:val="clear" w:color="auto" w:fill="FFFFFF"/>
        </w:rPr>
        <w:t>que no</w:t>
      </w:r>
      <w:r w:rsidRPr="00152C0F">
        <w:rPr>
          <w:rFonts w:ascii="Times New Roman" w:hAnsi="Times New Roman" w:cs="Times New Roman"/>
          <w:sz w:val="28"/>
          <w:szCs w:val="28"/>
          <w:shd w:val="clear" w:color="auto" w:fill="FFFFFF"/>
        </w:rPr>
        <w:t xml:space="preserve"> tengan por</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finalidad planificar y prior</w:t>
      </w:r>
      <w:r w:rsidRPr="00152C0F">
        <w:rPr>
          <w:rFonts w:ascii="Times New Roman" w:hAnsi="Times New Roman" w:cs="Times New Roman"/>
          <w:sz w:val="28"/>
          <w:szCs w:val="28"/>
          <w:shd w:val="clear" w:color="auto" w:fill="FFFFFF"/>
        </w:rPr>
        <w:t>izar las acciones del gobierno y la ejecución del presupuesto público durante el respectivo cuatrienio</w:t>
      </w:r>
      <w:r w:rsidRPr="00152C0F">
        <w:rPr>
          <w:rStyle w:val="Refdenotaalpie"/>
          <w:rFonts w:ascii="Times New Roman" w:hAnsi="Times New Roman" w:cs="Times New Roman"/>
          <w:sz w:val="28"/>
          <w:szCs w:val="28"/>
          <w:shd w:val="clear" w:color="auto" w:fill="FFFFFF"/>
        </w:rPr>
        <w:footnoteReference w:id="81"/>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supon</w:t>
      </w:r>
      <w:r w:rsidRPr="00152C0F">
        <w:rPr>
          <w:rFonts w:ascii="Times New Roman" w:hAnsi="Times New Roman" w:cs="Times New Roman"/>
          <w:sz w:val="28"/>
          <w:szCs w:val="28"/>
          <w:shd w:val="clear" w:color="auto" w:fill="FFFFFF"/>
        </w:rPr>
        <w:t>dría</w:t>
      </w:r>
      <w:r w:rsidRPr="00152C0F">
        <w:rPr>
          <w:rFonts w:ascii="Times New Roman" w:hAnsi="Times New Roman" w:cs="Times New Roman"/>
          <w:sz w:val="28"/>
          <w:szCs w:val="28"/>
          <w:shd w:val="clear" w:color="auto" w:fill="FFFFFF"/>
        </w:rPr>
        <w:t xml:space="preserve"> una elusión del </w:t>
      </w:r>
      <w:r w:rsidRPr="00152C0F">
        <w:rPr>
          <w:rFonts w:ascii="Times New Roman" w:hAnsi="Times New Roman" w:cs="Times New Roman"/>
          <w:sz w:val="28"/>
          <w:szCs w:val="28"/>
          <w:shd w:val="clear" w:color="auto" w:fill="FFFFFF"/>
        </w:rPr>
        <w:t>procedimiento</w:t>
      </w:r>
      <w:r w:rsidRPr="00152C0F">
        <w:rPr>
          <w:rFonts w:ascii="Times New Roman" w:hAnsi="Times New Roman" w:cs="Times New Roman"/>
          <w:sz w:val="28"/>
          <w:szCs w:val="28"/>
          <w:shd w:val="clear" w:color="auto" w:fill="FFFFFF"/>
        </w:rPr>
        <w:t xml:space="preserve"> legislativo</w:t>
      </w:r>
      <w:r w:rsidRPr="00152C0F">
        <w:rPr>
          <w:rFonts w:ascii="Times New Roman" w:hAnsi="Times New Roman" w:cs="Times New Roman"/>
          <w:sz w:val="28"/>
          <w:szCs w:val="28"/>
          <w:shd w:val="clear" w:color="auto" w:fill="FFFFFF"/>
        </w:rPr>
        <w:t xml:space="preserve"> ordinario</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 xml:space="preserve">ya que cualquier tipo de medida podría </w:t>
      </w:r>
      <w:r w:rsidRPr="00152C0F">
        <w:rPr>
          <w:rFonts w:ascii="Times New Roman" w:hAnsi="Times New Roman" w:cs="Times New Roman"/>
          <w:sz w:val="28"/>
          <w:szCs w:val="28"/>
          <w:shd w:val="clear" w:color="auto" w:fill="FFFFFF"/>
        </w:rPr>
        <w:t>ser</w:t>
      </w:r>
      <w:r w:rsidRPr="00152C0F">
        <w:rPr>
          <w:rFonts w:ascii="Times New Roman" w:hAnsi="Times New Roman" w:cs="Times New Roman"/>
          <w:sz w:val="28"/>
          <w:szCs w:val="28"/>
          <w:shd w:val="clear" w:color="auto" w:fill="FFFFFF"/>
        </w:rPr>
        <w:t xml:space="preserve"> incluida en esta ley especial</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 xml:space="preserve">Esto ha justificado la adopción de un estándar </w:t>
      </w:r>
      <w:r w:rsidRPr="00152C0F">
        <w:rPr>
          <w:rFonts w:ascii="Times New Roman" w:hAnsi="Times New Roman" w:cs="Times New Roman"/>
          <w:i/>
          <w:iCs/>
          <w:sz w:val="28"/>
          <w:szCs w:val="28"/>
          <w:shd w:val="clear" w:color="auto" w:fill="FFFFFF"/>
        </w:rPr>
        <w:t xml:space="preserve">estricto </w:t>
      </w:r>
      <w:r w:rsidRPr="00152C0F">
        <w:rPr>
          <w:rFonts w:ascii="Times New Roman" w:hAnsi="Times New Roman" w:cs="Times New Roman"/>
          <w:sz w:val="28"/>
          <w:szCs w:val="28"/>
          <w:shd w:val="clear" w:color="auto" w:fill="FFFFFF"/>
        </w:rPr>
        <w:t>para el control constitucional de sus disposiciones</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rPr>
        <w:t xml:space="preserve">En cuanto a este estándar, en relación con este parámetro de control constitucional, la jurisprudencia de la Sala ha </w:t>
      </w:r>
      <w:r w:rsidRPr="00152C0F">
        <w:rPr>
          <w:rFonts w:ascii="Times New Roman" w:hAnsi="Times New Roman" w:cs="Times New Roman"/>
          <w:sz w:val="28"/>
          <w:szCs w:val="28"/>
        </w:rPr>
        <w:t>utilizado distintos calificati</w:t>
      </w:r>
      <w:r w:rsidRPr="00152C0F">
        <w:rPr>
          <w:rFonts w:ascii="Times New Roman" w:hAnsi="Times New Roman" w:cs="Times New Roman"/>
          <w:sz w:val="28"/>
          <w:szCs w:val="28"/>
        </w:rPr>
        <w:t xml:space="preserve">vos: </w:t>
      </w:r>
      <w:r w:rsidRPr="00152C0F">
        <w:rPr>
          <w:rFonts w:ascii="Times New Roman" w:hAnsi="Times New Roman" w:cs="Times New Roman"/>
          <w:sz w:val="28"/>
          <w:szCs w:val="28"/>
          <w:shd w:val="clear" w:color="auto" w:fill="FFFFFF"/>
        </w:rPr>
        <w:t>“riguroso” (S</w:t>
      </w:r>
      <w:r w:rsidRPr="00152C0F">
        <w:rPr>
          <w:rFonts w:ascii="Times New Roman" w:hAnsi="Times New Roman" w:cs="Times New Roman"/>
          <w:sz w:val="28"/>
          <w:szCs w:val="28"/>
        </w:rPr>
        <w:t>entencia C-440 de 2020</w:t>
      </w:r>
      <w:r w:rsidRPr="00152C0F">
        <w:rPr>
          <w:rFonts w:ascii="Times New Roman" w:hAnsi="Times New Roman" w:cs="Times New Roman"/>
          <w:sz w:val="28"/>
          <w:szCs w:val="28"/>
          <w:shd w:val="clear" w:color="auto" w:fill="FFFFFF"/>
        </w:rPr>
        <w:t xml:space="preserve">), “exigente” (Sentencia C-415 de 2020) o “estricto” (entre otras, </w:t>
      </w:r>
      <w:r w:rsidRPr="00152C0F">
        <w:rPr>
          <w:rFonts w:ascii="Times New Roman" w:hAnsi="Times New Roman" w:cs="Times New Roman"/>
          <w:sz w:val="28"/>
          <w:szCs w:val="28"/>
          <w:shd w:val="clear" w:color="auto" w:fill="FFFFFF"/>
        </w:rPr>
        <w:t xml:space="preserve">en </w:t>
      </w:r>
      <w:r w:rsidRPr="00152C0F">
        <w:rPr>
          <w:rFonts w:ascii="Times New Roman" w:hAnsi="Times New Roman" w:cs="Times New Roman"/>
          <w:sz w:val="28"/>
          <w:szCs w:val="28"/>
          <w:shd w:val="clear" w:color="auto" w:fill="FFFFFF"/>
        </w:rPr>
        <w:t>las sentencias C-068 de 2020, C-415 de 2020, C-030 de 2021, C-049 de 2022</w:t>
      </w:r>
      <w:r w:rsidRPr="00152C0F">
        <w:rPr>
          <w:rFonts w:ascii="Times New Roman" w:hAnsi="Times New Roman" w:cs="Times New Roman"/>
          <w:sz w:val="28"/>
          <w:szCs w:val="28"/>
          <w:shd w:val="clear" w:color="auto" w:fill="FFFFFF"/>
        </w:rPr>
        <w:t>,</w:t>
      </w:r>
      <w:r w:rsidRPr="00152C0F">
        <w:rPr>
          <w:rFonts w:ascii="Times New Roman" w:hAnsi="Times New Roman" w:cs="Times New Roman"/>
          <w:sz w:val="28"/>
          <w:szCs w:val="28"/>
          <w:shd w:val="clear" w:color="auto" w:fill="FFFFFF"/>
        </w:rPr>
        <w:t xml:space="preserve"> C-161 de 2022</w:t>
      </w:r>
      <w:r w:rsidRPr="00152C0F">
        <w:rPr>
          <w:rFonts w:ascii="Times New Roman" w:hAnsi="Times New Roman" w:cs="Times New Roman"/>
          <w:sz w:val="28"/>
          <w:szCs w:val="28"/>
          <w:shd w:val="clear" w:color="auto" w:fill="FFFFFF"/>
        </w:rPr>
        <w:t xml:space="preserve"> y C-037 de 2024</w:t>
      </w:r>
      <w:r w:rsidRPr="00152C0F">
        <w:rPr>
          <w:rFonts w:ascii="Times New Roman" w:hAnsi="Times New Roman" w:cs="Times New Roman"/>
          <w:sz w:val="28"/>
          <w:szCs w:val="28"/>
          <w:shd w:val="clear" w:color="auto" w:fill="FFFFFF"/>
        </w:rPr>
        <w:t>)</w:t>
      </w:r>
      <w:r w:rsidRPr="00152C0F">
        <w:rPr>
          <w:rFonts w:ascii="Times New Roman" w:hAnsi="Times New Roman" w:cs="Times New Roman"/>
          <w:sz w:val="28"/>
          <w:szCs w:val="28"/>
          <w:shd w:val="clear" w:color="auto" w:fill="FFFFFF"/>
          <w:vertAlign w:val="superscript"/>
        </w:rPr>
        <w:footnoteReference w:id="82"/>
      </w:r>
      <w:r w:rsidRPr="00152C0F">
        <w:rPr>
          <w:rFonts w:ascii="Times New Roman" w:hAnsi="Times New Roman" w:cs="Times New Roman"/>
          <w:sz w:val="28"/>
          <w:szCs w:val="28"/>
        </w:rPr>
        <w:t>.</w:t>
      </w:r>
    </w:p>
    <w:p w:rsidR="00C174E7" w:rsidRPr="00152C0F" w:rsidRDefault="00152C0F" w:rsidP="00C174E7">
      <w:pPr>
        <w:pStyle w:val="Prrafodelista"/>
        <w:rPr>
          <w:rFonts w:ascii="Times New Roman" w:hAnsi="Times New Roman" w:cs="Times New Roman"/>
          <w:sz w:val="28"/>
          <w:szCs w:val="28"/>
          <w:shd w:val="clear" w:color="auto" w:fill="FFFFFF"/>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rPr>
        <w:t xml:space="preserve">La metodología general para valorar </w:t>
      </w:r>
      <w:r w:rsidRPr="00152C0F">
        <w:rPr>
          <w:rFonts w:ascii="Times New Roman" w:hAnsi="Times New Roman" w:cs="Times New Roman"/>
          <w:sz w:val="28"/>
          <w:szCs w:val="28"/>
          <w:shd w:val="clear" w:color="auto" w:fill="FFFFFF"/>
        </w:rPr>
        <w:t>la compatibilidad de las medidas contenidas en la ley aprobatoria del plan nacional de desarrollo con el principio constitucional de unidad de materia exige verificar tres condiciones sucesivas. En caso de que alguna de estas no se acredite, se debe declar</w:t>
      </w:r>
      <w:r w:rsidRPr="00152C0F">
        <w:rPr>
          <w:rFonts w:ascii="Times New Roman" w:hAnsi="Times New Roman" w:cs="Times New Roman"/>
          <w:sz w:val="28"/>
          <w:szCs w:val="28"/>
          <w:shd w:val="clear" w:color="auto" w:fill="FFFFFF"/>
        </w:rPr>
        <w:t>ar la inexequibilidad de la medida de que se trate</w:t>
      </w:r>
      <w:r w:rsidRPr="00152C0F">
        <w:rPr>
          <w:rStyle w:val="Refdenotaalpie"/>
          <w:rFonts w:ascii="Times New Roman" w:hAnsi="Times New Roman" w:cs="Times New Roman"/>
          <w:sz w:val="28"/>
          <w:szCs w:val="28"/>
          <w:shd w:val="clear" w:color="auto" w:fill="FFFFFF"/>
        </w:rPr>
        <w:footnoteReference w:id="83"/>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b/>
          <w:bCs/>
          <w:sz w:val="28"/>
          <w:szCs w:val="28"/>
          <w:shd w:val="clear" w:color="auto" w:fill="FFFFFF"/>
        </w:rPr>
        <w:t>En primer lugar</w:t>
      </w:r>
      <w:r w:rsidRPr="00152C0F">
        <w:rPr>
          <w:rFonts w:ascii="Times New Roman" w:hAnsi="Times New Roman" w:cs="Times New Roman"/>
          <w:sz w:val="28"/>
          <w:szCs w:val="28"/>
          <w:shd w:val="clear" w:color="auto" w:fill="FFFFFF"/>
        </w:rPr>
        <w:t>, “</w:t>
      </w:r>
      <w:r w:rsidRPr="00152C0F">
        <w:rPr>
          <w:rFonts w:ascii="Times New Roman" w:hAnsi="Times New Roman" w:cs="Times New Roman"/>
          <w:iCs/>
          <w:sz w:val="28"/>
          <w:szCs w:val="28"/>
          <w:lang w:val="es-ES_tradnl"/>
        </w:rPr>
        <w:t xml:space="preserve">se debe determinar la ubicación y alcance de las normas demandadas”, con la finalidad de establecer, </w:t>
      </w:r>
      <w:r w:rsidRPr="00152C0F">
        <w:rPr>
          <w:rFonts w:ascii="Times New Roman" w:hAnsi="Times New Roman" w:cs="Times New Roman"/>
          <w:i/>
          <w:sz w:val="28"/>
          <w:szCs w:val="28"/>
          <w:lang w:val="es-ES_tradnl"/>
        </w:rPr>
        <w:t>prima facie</w:t>
      </w:r>
      <w:r w:rsidRPr="00152C0F">
        <w:rPr>
          <w:rFonts w:ascii="Times New Roman" w:hAnsi="Times New Roman" w:cs="Times New Roman"/>
          <w:iCs/>
          <w:sz w:val="28"/>
          <w:szCs w:val="28"/>
          <w:lang w:val="es-ES_tradnl"/>
        </w:rPr>
        <w:t xml:space="preserve">, si es una disposición instrumental; </w:t>
      </w:r>
      <w:r w:rsidRPr="00152C0F">
        <w:rPr>
          <w:rFonts w:ascii="Times New Roman" w:hAnsi="Times New Roman" w:cs="Times New Roman"/>
          <w:b/>
          <w:bCs/>
          <w:iCs/>
          <w:sz w:val="28"/>
          <w:szCs w:val="28"/>
          <w:lang w:val="es-ES_tradnl"/>
        </w:rPr>
        <w:t>en segundo lugar</w:t>
      </w:r>
      <w:r w:rsidRPr="00152C0F">
        <w:rPr>
          <w:rFonts w:ascii="Times New Roman" w:hAnsi="Times New Roman" w:cs="Times New Roman"/>
          <w:iCs/>
          <w:sz w:val="28"/>
          <w:szCs w:val="28"/>
          <w:lang w:val="es-ES_tradnl"/>
        </w:rPr>
        <w:t xml:space="preserve">, se debe definir </w:t>
      </w:r>
      <w:r w:rsidRPr="00152C0F">
        <w:rPr>
          <w:rFonts w:ascii="Times New Roman" w:hAnsi="Times New Roman" w:cs="Times New Roman"/>
          <w:iCs/>
          <w:sz w:val="28"/>
          <w:szCs w:val="28"/>
          <w:lang w:val="es-ES_tradnl"/>
        </w:rPr>
        <w:t>si las disposiciones acusadas pueden relacionarse con la parte general del plan</w:t>
      </w:r>
      <w:r w:rsidRPr="00152C0F">
        <w:rPr>
          <w:rStyle w:val="Refdenotaalpie"/>
          <w:rFonts w:ascii="Times New Roman" w:hAnsi="Times New Roman" w:cs="Times New Roman"/>
          <w:iCs/>
          <w:sz w:val="28"/>
          <w:szCs w:val="28"/>
          <w:lang w:val="es-ES_tradnl"/>
        </w:rPr>
        <w:footnoteReference w:id="84"/>
      </w:r>
      <w:r w:rsidRPr="00152C0F">
        <w:rPr>
          <w:rFonts w:ascii="Times New Roman" w:hAnsi="Times New Roman" w:cs="Times New Roman"/>
          <w:iCs/>
          <w:sz w:val="28"/>
          <w:szCs w:val="28"/>
          <w:lang w:val="es-ES_tradnl"/>
        </w:rPr>
        <w:t xml:space="preserve"> y, </w:t>
      </w:r>
      <w:r w:rsidRPr="00152C0F">
        <w:rPr>
          <w:rFonts w:ascii="Times New Roman" w:hAnsi="Times New Roman" w:cs="Times New Roman"/>
          <w:b/>
          <w:bCs/>
          <w:iCs/>
          <w:sz w:val="28"/>
          <w:szCs w:val="28"/>
          <w:lang w:val="es-ES_tradnl"/>
        </w:rPr>
        <w:t>en tercer lugar</w:t>
      </w:r>
      <w:r w:rsidRPr="00152C0F">
        <w:rPr>
          <w:rFonts w:ascii="Times New Roman" w:hAnsi="Times New Roman" w:cs="Times New Roman"/>
          <w:iCs/>
          <w:sz w:val="28"/>
          <w:szCs w:val="28"/>
          <w:lang w:val="es-ES_tradnl"/>
        </w:rPr>
        <w:t>, se ha de constatar que exista conexidad estrecha, directa e inmediata entre las normas cuestionadas y los contenidos de la parte general del plan</w:t>
      </w:r>
      <w:r w:rsidRPr="00152C0F">
        <w:rPr>
          <w:rStyle w:val="Refdenotaalpie"/>
          <w:rFonts w:ascii="Times New Roman" w:hAnsi="Times New Roman" w:cs="Times New Roman"/>
          <w:sz w:val="28"/>
          <w:szCs w:val="28"/>
          <w:shd w:val="clear" w:color="auto" w:fill="FFFFFF"/>
        </w:rPr>
        <w:footnoteReference w:id="85"/>
      </w:r>
      <w:r w:rsidRPr="00152C0F">
        <w:rPr>
          <w:rFonts w:ascii="Times New Roman" w:hAnsi="Times New Roman" w:cs="Times New Roman"/>
          <w:iCs/>
          <w:sz w:val="28"/>
          <w:szCs w:val="28"/>
          <w:lang w:val="es-ES_tradnl"/>
        </w:rPr>
        <w:t>.</w:t>
      </w:r>
    </w:p>
    <w:p w:rsidR="00C174E7" w:rsidRPr="00152C0F" w:rsidRDefault="00152C0F" w:rsidP="00C174E7">
      <w:pPr>
        <w:pStyle w:val="Prrafodelista"/>
        <w:rPr>
          <w:rFonts w:ascii="Times New Roman" w:hAnsi="Times New Roman" w:cs="Times New Roman"/>
          <w:sz w:val="28"/>
          <w:szCs w:val="28"/>
        </w:rPr>
      </w:pPr>
    </w:p>
    <w:p w:rsidR="00C174E7"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En cua</w:t>
      </w:r>
      <w:r w:rsidRPr="00152C0F">
        <w:rPr>
          <w:rFonts w:ascii="Times New Roman" w:hAnsi="Times New Roman" w:cs="Times New Roman"/>
          <w:sz w:val="28"/>
          <w:szCs w:val="28"/>
        </w:rPr>
        <w:t xml:space="preserve">nto a esta tercera condición, en la </w:t>
      </w:r>
      <w:r w:rsidRPr="00152C0F">
        <w:rPr>
          <w:rFonts w:ascii="Times New Roman" w:hAnsi="Times New Roman" w:cs="Times New Roman"/>
          <w:sz w:val="28"/>
          <w:szCs w:val="28"/>
        </w:rPr>
        <w:t>S</w:t>
      </w:r>
      <w:r w:rsidRPr="00152C0F">
        <w:rPr>
          <w:rFonts w:ascii="Times New Roman" w:hAnsi="Times New Roman" w:cs="Times New Roman"/>
          <w:sz w:val="28"/>
          <w:szCs w:val="28"/>
        </w:rPr>
        <w:t>entencia C-415 de 2020 se señala que “</w:t>
      </w:r>
      <w:r w:rsidRPr="00152C0F">
        <w:rPr>
          <w:rFonts w:ascii="Times New Roman" w:hAnsi="Times New Roman" w:cs="Times New Roman"/>
          <w:sz w:val="28"/>
          <w:szCs w:val="28"/>
          <w:shd w:val="clear" w:color="auto" w:fill="FFFFFF"/>
        </w:rPr>
        <w:t>[e]n el desarrollo de dicho control, debe establecerse la existencia de una</w:t>
      </w:r>
      <w:r w:rsidRPr="00152C0F">
        <w:rPr>
          <w:rStyle w:val="apple-converted-space"/>
          <w:rFonts w:ascii="Times New Roman" w:hAnsi="Times New Roman" w:cs="Times New Roman"/>
          <w:sz w:val="28"/>
          <w:szCs w:val="28"/>
          <w:shd w:val="clear" w:color="auto" w:fill="FFFFFF"/>
        </w:rPr>
        <w:t> </w:t>
      </w:r>
      <w:r w:rsidRPr="00152C0F">
        <w:rPr>
          <w:rFonts w:ascii="Times New Roman" w:hAnsi="Times New Roman" w:cs="Times New Roman"/>
          <w:sz w:val="28"/>
          <w:szCs w:val="28"/>
          <w:shd w:val="clear" w:color="auto" w:fill="FFFFFF"/>
        </w:rPr>
        <w:t>‘</w:t>
      </w:r>
      <w:r w:rsidRPr="00152C0F">
        <w:rPr>
          <w:rFonts w:ascii="Times New Roman" w:hAnsi="Times New Roman" w:cs="Times New Roman"/>
          <w:sz w:val="28"/>
          <w:szCs w:val="28"/>
        </w:rPr>
        <w:t>conexión directa e inmediata (estrecha y verificable)’ entre la parte general del Plan y las disposicion</w:t>
      </w:r>
      <w:r w:rsidRPr="00152C0F">
        <w:rPr>
          <w:rFonts w:ascii="Times New Roman" w:hAnsi="Times New Roman" w:cs="Times New Roman"/>
          <w:sz w:val="28"/>
          <w:szCs w:val="28"/>
        </w:rPr>
        <w:t xml:space="preserve">es destinadas a </w:t>
      </w:r>
      <w:r w:rsidRPr="00152C0F">
        <w:rPr>
          <w:rFonts w:ascii="Times New Roman" w:hAnsi="Times New Roman" w:cs="Times New Roman"/>
          <w:sz w:val="28"/>
          <w:szCs w:val="28"/>
        </w:rPr>
        <w:t>impulsar su cumplimiento</w:t>
      </w:r>
      <w:r w:rsidRPr="00152C0F">
        <w:rPr>
          <w:rFonts w:ascii="Times New Roman" w:hAnsi="Times New Roman" w:cs="Times New Roman"/>
          <w:sz w:val="28"/>
          <w:szCs w:val="28"/>
        </w:rPr>
        <w:t>; por tanto, las normas instrumentales objeto de análisis deberán llevar inequívocamente al logro de lo planteado en los componentes de la parte general”.</w:t>
      </w:r>
      <w:r w:rsidRPr="00152C0F">
        <w:rPr>
          <w:rFonts w:ascii="Times New Roman" w:hAnsi="Times New Roman" w:cs="Times New Roman"/>
          <w:iCs/>
          <w:sz w:val="28"/>
          <w:szCs w:val="28"/>
        </w:rPr>
        <w:t xml:space="preserve"> </w:t>
      </w:r>
      <w:r w:rsidRPr="00152C0F">
        <w:rPr>
          <w:rFonts w:ascii="Times New Roman" w:hAnsi="Times New Roman" w:cs="Times New Roman"/>
          <w:iCs/>
          <w:sz w:val="28"/>
          <w:szCs w:val="28"/>
        </w:rPr>
        <w:t>Conviene precisar en esta oportunidad</w:t>
      </w:r>
      <w:r w:rsidRPr="00152C0F">
        <w:rPr>
          <w:rFonts w:ascii="Times New Roman" w:hAnsi="Times New Roman" w:cs="Times New Roman"/>
          <w:iCs/>
          <w:sz w:val="28"/>
          <w:szCs w:val="28"/>
        </w:rPr>
        <w:t>,</w:t>
      </w:r>
      <w:r w:rsidRPr="00152C0F">
        <w:rPr>
          <w:rFonts w:ascii="Times New Roman" w:hAnsi="Times New Roman" w:cs="Times New Roman"/>
          <w:iCs/>
          <w:sz w:val="28"/>
          <w:szCs w:val="28"/>
        </w:rPr>
        <w:t xml:space="preserve"> teniendo en cuenta la regulación constitucional y legal de</w:t>
      </w:r>
      <w:r w:rsidRPr="00152C0F">
        <w:rPr>
          <w:rFonts w:ascii="Times New Roman" w:hAnsi="Times New Roman" w:cs="Times New Roman"/>
          <w:iCs/>
          <w:sz w:val="28"/>
          <w:szCs w:val="28"/>
        </w:rPr>
        <w:t xml:space="preserve">l </w:t>
      </w:r>
      <w:r w:rsidRPr="00152C0F">
        <w:rPr>
          <w:rFonts w:ascii="Times New Roman" w:hAnsi="Times New Roman" w:cs="Times New Roman"/>
          <w:iCs/>
          <w:sz w:val="28"/>
          <w:szCs w:val="28"/>
        </w:rPr>
        <w:t>contenido</w:t>
      </w:r>
      <w:r w:rsidRPr="00152C0F">
        <w:rPr>
          <w:rFonts w:ascii="Times New Roman" w:hAnsi="Times New Roman" w:cs="Times New Roman"/>
          <w:iCs/>
          <w:sz w:val="28"/>
          <w:szCs w:val="28"/>
        </w:rPr>
        <w:t xml:space="preserve"> de la parte general y las referencias jurisprudenciales a sus distintos componentes para efectos de analizar la unidad de materia</w:t>
      </w:r>
      <w:r w:rsidRPr="00152C0F">
        <w:rPr>
          <w:rFonts w:ascii="Times New Roman" w:hAnsi="Times New Roman" w:cs="Times New Roman"/>
          <w:iCs/>
          <w:sz w:val="28"/>
          <w:szCs w:val="28"/>
        </w:rPr>
        <w:t xml:space="preserve">, </w:t>
      </w:r>
      <w:r w:rsidRPr="00152C0F">
        <w:rPr>
          <w:rFonts w:ascii="Times New Roman" w:hAnsi="Times New Roman" w:cs="Times New Roman"/>
          <w:iCs/>
          <w:sz w:val="28"/>
          <w:szCs w:val="28"/>
        </w:rPr>
        <w:t xml:space="preserve">que la referencia a la parte general </w:t>
      </w:r>
      <w:r w:rsidRPr="00152C0F">
        <w:rPr>
          <w:rFonts w:ascii="Times New Roman" w:hAnsi="Times New Roman" w:cs="Times New Roman"/>
          <w:iCs/>
          <w:sz w:val="28"/>
          <w:szCs w:val="28"/>
        </w:rPr>
        <w:t xml:space="preserve">debe entenderse </w:t>
      </w:r>
      <w:r w:rsidRPr="00152C0F">
        <w:rPr>
          <w:rFonts w:ascii="Times New Roman" w:hAnsi="Times New Roman" w:cs="Times New Roman"/>
          <w:iCs/>
          <w:sz w:val="28"/>
          <w:szCs w:val="28"/>
        </w:rPr>
        <w:t>d</w:t>
      </w:r>
      <w:r w:rsidRPr="00152C0F">
        <w:rPr>
          <w:rFonts w:ascii="Times New Roman" w:hAnsi="Times New Roman" w:cs="Times New Roman"/>
          <w:iCs/>
          <w:sz w:val="28"/>
          <w:szCs w:val="28"/>
        </w:rPr>
        <w:t>irigida</w:t>
      </w:r>
      <w:r w:rsidRPr="00152C0F">
        <w:rPr>
          <w:rFonts w:ascii="Times New Roman" w:hAnsi="Times New Roman" w:cs="Times New Roman"/>
          <w:iCs/>
          <w:sz w:val="28"/>
          <w:szCs w:val="28"/>
        </w:rPr>
        <w:t xml:space="preserve"> a</w:t>
      </w:r>
      <w:r w:rsidRPr="00152C0F">
        <w:rPr>
          <w:rFonts w:ascii="Times New Roman" w:hAnsi="Times New Roman" w:cs="Times New Roman"/>
          <w:sz w:val="28"/>
          <w:szCs w:val="28"/>
          <w:shd w:val="clear" w:color="auto" w:fill="FFFFFF"/>
        </w:rPr>
        <w:t xml:space="preserve">l componente de </w:t>
      </w:r>
      <w:r w:rsidRPr="00152C0F">
        <w:rPr>
          <w:rFonts w:ascii="Times New Roman" w:hAnsi="Times New Roman" w:cs="Times New Roman"/>
          <w:i/>
          <w:iCs/>
          <w:sz w:val="28"/>
          <w:szCs w:val="28"/>
          <w:shd w:val="clear" w:color="auto" w:fill="FFFFFF"/>
        </w:rPr>
        <w:t>estrategias y orientaciones generales de las políticas</w:t>
      </w:r>
      <w:r w:rsidRPr="00152C0F">
        <w:rPr>
          <w:rFonts w:ascii="Times New Roman" w:hAnsi="Times New Roman" w:cs="Times New Roman"/>
          <w:i/>
          <w:iCs/>
          <w:sz w:val="28"/>
          <w:szCs w:val="18"/>
          <w:lang w:eastAsia="es-MX"/>
        </w:rPr>
        <w:t xml:space="preserve"> </w:t>
      </w:r>
      <w:r w:rsidRPr="00152C0F">
        <w:rPr>
          <w:rFonts w:ascii="Times New Roman" w:hAnsi="Times New Roman" w:cs="Times New Roman"/>
          <w:i/>
          <w:iCs/>
          <w:sz w:val="28"/>
          <w:szCs w:val="28"/>
          <w:shd w:val="clear" w:color="auto" w:fill="FFFFFF"/>
        </w:rPr>
        <w:t>que adoptará el Gobierno durante el respectivo período cuatrienal</w:t>
      </w:r>
      <w:r w:rsidRPr="00152C0F">
        <w:rPr>
          <w:rFonts w:ascii="Times New Roman" w:hAnsi="Times New Roman" w:cs="Times New Roman"/>
          <w:sz w:val="28"/>
          <w:szCs w:val="28"/>
          <w:shd w:val="clear" w:color="auto" w:fill="FFFFFF"/>
        </w:rPr>
        <w:t>,</w:t>
      </w:r>
      <w:r w:rsidRPr="00152C0F">
        <w:rPr>
          <w:rFonts w:ascii="Times New Roman" w:hAnsi="Times New Roman" w:cs="Times New Roman"/>
          <w:sz w:val="28"/>
          <w:szCs w:val="28"/>
          <w:shd w:val="clear" w:color="auto" w:fill="FFFFFF"/>
        </w:rPr>
        <w:t xml:space="preserve"> pues son precisamente tales estrategias y orientaciones generales de política</w:t>
      </w:r>
      <w:r w:rsidRPr="00152C0F">
        <w:rPr>
          <w:rFonts w:ascii="Times New Roman" w:hAnsi="Times New Roman" w:cs="Times New Roman"/>
          <w:sz w:val="28"/>
          <w:szCs w:val="28"/>
          <w:shd w:val="clear" w:color="auto" w:fill="FFFFFF"/>
        </w:rPr>
        <w:t xml:space="preserve"> que se pretenden alcanzar en el</w:t>
      </w:r>
      <w:r w:rsidRPr="00152C0F">
        <w:rPr>
          <w:rFonts w:ascii="Times New Roman" w:hAnsi="Times New Roman" w:cs="Times New Roman"/>
          <w:sz w:val="28"/>
          <w:szCs w:val="28"/>
          <w:shd w:val="clear" w:color="auto" w:fill="FFFFFF"/>
        </w:rPr>
        <w:t xml:space="preserve"> respectivo período cuatrienal del gobierno,</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 xml:space="preserve">las que concretan </w:t>
      </w:r>
      <w:r w:rsidRPr="00152C0F">
        <w:rPr>
          <w:rFonts w:ascii="Times New Roman" w:hAnsi="Times New Roman" w:cs="Times New Roman"/>
          <w:sz w:val="28"/>
          <w:szCs w:val="28"/>
          <w:shd w:val="clear" w:color="auto" w:fill="FFFFFF"/>
        </w:rPr>
        <w:t>los objetivos y metas</w:t>
      </w:r>
      <w:r w:rsidRPr="00152C0F">
        <w:rPr>
          <w:rFonts w:ascii="Times New Roman" w:hAnsi="Times New Roman" w:cs="Times New Roman"/>
          <w:sz w:val="28"/>
          <w:szCs w:val="28"/>
          <w:shd w:val="clear" w:color="auto" w:fill="FFFFFF"/>
        </w:rPr>
        <w:t xml:space="preserve"> de la acción estatal</w:t>
      </w:r>
      <w:r w:rsidRPr="00152C0F">
        <w:rPr>
          <w:rFonts w:ascii="Times New Roman" w:hAnsi="Times New Roman" w:cs="Times New Roman"/>
          <w:sz w:val="28"/>
          <w:szCs w:val="28"/>
          <w:shd w:val="clear" w:color="auto" w:fill="FFFFFF"/>
        </w:rPr>
        <w:t xml:space="preserve"> de mediano y largo plazo señaladas en el plan</w:t>
      </w:r>
      <w:r w:rsidRPr="00152C0F">
        <w:rPr>
          <w:rFonts w:ascii="Times New Roman" w:hAnsi="Times New Roman" w:cs="Times New Roman"/>
          <w:iCs/>
          <w:sz w:val="28"/>
          <w:szCs w:val="28"/>
        </w:rPr>
        <w:t xml:space="preserve"> </w:t>
      </w:r>
      <w:r w:rsidRPr="00152C0F">
        <w:rPr>
          <w:rFonts w:ascii="Times New Roman" w:hAnsi="Times New Roman" w:cs="Times New Roman"/>
          <w:sz w:val="28"/>
          <w:szCs w:val="28"/>
          <w:shd w:val="clear" w:color="auto" w:fill="FFFFFF"/>
        </w:rPr>
        <w:t>(artículo 5.c de la Ley 152 de 1994)</w:t>
      </w:r>
      <w:r w:rsidRPr="00152C0F">
        <w:rPr>
          <w:rFonts w:ascii="Times New Roman" w:hAnsi="Times New Roman" w:cs="Times New Roman"/>
          <w:sz w:val="28"/>
          <w:szCs w:val="28"/>
          <w:shd w:val="clear" w:color="auto" w:fill="FFFFFF"/>
        </w:rPr>
        <w:t>.</w:t>
      </w:r>
    </w:p>
    <w:p w:rsidR="00513BE9" w:rsidRPr="00152C0F" w:rsidRDefault="00152C0F" w:rsidP="00513BE9">
      <w:pPr>
        <w:pStyle w:val="Prrafodelista"/>
        <w:ind w:left="0"/>
        <w:jc w:val="both"/>
        <w:rPr>
          <w:rFonts w:ascii="Times New Roman" w:hAnsi="Times New Roman" w:cs="Times New Roman"/>
          <w:sz w:val="28"/>
          <w:szCs w:val="28"/>
        </w:rPr>
      </w:pPr>
    </w:p>
    <w:p w:rsidR="00322D34"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La Sentencia C-415 de 2020, además de su pretensión de unificación en cuanto al control de constitucionalidad cuando se alega el desconocimiento del principio de unidad de materia por parte de una disposición del plan nacional de desarrollo, explicitó un p</w:t>
      </w:r>
      <w:r w:rsidRPr="00152C0F">
        <w:rPr>
          <w:rFonts w:ascii="Times New Roman" w:hAnsi="Times New Roman" w:cs="Times New Roman"/>
          <w:sz w:val="28"/>
          <w:szCs w:val="28"/>
        </w:rPr>
        <w:t xml:space="preserve">roblema de relevancia constitucional recurrente en este ámbito, y que se relaciona con aquellas disposiciones que introducen modificaciones permanentes en el ordenamiento jurídico </w:t>
      </w:r>
      <w:r w:rsidRPr="00152C0F">
        <w:rPr>
          <w:rFonts w:ascii="Times New Roman" w:hAnsi="Times New Roman" w:cs="Times New Roman"/>
          <w:sz w:val="28"/>
          <w:szCs w:val="28"/>
        </w:rPr>
        <w:t>cuya</w:t>
      </w:r>
      <w:r w:rsidRPr="00152C0F">
        <w:rPr>
          <w:rFonts w:ascii="Times New Roman" w:hAnsi="Times New Roman" w:cs="Times New Roman"/>
          <w:sz w:val="28"/>
          <w:szCs w:val="28"/>
        </w:rPr>
        <w:t xml:space="preserve"> vigencia supera el respectivo periodo cuatrienal de gobierno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aspecto </w:t>
      </w:r>
      <w:r w:rsidRPr="00152C0F">
        <w:rPr>
          <w:rFonts w:ascii="Times New Roman" w:hAnsi="Times New Roman" w:cs="Times New Roman"/>
          <w:sz w:val="28"/>
          <w:szCs w:val="28"/>
        </w:rPr>
        <w:t>que ya había sido advertid</w:t>
      </w:r>
      <w:r w:rsidRPr="00152C0F">
        <w:rPr>
          <w:rFonts w:ascii="Times New Roman" w:hAnsi="Times New Roman" w:cs="Times New Roman"/>
          <w:sz w:val="28"/>
          <w:szCs w:val="28"/>
        </w:rPr>
        <w:t xml:space="preserve">o en el pasado, en particular en las sentencias </w:t>
      </w:r>
      <w:r w:rsidRPr="00152C0F">
        <w:rPr>
          <w:rFonts w:ascii="Times New Roman" w:hAnsi="Times New Roman" w:cs="Times New Roman"/>
          <w:sz w:val="28"/>
          <w:szCs w:val="28"/>
        </w:rPr>
        <w:t>C-068 de 2020, C-219 de 2019 y C-305 de 2004</w:t>
      </w:r>
      <w:r w:rsidRPr="00152C0F">
        <w:rPr>
          <w:rFonts w:ascii="Times New Roman" w:hAnsi="Times New Roman" w:cs="Times New Roman"/>
          <w:sz w:val="28"/>
          <w:szCs w:val="28"/>
        </w:rPr>
        <w:t>.</w:t>
      </w:r>
    </w:p>
    <w:p w:rsidR="00322D34" w:rsidRPr="00152C0F" w:rsidRDefault="00152C0F" w:rsidP="00A553C9">
      <w:pPr>
        <w:pStyle w:val="Prrafodelista"/>
        <w:rPr>
          <w:rFonts w:ascii="Times New Roman" w:hAnsi="Times New Roman" w:cs="Times New Roman"/>
          <w:sz w:val="28"/>
          <w:szCs w:val="28"/>
        </w:rPr>
      </w:pPr>
    </w:p>
    <w:p w:rsidR="00322D34" w:rsidRPr="00152C0F" w:rsidRDefault="00152C0F" w:rsidP="00A17EA0">
      <w:pPr>
        <w:pStyle w:val="Estilo1"/>
        <w:numPr>
          <w:ilvl w:val="1"/>
          <w:numId w:val="4"/>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El control de constitucionalidad de las disposiciones del plan nacional de desarrollo que introducen modificaciones al ordenamiento jur</w:t>
      </w:r>
      <w:r w:rsidRPr="00152C0F">
        <w:rPr>
          <w:rStyle w:val="Ttulo1Car"/>
          <w:rFonts w:ascii="Times New Roman" w:hAnsi="Times New Roman" w:cs="Times New Roman"/>
          <w:bCs/>
          <w:color w:val="auto"/>
          <w:sz w:val="28"/>
          <w:szCs w:val="28"/>
        </w:rPr>
        <w:t>ídico</w:t>
      </w:r>
      <w:r w:rsidRPr="00152C0F">
        <w:rPr>
          <w:rStyle w:val="Ttulo1Car"/>
          <w:rFonts w:ascii="Times New Roman" w:hAnsi="Times New Roman" w:cs="Times New Roman"/>
          <w:bCs/>
          <w:color w:val="auto"/>
          <w:sz w:val="28"/>
          <w:szCs w:val="28"/>
        </w:rPr>
        <w:t xml:space="preserve"> </w:t>
      </w:r>
      <w:r w:rsidRPr="00152C0F">
        <w:rPr>
          <w:rStyle w:val="Ttulo1Car"/>
          <w:rFonts w:ascii="Times New Roman" w:hAnsi="Times New Roman" w:cs="Times New Roman"/>
          <w:bCs/>
          <w:color w:val="auto"/>
          <w:sz w:val="28"/>
          <w:szCs w:val="28"/>
        </w:rPr>
        <w:t>o</w:t>
      </w:r>
      <w:r w:rsidRPr="00152C0F">
        <w:rPr>
          <w:rStyle w:val="Ttulo1Car"/>
          <w:rFonts w:ascii="Times New Roman" w:hAnsi="Times New Roman" w:cs="Times New Roman"/>
          <w:bCs/>
          <w:color w:val="auto"/>
          <w:sz w:val="28"/>
          <w:szCs w:val="28"/>
        </w:rPr>
        <w:t xml:space="preserve"> cuya vigencia supera el respectivo periodo cuatrienal de gobierno</w:t>
      </w:r>
    </w:p>
    <w:p w:rsidR="00322D34" w:rsidRPr="00152C0F" w:rsidRDefault="00152C0F" w:rsidP="00A553C9">
      <w:pPr>
        <w:pStyle w:val="Prrafodelista"/>
        <w:ind w:left="0"/>
        <w:jc w:val="both"/>
        <w:rPr>
          <w:rFonts w:ascii="Times New Roman" w:hAnsi="Times New Roman" w:cs="Times New Roman"/>
          <w:sz w:val="28"/>
          <w:szCs w:val="28"/>
        </w:rPr>
      </w:pPr>
    </w:p>
    <w:p w:rsidR="000E308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rPr>
        <w:t xml:space="preserve">Si bien, antes de la Sentencia C-415 de 2020, la Sala había advertido este fenómeno </w:t>
      </w:r>
      <w:r w:rsidRPr="00152C0F">
        <w:rPr>
          <w:rFonts w:ascii="Times New Roman" w:hAnsi="Times New Roman" w:cs="Times New Roman"/>
          <w:sz w:val="28"/>
          <w:szCs w:val="28"/>
          <w:shd w:val="clear" w:color="auto" w:fill="FFFFFF"/>
        </w:rPr>
        <w:t>al</w:t>
      </w:r>
      <w:r w:rsidRPr="00152C0F">
        <w:rPr>
          <w:rFonts w:ascii="Times New Roman" w:hAnsi="Times New Roman" w:cs="Times New Roman"/>
          <w:sz w:val="28"/>
          <w:szCs w:val="28"/>
          <w:shd w:val="clear" w:color="auto" w:fill="FFFFFF"/>
        </w:rPr>
        <w:t xml:space="preserve"> efectua</w:t>
      </w:r>
      <w:r w:rsidRPr="00152C0F">
        <w:rPr>
          <w:rFonts w:ascii="Times New Roman" w:hAnsi="Times New Roman" w:cs="Times New Roman"/>
          <w:sz w:val="28"/>
          <w:szCs w:val="28"/>
          <w:shd w:val="clear" w:color="auto" w:fill="FFFFFF"/>
        </w:rPr>
        <w:t>r</w:t>
      </w:r>
      <w:r w:rsidRPr="00152C0F">
        <w:rPr>
          <w:rFonts w:ascii="Times New Roman" w:hAnsi="Times New Roman" w:cs="Times New Roman"/>
          <w:sz w:val="28"/>
          <w:szCs w:val="28"/>
          <w:shd w:val="clear" w:color="auto" w:fill="FFFFFF"/>
        </w:rPr>
        <w:t xml:space="preserve"> el control de constitucionalidad de tal</w:t>
      </w:r>
      <w:r w:rsidRPr="00152C0F">
        <w:rPr>
          <w:rFonts w:ascii="Times New Roman" w:hAnsi="Times New Roman" w:cs="Times New Roman"/>
          <w:sz w:val="28"/>
          <w:szCs w:val="28"/>
          <w:shd w:val="clear" w:color="auto" w:fill="FFFFFF"/>
        </w:rPr>
        <w:t xml:space="preserve"> tipo de</w:t>
      </w:r>
      <w:r w:rsidRPr="00152C0F">
        <w:rPr>
          <w:rFonts w:ascii="Times New Roman" w:hAnsi="Times New Roman" w:cs="Times New Roman"/>
          <w:sz w:val="28"/>
          <w:szCs w:val="28"/>
          <w:shd w:val="clear" w:color="auto" w:fill="FFFFFF"/>
        </w:rPr>
        <w:t xml:space="preserve"> disposiciones</w:t>
      </w:r>
      <w:r w:rsidRPr="00152C0F">
        <w:rPr>
          <w:rStyle w:val="Refdenotaalpie"/>
          <w:rFonts w:ascii="Times New Roman" w:hAnsi="Times New Roman" w:cs="Times New Roman"/>
          <w:sz w:val="28"/>
          <w:szCs w:val="28"/>
          <w:shd w:val="clear" w:color="auto" w:fill="FFFFFF"/>
        </w:rPr>
        <w:footnoteReference w:id="86"/>
      </w:r>
      <w:r w:rsidRPr="00152C0F">
        <w:rPr>
          <w:rFonts w:ascii="Times New Roman" w:hAnsi="Times New Roman" w:cs="Times New Roman"/>
          <w:sz w:val="28"/>
          <w:szCs w:val="28"/>
          <w:shd w:val="clear" w:color="auto" w:fill="FFFFFF"/>
        </w:rPr>
        <w:t xml:space="preserve">, en esta sentencia </w:t>
      </w:r>
      <w:r w:rsidRPr="00152C0F">
        <w:rPr>
          <w:rFonts w:ascii="Times New Roman" w:hAnsi="Times New Roman" w:cs="Times New Roman"/>
          <w:sz w:val="28"/>
          <w:szCs w:val="28"/>
          <w:shd w:val="clear" w:color="auto" w:fill="FFFFFF"/>
        </w:rPr>
        <w:t>precisó que “</w:t>
      </w:r>
      <w:r w:rsidRPr="00152C0F">
        <w:rPr>
          <w:rFonts w:ascii="Times New Roman" w:hAnsi="Times New Roman" w:cs="Times New Roman"/>
          <w:sz w:val="28"/>
          <w:szCs w:val="28"/>
          <w:u w:val="single"/>
          <w:shd w:val="clear" w:color="auto" w:fill="FFFFFF"/>
        </w:rPr>
        <w:t>[e]l principio de unidad de materia en la ley del plan proscribe de manera general la aprobación de reglas que modifiquen normas de carácter permanente o impliquen reformas estructurales</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b/>
          <w:bCs/>
          <w:sz w:val="28"/>
          <w:szCs w:val="28"/>
        </w:rPr>
        <w:t>aunque no impide la modificación de leyes ordinarias de</w:t>
      </w:r>
      <w:r w:rsidRPr="00152C0F">
        <w:rPr>
          <w:rFonts w:ascii="Times New Roman" w:hAnsi="Times New Roman" w:cs="Times New Roman"/>
          <w:b/>
          <w:bCs/>
          <w:sz w:val="28"/>
          <w:szCs w:val="28"/>
        </w:rPr>
        <w:t xml:space="preserve"> carácter permanente, siempre que la modificación tenga un fin planificador y de impulso a la ejecución del plan cuatrienal</w:t>
      </w:r>
      <w:r w:rsidRPr="00152C0F">
        <w:rPr>
          <w:rFonts w:ascii="Times New Roman" w:hAnsi="Times New Roman" w:cs="Times New Roman"/>
          <w:sz w:val="28"/>
          <w:szCs w:val="28"/>
          <w:shd w:val="clear" w:color="auto" w:fill="FFFFFF"/>
        </w:rPr>
        <w:t>, entre otros presupuestos” (</w:t>
      </w:r>
      <w:r w:rsidRPr="00152C0F">
        <w:rPr>
          <w:rFonts w:ascii="Times New Roman" w:hAnsi="Times New Roman" w:cs="Times New Roman"/>
          <w:sz w:val="28"/>
          <w:szCs w:val="28"/>
          <w:shd w:val="clear" w:color="auto" w:fill="FFFFFF"/>
        </w:rPr>
        <w:t xml:space="preserve">subrayado propio y negrillas </w:t>
      </w:r>
      <w:r w:rsidRPr="00152C0F">
        <w:rPr>
          <w:rFonts w:ascii="Times New Roman" w:hAnsi="Times New Roman" w:cs="Times New Roman"/>
          <w:sz w:val="28"/>
          <w:szCs w:val="28"/>
          <w:shd w:val="clear" w:color="auto" w:fill="FFFFFF"/>
        </w:rPr>
        <w:t>del original)</w:t>
      </w:r>
      <w:r w:rsidRPr="00152C0F">
        <w:rPr>
          <w:rFonts w:ascii="Times New Roman" w:hAnsi="Times New Roman" w:cs="Times New Roman"/>
          <w:sz w:val="28"/>
          <w:szCs w:val="28"/>
          <w:shd w:val="clear" w:color="auto" w:fill="FFFFFF"/>
          <w:vertAlign w:val="superscript"/>
        </w:rPr>
        <w:footnoteReference w:id="87"/>
      </w:r>
      <w:r w:rsidRPr="00152C0F">
        <w:rPr>
          <w:rFonts w:ascii="Times New Roman" w:hAnsi="Times New Roman" w:cs="Times New Roman"/>
          <w:sz w:val="28"/>
          <w:szCs w:val="28"/>
          <w:shd w:val="clear" w:color="auto" w:fill="FFFFFF"/>
        </w:rPr>
        <w:t>, entre los cuales cabe señalar el de temporalidad que, “</w:t>
      </w:r>
      <w:r w:rsidRPr="00152C0F">
        <w:rPr>
          <w:rFonts w:ascii="Times New Roman" w:hAnsi="Times New Roman" w:cs="Times New Roman"/>
          <w:sz w:val="28"/>
          <w:szCs w:val="28"/>
          <w:lang w:eastAsia="es-MX"/>
        </w:rPr>
        <w:t>en p</w:t>
      </w:r>
      <w:r w:rsidRPr="00152C0F">
        <w:rPr>
          <w:rFonts w:ascii="Times New Roman" w:hAnsi="Times New Roman" w:cs="Times New Roman"/>
          <w:sz w:val="28"/>
          <w:szCs w:val="28"/>
          <w:lang w:eastAsia="es-MX"/>
        </w:rPr>
        <w:t>rincipio, corresponderá a la del plan cuyo cumplimiento pretende impulsar”</w:t>
      </w:r>
      <w:r w:rsidRPr="00152C0F">
        <w:rPr>
          <w:rFonts w:ascii="Times New Roman" w:hAnsi="Times New Roman" w:cs="Times New Roman"/>
          <w:sz w:val="28"/>
          <w:szCs w:val="28"/>
          <w:lang w:eastAsia="es-MX"/>
        </w:rPr>
        <w:t xml:space="preserve"> (§ 109)</w:t>
      </w:r>
      <w:r w:rsidRPr="00152C0F">
        <w:rPr>
          <w:rFonts w:ascii="Times New Roman" w:hAnsi="Times New Roman" w:cs="Times New Roman"/>
          <w:sz w:val="28"/>
          <w:szCs w:val="28"/>
          <w:lang w:eastAsia="es-MX"/>
        </w:rPr>
        <w:t xml:space="preserve">, </w:t>
      </w:r>
      <w:r w:rsidRPr="00152C0F">
        <w:rPr>
          <w:rFonts w:ascii="Times New Roman" w:hAnsi="Times New Roman" w:cs="Times New Roman"/>
          <w:sz w:val="28"/>
          <w:szCs w:val="28"/>
          <w:lang w:eastAsia="es-MX"/>
        </w:rPr>
        <w:t xml:space="preserve">esto es, el cuatrienio respectivo, </w:t>
      </w:r>
      <w:r w:rsidRPr="00152C0F">
        <w:rPr>
          <w:rFonts w:ascii="Times New Roman" w:hAnsi="Times New Roman" w:cs="Times New Roman"/>
          <w:sz w:val="28"/>
          <w:szCs w:val="28"/>
          <w:lang w:eastAsia="es-MX"/>
        </w:rPr>
        <w:t>pues</w:t>
      </w:r>
      <w:r w:rsidRPr="00152C0F">
        <w:rPr>
          <w:rFonts w:ascii="Times New Roman" w:hAnsi="Times New Roman" w:cs="Times New Roman"/>
          <w:sz w:val="28"/>
          <w:szCs w:val="28"/>
          <w:lang w:eastAsia="es-MX"/>
        </w:rPr>
        <w:t>to que</w:t>
      </w:r>
      <w:r w:rsidRPr="00152C0F">
        <w:rPr>
          <w:rFonts w:ascii="Times New Roman" w:hAnsi="Times New Roman" w:cs="Times New Roman"/>
          <w:sz w:val="28"/>
          <w:szCs w:val="28"/>
          <w:lang w:eastAsia="es-MX"/>
        </w:rPr>
        <w:t xml:space="preserve"> la pretensión de instaurar políticas de largo </w:t>
      </w:r>
      <w:r w:rsidRPr="00152C0F">
        <w:rPr>
          <w:rFonts w:ascii="Times New Roman" w:hAnsi="Times New Roman" w:cs="Times New Roman"/>
          <w:sz w:val="28"/>
          <w:szCs w:val="28"/>
          <w:lang w:eastAsia="es-MX"/>
        </w:rPr>
        <w:t>plazo</w:t>
      </w:r>
      <w:r w:rsidRPr="00152C0F">
        <w:rPr>
          <w:rFonts w:ascii="Times New Roman" w:hAnsi="Times New Roman" w:cs="Times New Roman"/>
          <w:sz w:val="28"/>
          <w:szCs w:val="28"/>
          <w:lang w:eastAsia="es-MX"/>
        </w:rPr>
        <w:t xml:space="preserve"> (ordinarias) exige acudir </w:t>
      </w:r>
      <w:r w:rsidRPr="00152C0F">
        <w:rPr>
          <w:rFonts w:ascii="Times New Roman" w:hAnsi="Times New Roman" w:cs="Times New Roman"/>
          <w:sz w:val="28"/>
          <w:szCs w:val="28"/>
          <w:lang w:eastAsia="es-MX"/>
        </w:rPr>
        <w:t>a</w:t>
      </w:r>
      <w:r w:rsidRPr="00152C0F">
        <w:rPr>
          <w:rFonts w:ascii="Times New Roman" w:hAnsi="Times New Roman" w:cs="Times New Roman"/>
          <w:sz w:val="28"/>
          <w:szCs w:val="28"/>
          <w:lang w:eastAsia="es-MX"/>
        </w:rPr>
        <w:t xml:space="preserve">l Congreso de la República, en garantía del </w:t>
      </w:r>
      <w:r w:rsidRPr="00152C0F">
        <w:rPr>
          <w:rFonts w:ascii="Times New Roman" w:hAnsi="Times New Roman" w:cs="Times New Roman"/>
          <w:sz w:val="28"/>
          <w:szCs w:val="28"/>
          <w:lang w:eastAsia="es-MX"/>
        </w:rPr>
        <w:t>principio democrático.</w:t>
      </w:r>
    </w:p>
    <w:p w:rsidR="000E308B" w:rsidRPr="00152C0F" w:rsidRDefault="00152C0F" w:rsidP="000E308B">
      <w:pPr>
        <w:pStyle w:val="Prrafodelista"/>
        <w:ind w:left="0"/>
        <w:jc w:val="both"/>
        <w:rPr>
          <w:rFonts w:ascii="Times New Roman" w:hAnsi="Times New Roman" w:cs="Times New Roman"/>
          <w:sz w:val="28"/>
          <w:szCs w:val="28"/>
        </w:rPr>
      </w:pPr>
    </w:p>
    <w:p w:rsidR="000E308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rPr>
        <w:t xml:space="preserve">La Corte precisó </w:t>
      </w:r>
      <w:r w:rsidRPr="00152C0F">
        <w:rPr>
          <w:rFonts w:ascii="Times New Roman" w:hAnsi="Times New Roman" w:cs="Times New Roman"/>
          <w:sz w:val="28"/>
          <w:szCs w:val="28"/>
        </w:rPr>
        <w:t xml:space="preserve">que el control de constitucionalidad debe cuidar que la ley aprobatoria del plan no </w:t>
      </w:r>
      <w:r w:rsidRPr="00152C0F">
        <w:rPr>
          <w:rFonts w:ascii="Times New Roman" w:hAnsi="Times New Roman" w:cs="Times New Roman"/>
          <w:sz w:val="28"/>
          <w:szCs w:val="28"/>
        </w:rPr>
        <w:t xml:space="preserve">se utilice </w:t>
      </w:r>
      <w:r w:rsidRPr="00152C0F">
        <w:rPr>
          <w:rFonts w:ascii="Times New Roman" w:hAnsi="Times New Roman" w:cs="Times New Roman"/>
          <w:sz w:val="28"/>
          <w:szCs w:val="28"/>
        </w:rPr>
        <w:t>para la solución de l</w:t>
      </w:r>
      <w:r w:rsidRPr="00152C0F">
        <w:rPr>
          <w:rFonts w:ascii="Times New Roman" w:hAnsi="Times New Roman" w:cs="Times New Roman"/>
          <w:sz w:val="28"/>
          <w:szCs w:val="28"/>
        </w:rPr>
        <w:t>o</w:t>
      </w:r>
      <w:r w:rsidRPr="00152C0F">
        <w:rPr>
          <w:rFonts w:ascii="Times New Roman" w:hAnsi="Times New Roman" w:cs="Times New Roman"/>
          <w:sz w:val="28"/>
          <w:szCs w:val="28"/>
        </w:rPr>
        <w:t xml:space="preserve">s </w:t>
      </w:r>
      <w:r w:rsidRPr="00152C0F">
        <w:rPr>
          <w:rFonts w:ascii="Times New Roman" w:hAnsi="Times New Roman" w:cs="Times New Roman"/>
          <w:sz w:val="28"/>
          <w:szCs w:val="28"/>
        </w:rPr>
        <w:t>vacío</w:t>
      </w:r>
      <w:r w:rsidRPr="00152C0F">
        <w:rPr>
          <w:rFonts w:ascii="Times New Roman" w:hAnsi="Times New Roman" w:cs="Times New Roman"/>
          <w:sz w:val="28"/>
          <w:szCs w:val="28"/>
        </w:rPr>
        <w:t xml:space="preserve">s legales que </w:t>
      </w:r>
      <w:r w:rsidRPr="00152C0F">
        <w:rPr>
          <w:rFonts w:ascii="Times New Roman" w:hAnsi="Times New Roman" w:cs="Times New Roman"/>
          <w:sz w:val="28"/>
          <w:szCs w:val="28"/>
        </w:rPr>
        <w:t>identifique</w:t>
      </w:r>
      <w:r w:rsidRPr="00152C0F">
        <w:rPr>
          <w:rFonts w:ascii="Times New Roman" w:hAnsi="Times New Roman" w:cs="Times New Roman"/>
          <w:sz w:val="28"/>
          <w:szCs w:val="28"/>
        </w:rPr>
        <w:t xml:space="preserve"> el gobierno de turno</w:t>
      </w:r>
      <w:r w:rsidRPr="00152C0F">
        <w:rPr>
          <w:rFonts w:ascii="Times New Roman" w:hAnsi="Times New Roman" w:cs="Times New Roman"/>
          <w:sz w:val="28"/>
          <w:szCs w:val="28"/>
        </w:rPr>
        <w:t>, pues ello conduciría a un</w:t>
      </w:r>
      <w:r w:rsidRPr="00152C0F">
        <w:rPr>
          <w:rFonts w:ascii="Times New Roman" w:hAnsi="Times New Roman" w:cs="Times New Roman"/>
          <w:sz w:val="28"/>
          <w:szCs w:val="28"/>
        </w:rPr>
        <w:t>a elusi</w:t>
      </w:r>
      <w:r w:rsidRPr="00152C0F">
        <w:rPr>
          <w:rFonts w:ascii="Times New Roman" w:hAnsi="Times New Roman" w:cs="Times New Roman"/>
          <w:sz w:val="28"/>
          <w:szCs w:val="28"/>
        </w:rPr>
        <w:t>ó</w:t>
      </w:r>
      <w:r w:rsidRPr="00152C0F">
        <w:rPr>
          <w:rFonts w:ascii="Times New Roman" w:hAnsi="Times New Roman" w:cs="Times New Roman"/>
          <w:sz w:val="28"/>
          <w:szCs w:val="28"/>
        </w:rPr>
        <w:t xml:space="preserve">n del </w:t>
      </w:r>
      <w:r w:rsidRPr="00152C0F">
        <w:rPr>
          <w:rFonts w:ascii="Times New Roman" w:hAnsi="Times New Roman" w:cs="Times New Roman"/>
          <w:sz w:val="28"/>
          <w:szCs w:val="28"/>
        </w:rPr>
        <w:t>procedimiento legislativo previsto en la Constitución que, en algunos casos, podría ser incluso m</w:t>
      </w:r>
      <w:r w:rsidRPr="00152C0F">
        <w:rPr>
          <w:rFonts w:ascii="Times New Roman" w:hAnsi="Times New Roman" w:cs="Times New Roman"/>
          <w:sz w:val="28"/>
          <w:szCs w:val="28"/>
        </w:rPr>
        <w:t>á</w:t>
      </w:r>
      <w:r w:rsidRPr="00152C0F">
        <w:rPr>
          <w:rFonts w:ascii="Times New Roman" w:hAnsi="Times New Roman" w:cs="Times New Roman"/>
          <w:sz w:val="28"/>
          <w:szCs w:val="28"/>
        </w:rPr>
        <w:t>s exigente según la materia y, por supuesto, a un</w:t>
      </w:r>
      <w:r w:rsidRPr="00152C0F">
        <w:rPr>
          <w:rFonts w:ascii="Times New Roman" w:hAnsi="Times New Roman" w:cs="Times New Roman"/>
          <w:sz w:val="28"/>
          <w:szCs w:val="28"/>
        </w:rPr>
        <w:t xml:space="preserve"> vaciamiento de las competencias ordinarias del legislador</w:t>
      </w:r>
      <w:r w:rsidRPr="00152C0F">
        <w:rPr>
          <w:rFonts w:ascii="Times New Roman" w:hAnsi="Times New Roman" w:cs="Times New Roman"/>
          <w:sz w:val="28"/>
          <w:szCs w:val="28"/>
        </w:rPr>
        <w:t>. E</w:t>
      </w:r>
      <w:r w:rsidRPr="00152C0F">
        <w:rPr>
          <w:rFonts w:ascii="Times New Roman" w:hAnsi="Times New Roman" w:cs="Times New Roman"/>
          <w:sz w:val="28"/>
          <w:szCs w:val="28"/>
        </w:rPr>
        <w:t xml:space="preserve">n fin, trasformando una ley con claros alcances y límites constitucionales, en una especie de </w:t>
      </w:r>
      <w:r w:rsidRPr="00152C0F">
        <w:rPr>
          <w:rFonts w:ascii="Times New Roman" w:hAnsi="Times New Roman" w:cs="Times New Roman"/>
          <w:sz w:val="28"/>
          <w:szCs w:val="28"/>
        </w:rPr>
        <w:t>“</w:t>
      </w:r>
      <w:r w:rsidRPr="00152C0F">
        <w:rPr>
          <w:rFonts w:ascii="Times New Roman" w:hAnsi="Times New Roman" w:cs="Times New Roman"/>
          <w:sz w:val="28"/>
          <w:szCs w:val="28"/>
        </w:rPr>
        <w:t>cajón de sastre</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que desplace la competencia ordinaria y permanente del Congreso de la República.</w:t>
      </w:r>
    </w:p>
    <w:p w:rsidR="000E308B" w:rsidRPr="00152C0F" w:rsidRDefault="00152C0F" w:rsidP="000E308B">
      <w:pPr>
        <w:pStyle w:val="Prrafodelista"/>
        <w:rPr>
          <w:rFonts w:ascii="Times New Roman" w:hAnsi="Times New Roman" w:cs="Times New Roman"/>
          <w:sz w:val="28"/>
          <w:szCs w:val="28"/>
        </w:rPr>
      </w:pPr>
    </w:p>
    <w:p w:rsidR="00322D34"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Señaló, en el mismo sentido, que la vigencia de las modificaci</w:t>
      </w:r>
      <w:r w:rsidRPr="00152C0F">
        <w:rPr>
          <w:rFonts w:ascii="Times New Roman" w:hAnsi="Times New Roman" w:cs="Times New Roman"/>
          <w:sz w:val="28"/>
          <w:szCs w:val="28"/>
        </w:rPr>
        <w:t>ones a</w:t>
      </w:r>
      <w:r w:rsidRPr="00152C0F">
        <w:rPr>
          <w:rFonts w:ascii="Times New Roman" w:hAnsi="Times New Roman" w:cs="Times New Roman"/>
          <w:b/>
          <w:bCs/>
          <w:sz w:val="28"/>
          <w:szCs w:val="28"/>
        </w:rPr>
        <w:t xml:space="preserve"> </w:t>
      </w:r>
      <w:r w:rsidRPr="00152C0F">
        <w:rPr>
          <w:rFonts w:ascii="Times New Roman" w:hAnsi="Times New Roman" w:cs="Times New Roman"/>
          <w:sz w:val="28"/>
          <w:szCs w:val="28"/>
        </w:rPr>
        <w:t xml:space="preserve">leyes ordinarias de carácter permanente, “en principio, corresponderá a la del plan cuyo cumplimiento pretende impulsar”, </w:t>
      </w:r>
      <w:r w:rsidRPr="00152C0F">
        <w:rPr>
          <w:rFonts w:ascii="Times New Roman" w:hAnsi="Times New Roman" w:cs="Times New Roman"/>
          <w:sz w:val="28"/>
          <w:szCs w:val="28"/>
        </w:rPr>
        <w:t xml:space="preserve">esto es, cuatro años, </w:t>
      </w:r>
      <w:r w:rsidRPr="00152C0F">
        <w:rPr>
          <w:rFonts w:ascii="Times New Roman" w:hAnsi="Times New Roman" w:cs="Times New Roman"/>
          <w:sz w:val="28"/>
          <w:szCs w:val="28"/>
        </w:rPr>
        <w:t>conclusión a la que llegó con fundamento en las siguientes consideraciones:</w:t>
      </w:r>
    </w:p>
    <w:p w:rsidR="00322D34" w:rsidRPr="00152C0F" w:rsidRDefault="00152C0F" w:rsidP="00A553C9">
      <w:pPr>
        <w:pStyle w:val="Prrafodelista"/>
        <w:ind w:left="0"/>
        <w:jc w:val="both"/>
        <w:rPr>
          <w:rFonts w:ascii="Times New Roman" w:hAnsi="Times New Roman" w:cs="Times New Roman"/>
          <w:sz w:val="28"/>
          <w:szCs w:val="28"/>
        </w:rPr>
      </w:pPr>
    </w:p>
    <w:p w:rsidR="00322D34" w:rsidRPr="00152C0F" w:rsidRDefault="00152C0F" w:rsidP="00A553C9">
      <w:pPr>
        <w:pStyle w:val="Prrafodelista"/>
        <w:ind w:left="567" w:right="616"/>
        <w:jc w:val="both"/>
        <w:textAlignment w:val="baseline"/>
        <w:rPr>
          <w:rFonts w:ascii="Times New Roman" w:hAnsi="Times New Roman" w:cs="Times New Roman"/>
          <w:sz w:val="28"/>
          <w:szCs w:val="24"/>
          <w:lang w:eastAsia="es-MX"/>
        </w:rPr>
      </w:pPr>
      <w:r w:rsidRPr="00152C0F">
        <w:rPr>
          <w:rFonts w:ascii="Times New Roman" w:hAnsi="Times New Roman" w:cs="Times New Roman"/>
          <w:sz w:val="28"/>
          <w:szCs w:val="24"/>
        </w:rPr>
        <w:t xml:space="preserve">“108. </w:t>
      </w:r>
      <w:r w:rsidRPr="00152C0F">
        <w:rPr>
          <w:rFonts w:ascii="Times New Roman" w:hAnsi="Times New Roman" w:cs="Times New Roman"/>
          <w:sz w:val="28"/>
          <w:szCs w:val="24"/>
          <w:u w:val="single"/>
        </w:rPr>
        <w:t>Este Tribunal en su ju</w:t>
      </w:r>
      <w:r w:rsidRPr="00152C0F">
        <w:rPr>
          <w:rFonts w:ascii="Times New Roman" w:hAnsi="Times New Roman" w:cs="Times New Roman"/>
          <w:sz w:val="28"/>
          <w:szCs w:val="24"/>
          <w:u w:val="single"/>
        </w:rPr>
        <w:t>risprudencia más reciente ha hecho énfasis en el carácter temporal de las disposiciones que integran el Plan</w:t>
      </w:r>
      <w:r w:rsidRPr="00152C0F">
        <w:rPr>
          <w:rFonts w:ascii="Times New Roman" w:hAnsi="Times New Roman" w:cs="Times New Roman"/>
          <w:sz w:val="28"/>
          <w:szCs w:val="24"/>
        </w:rPr>
        <w:t xml:space="preserve"> Nacional de Desarrollo</w:t>
      </w:r>
      <w:r w:rsidRPr="00152C0F">
        <w:rPr>
          <w:rStyle w:val="Refdenotaalpie"/>
          <w:rFonts w:ascii="Times New Roman" w:hAnsi="Times New Roman" w:cs="Times New Roman"/>
          <w:sz w:val="28"/>
          <w:szCs w:val="24"/>
        </w:rPr>
        <w:footnoteReference w:id="88"/>
      </w:r>
      <w:r w:rsidRPr="00152C0F">
        <w:rPr>
          <w:rFonts w:ascii="Times New Roman" w:hAnsi="Times New Roman" w:cs="Times New Roman"/>
          <w:sz w:val="28"/>
          <w:szCs w:val="24"/>
        </w:rPr>
        <w:t>. En la sentencia C-126 de 2020 se sostuvo que las medidas que se adopten para impulsar el cumplimiento del plan,</w:t>
      </w:r>
      <w:r w:rsidRPr="00152C0F">
        <w:rPr>
          <w:rStyle w:val="apple-converted-space"/>
          <w:rFonts w:ascii="Times New Roman" w:hAnsi="Times New Roman" w:cs="Times New Roman"/>
          <w:sz w:val="28"/>
          <w:szCs w:val="24"/>
        </w:rPr>
        <w:t> ‘</w:t>
      </w:r>
      <w:r w:rsidRPr="00152C0F">
        <w:rPr>
          <w:rFonts w:ascii="Times New Roman" w:hAnsi="Times New Roman" w:cs="Times New Roman"/>
          <w:b/>
          <w:bCs/>
          <w:i/>
          <w:iCs/>
          <w:sz w:val="28"/>
          <w:szCs w:val="24"/>
        </w:rPr>
        <w:t>por su na</w:t>
      </w:r>
      <w:r w:rsidRPr="00152C0F">
        <w:rPr>
          <w:rFonts w:ascii="Times New Roman" w:hAnsi="Times New Roman" w:cs="Times New Roman"/>
          <w:b/>
          <w:bCs/>
          <w:i/>
          <w:iCs/>
          <w:sz w:val="28"/>
          <w:szCs w:val="24"/>
        </w:rPr>
        <w:t xml:space="preserve">turaleza, deben tener vocación de temporalidad y, por consiguiente, </w:t>
      </w:r>
      <w:r w:rsidRPr="00152C0F">
        <w:rPr>
          <w:rFonts w:ascii="Times New Roman" w:hAnsi="Times New Roman" w:cs="Times New Roman"/>
          <w:b/>
          <w:bCs/>
          <w:i/>
          <w:iCs/>
          <w:sz w:val="28"/>
          <w:szCs w:val="24"/>
          <w:u w:val="single"/>
        </w:rPr>
        <w:t>resultan violatorias del principio de unidad de materia ´aquellas normas que no tengan como fin planificar y priorizar las acciones públicas</w:t>
      </w:r>
      <w:r w:rsidRPr="00152C0F">
        <w:rPr>
          <w:rFonts w:ascii="Times New Roman" w:hAnsi="Times New Roman" w:cs="Times New Roman"/>
          <w:b/>
          <w:bCs/>
          <w:i/>
          <w:iCs/>
          <w:sz w:val="28"/>
          <w:szCs w:val="24"/>
        </w:rPr>
        <w:t xml:space="preserve"> y la ejecución del presupuesto público durante un cuatrienio</w:t>
      </w:r>
      <w:r w:rsidRPr="00152C0F">
        <w:rPr>
          <w:rFonts w:ascii="Times New Roman" w:hAnsi="Times New Roman" w:cs="Times New Roman"/>
          <w:i/>
          <w:iCs/>
          <w:sz w:val="28"/>
          <w:szCs w:val="24"/>
        </w:rPr>
        <w:t>´</w:t>
      </w:r>
      <w:r w:rsidRPr="00152C0F">
        <w:rPr>
          <w:rStyle w:val="Refdenotaalpie"/>
          <w:rFonts w:ascii="Times New Roman" w:hAnsi="Times New Roman" w:cs="Times New Roman"/>
          <w:i/>
          <w:iCs/>
          <w:sz w:val="28"/>
          <w:szCs w:val="24"/>
        </w:rPr>
        <w:footnoteReference w:id="89"/>
      </w:r>
      <w:r w:rsidRPr="00152C0F">
        <w:rPr>
          <w:rFonts w:ascii="Times New Roman" w:hAnsi="Times New Roman" w:cs="Times New Roman"/>
          <w:i/>
          <w:iCs/>
          <w:sz w:val="28"/>
          <w:szCs w:val="24"/>
        </w:rPr>
        <w:t>’</w:t>
      </w:r>
      <w:r w:rsidRPr="00152C0F">
        <w:rPr>
          <w:rStyle w:val="apple-converted-space"/>
          <w:rFonts w:ascii="Times New Roman" w:hAnsi="Times New Roman" w:cs="Times New Roman"/>
          <w:i/>
          <w:iCs/>
          <w:sz w:val="28"/>
          <w:szCs w:val="24"/>
        </w:rPr>
        <w:t> </w:t>
      </w:r>
      <w:r w:rsidRPr="00152C0F">
        <w:rPr>
          <w:rFonts w:ascii="Times New Roman" w:hAnsi="Times New Roman" w:cs="Times New Roman"/>
          <w:sz w:val="28"/>
          <w:szCs w:val="24"/>
        </w:rPr>
        <w:t xml:space="preserve">Ya en la sentencia C-068 de 2020 la Corte había manifestado que </w:t>
      </w:r>
      <w:r w:rsidRPr="00152C0F">
        <w:rPr>
          <w:rFonts w:ascii="Times New Roman" w:hAnsi="Times New Roman" w:cs="Times New Roman"/>
          <w:sz w:val="28"/>
          <w:szCs w:val="24"/>
          <w:u w:val="single"/>
        </w:rPr>
        <w:t>la regla de la temporalidad</w:t>
      </w:r>
      <w:r w:rsidRPr="00152C0F">
        <w:rPr>
          <w:rStyle w:val="apple-converted-space"/>
          <w:rFonts w:ascii="Times New Roman" w:hAnsi="Times New Roman" w:cs="Times New Roman"/>
          <w:sz w:val="28"/>
          <w:szCs w:val="24"/>
          <w:u w:val="single"/>
        </w:rPr>
        <w:t> ‘</w:t>
      </w:r>
      <w:r w:rsidRPr="00152C0F">
        <w:rPr>
          <w:rFonts w:ascii="Times New Roman" w:hAnsi="Times New Roman" w:cs="Times New Roman"/>
          <w:b/>
          <w:bCs/>
          <w:i/>
          <w:iCs/>
          <w:sz w:val="28"/>
          <w:szCs w:val="24"/>
          <w:u w:val="single"/>
        </w:rPr>
        <w:t>es un elemento adicional que refuerza o desvirtúa la eventual conexidad de una norma demandada con</w:t>
      </w:r>
      <w:r w:rsidRPr="00152C0F">
        <w:rPr>
          <w:rFonts w:ascii="Times New Roman" w:hAnsi="Times New Roman" w:cs="Times New Roman"/>
          <w:b/>
          <w:bCs/>
          <w:i/>
          <w:iCs/>
          <w:sz w:val="28"/>
          <w:szCs w:val="24"/>
          <w:u w:val="single"/>
        </w:rPr>
        <w:t xml:space="preserve"> la ley que la contiene</w:t>
      </w:r>
      <w:r w:rsidRPr="00152C0F">
        <w:rPr>
          <w:rFonts w:ascii="Times New Roman" w:hAnsi="Times New Roman" w:cs="Times New Roman"/>
          <w:i/>
          <w:iCs/>
          <w:sz w:val="28"/>
          <w:szCs w:val="24"/>
          <w:u w:val="single"/>
        </w:rPr>
        <w:t>’</w:t>
      </w:r>
      <w:r w:rsidRPr="00152C0F">
        <w:rPr>
          <w:rFonts w:ascii="Times New Roman" w:hAnsi="Times New Roman" w:cs="Times New Roman"/>
          <w:sz w:val="28"/>
          <w:szCs w:val="24"/>
        </w:rPr>
        <w:t>, postura que vendría a ser reforzada en la C-126 de 2020 al afirmarse que</w:t>
      </w:r>
      <w:r w:rsidRPr="00152C0F">
        <w:rPr>
          <w:rStyle w:val="apple-converted-space"/>
          <w:rFonts w:ascii="Times New Roman" w:hAnsi="Times New Roman" w:cs="Times New Roman"/>
          <w:sz w:val="28"/>
          <w:szCs w:val="24"/>
        </w:rPr>
        <w:t> ‘</w:t>
      </w:r>
      <w:r w:rsidRPr="00152C0F">
        <w:rPr>
          <w:rFonts w:ascii="Times New Roman" w:hAnsi="Times New Roman" w:cs="Times New Roman"/>
          <w:i/>
          <w:iCs/>
          <w:sz w:val="28"/>
          <w:szCs w:val="24"/>
          <w:u w:val="single"/>
        </w:rPr>
        <w:t>la temporalidad y el carácter instrumental de la medida, como</w:t>
      </w:r>
      <w:r w:rsidRPr="00152C0F">
        <w:rPr>
          <w:rStyle w:val="apple-converted-space"/>
          <w:rFonts w:ascii="Times New Roman" w:hAnsi="Times New Roman" w:cs="Times New Roman"/>
          <w:i/>
          <w:iCs/>
          <w:sz w:val="28"/>
          <w:szCs w:val="24"/>
          <w:u w:val="single"/>
        </w:rPr>
        <w:t> </w:t>
      </w:r>
      <w:r w:rsidRPr="00152C0F">
        <w:rPr>
          <w:rFonts w:ascii="Times New Roman" w:hAnsi="Times New Roman" w:cs="Times New Roman"/>
          <w:b/>
          <w:bCs/>
          <w:i/>
          <w:iCs/>
          <w:sz w:val="28"/>
          <w:szCs w:val="24"/>
          <w:u w:val="single"/>
        </w:rPr>
        <w:t>criterios que permiten evaluar el cumplimiento del requisito de conexidad</w:t>
      </w:r>
      <w:r w:rsidRPr="00152C0F">
        <w:rPr>
          <w:rStyle w:val="apple-converted-space"/>
          <w:rFonts w:ascii="Times New Roman" w:hAnsi="Times New Roman" w:cs="Times New Roman"/>
          <w:i/>
          <w:iCs/>
          <w:sz w:val="28"/>
          <w:szCs w:val="24"/>
          <w:u w:val="single"/>
        </w:rPr>
        <w:t> </w:t>
      </w:r>
      <w:r w:rsidRPr="00152C0F">
        <w:rPr>
          <w:rFonts w:ascii="Times New Roman" w:hAnsi="Times New Roman" w:cs="Times New Roman"/>
          <w:i/>
          <w:iCs/>
          <w:sz w:val="28"/>
          <w:szCs w:val="24"/>
          <w:u w:val="single"/>
        </w:rPr>
        <w:t xml:space="preserve">que acrediten el </w:t>
      </w:r>
      <w:r w:rsidRPr="00152C0F">
        <w:rPr>
          <w:rFonts w:ascii="Times New Roman" w:hAnsi="Times New Roman" w:cs="Times New Roman"/>
          <w:i/>
          <w:iCs/>
          <w:sz w:val="28"/>
          <w:szCs w:val="24"/>
          <w:u w:val="single"/>
        </w:rPr>
        <w:t>respeto del principio de unidad de materia</w:t>
      </w:r>
      <w:r w:rsidRPr="00152C0F">
        <w:rPr>
          <w:rFonts w:ascii="Times New Roman" w:hAnsi="Times New Roman" w:cs="Times New Roman"/>
          <w:i/>
          <w:iCs/>
          <w:sz w:val="28"/>
          <w:szCs w:val="24"/>
        </w:rPr>
        <w:t>, permiten maximizar el principio democrático</w:t>
      </w:r>
      <w:r w:rsidRPr="00152C0F">
        <w:rPr>
          <w:rFonts w:ascii="Times New Roman" w:hAnsi="Times New Roman" w:cs="Times New Roman"/>
          <w:sz w:val="28"/>
          <w:szCs w:val="24"/>
        </w:rPr>
        <w:t>’.</w:t>
      </w:r>
    </w:p>
    <w:p w:rsidR="00322D34" w:rsidRPr="00152C0F" w:rsidRDefault="00152C0F" w:rsidP="00A553C9">
      <w:pPr>
        <w:pStyle w:val="Prrafodelista"/>
        <w:ind w:left="567" w:right="616"/>
        <w:jc w:val="both"/>
        <w:textAlignment w:val="baseline"/>
        <w:rPr>
          <w:rFonts w:ascii="Times New Roman" w:hAnsi="Times New Roman" w:cs="Times New Roman"/>
          <w:sz w:val="28"/>
          <w:szCs w:val="24"/>
        </w:rPr>
      </w:pPr>
    </w:p>
    <w:p w:rsidR="00322D34" w:rsidRPr="00152C0F" w:rsidRDefault="00152C0F" w:rsidP="00A553C9">
      <w:pPr>
        <w:pStyle w:val="Prrafodelista"/>
        <w:ind w:left="567" w:right="616"/>
        <w:jc w:val="both"/>
        <w:textAlignment w:val="baseline"/>
        <w:rPr>
          <w:rFonts w:ascii="Times New Roman" w:hAnsi="Times New Roman" w:cs="Times New Roman"/>
          <w:sz w:val="28"/>
          <w:szCs w:val="24"/>
        </w:rPr>
      </w:pPr>
      <w:r w:rsidRPr="00152C0F">
        <w:rPr>
          <w:rFonts w:ascii="Times New Roman" w:hAnsi="Times New Roman" w:cs="Times New Roman"/>
          <w:sz w:val="28"/>
          <w:szCs w:val="24"/>
        </w:rPr>
        <w:t>109.     </w:t>
      </w:r>
      <w:r w:rsidRPr="00152C0F">
        <w:rPr>
          <w:rStyle w:val="apple-converted-space"/>
          <w:rFonts w:ascii="Times New Roman" w:hAnsi="Times New Roman" w:cs="Times New Roman"/>
          <w:sz w:val="28"/>
          <w:szCs w:val="24"/>
        </w:rPr>
        <w:t> </w:t>
      </w:r>
      <w:r w:rsidRPr="00152C0F">
        <w:rPr>
          <w:rFonts w:ascii="Times New Roman" w:hAnsi="Times New Roman" w:cs="Times New Roman"/>
          <w:sz w:val="28"/>
          <w:szCs w:val="24"/>
        </w:rPr>
        <w:t>Conforme a lo explicado,</w:t>
      </w:r>
      <w:r w:rsidRPr="00152C0F">
        <w:rPr>
          <w:rStyle w:val="apple-converted-space"/>
          <w:rFonts w:ascii="Times New Roman" w:hAnsi="Times New Roman" w:cs="Times New Roman"/>
          <w:sz w:val="28"/>
          <w:szCs w:val="24"/>
        </w:rPr>
        <w:t> </w:t>
      </w:r>
      <w:r w:rsidRPr="00152C0F">
        <w:rPr>
          <w:rFonts w:ascii="Times New Roman" w:hAnsi="Times New Roman" w:cs="Times New Roman"/>
          <w:b/>
          <w:bCs/>
          <w:sz w:val="28"/>
          <w:szCs w:val="24"/>
          <w:u w:val="single"/>
        </w:rPr>
        <w:t>en principio se trata de una vigencia de las disposiciones allí adoptadas por 4 años</w:t>
      </w:r>
      <w:r w:rsidRPr="00152C0F">
        <w:rPr>
          <w:rFonts w:ascii="Times New Roman" w:hAnsi="Times New Roman" w:cs="Times New Roman"/>
          <w:b/>
          <w:bCs/>
          <w:sz w:val="28"/>
          <w:szCs w:val="24"/>
        </w:rPr>
        <w:t xml:space="preserve"> (ley del PND), no obstante, la regla general </w:t>
      </w:r>
      <w:r w:rsidRPr="00152C0F">
        <w:rPr>
          <w:rFonts w:ascii="Times New Roman" w:hAnsi="Times New Roman" w:cs="Times New Roman"/>
          <w:b/>
          <w:bCs/>
          <w:sz w:val="28"/>
          <w:szCs w:val="24"/>
        </w:rPr>
        <w:t xml:space="preserve">de la exigencia de temporalidad </w:t>
      </w:r>
      <w:r w:rsidRPr="00152C0F">
        <w:rPr>
          <w:rFonts w:ascii="Times New Roman" w:hAnsi="Times New Roman" w:cs="Times New Roman"/>
          <w:b/>
          <w:bCs/>
          <w:sz w:val="28"/>
          <w:szCs w:val="24"/>
          <w:u w:val="single"/>
        </w:rPr>
        <w:t>no impide la modificación de leyes ordinarias de carácter permanente, siempre que la modificación tenga un fin planificador y de impulso a la ejecución del plan</w:t>
      </w:r>
      <w:r w:rsidRPr="00152C0F">
        <w:rPr>
          <w:rFonts w:ascii="Times New Roman" w:hAnsi="Times New Roman" w:cs="Times New Roman"/>
          <w:b/>
          <w:bCs/>
          <w:sz w:val="28"/>
          <w:szCs w:val="24"/>
        </w:rPr>
        <w:t xml:space="preserve"> cuatrienal, </w:t>
      </w:r>
      <w:r w:rsidRPr="00152C0F">
        <w:rPr>
          <w:rFonts w:ascii="Times New Roman" w:hAnsi="Times New Roman" w:cs="Times New Roman"/>
          <w:b/>
          <w:bCs/>
          <w:sz w:val="28"/>
          <w:szCs w:val="24"/>
          <w:u w:val="single"/>
        </w:rPr>
        <w:t xml:space="preserve">pero su vigencia, en principio, corresponderá a la </w:t>
      </w:r>
      <w:r w:rsidRPr="00152C0F">
        <w:rPr>
          <w:rFonts w:ascii="Times New Roman" w:hAnsi="Times New Roman" w:cs="Times New Roman"/>
          <w:b/>
          <w:bCs/>
          <w:sz w:val="28"/>
          <w:szCs w:val="24"/>
          <w:u w:val="single"/>
        </w:rPr>
        <w:t>del plan cuyo cumplimiento pretende impulsar</w:t>
      </w:r>
      <w:r w:rsidRPr="00152C0F">
        <w:rPr>
          <w:rFonts w:ascii="Times New Roman" w:hAnsi="Times New Roman" w:cs="Times New Roman"/>
          <w:bCs/>
          <w:sz w:val="28"/>
          <w:szCs w:val="24"/>
        </w:rPr>
        <w:t>”</w:t>
      </w:r>
      <w:r w:rsidRPr="00152C0F">
        <w:rPr>
          <w:rFonts w:ascii="Times New Roman" w:hAnsi="Times New Roman" w:cs="Times New Roman"/>
          <w:sz w:val="28"/>
          <w:szCs w:val="24"/>
        </w:rPr>
        <w:t xml:space="preserve"> (</w:t>
      </w:r>
      <w:r w:rsidRPr="00152C0F">
        <w:rPr>
          <w:rFonts w:ascii="Times New Roman" w:hAnsi="Times New Roman" w:cs="Times New Roman"/>
          <w:sz w:val="28"/>
          <w:szCs w:val="24"/>
        </w:rPr>
        <w:t xml:space="preserve">subrayas de la Sala, cursiva y negrillas </w:t>
      </w:r>
      <w:r w:rsidRPr="00152C0F">
        <w:rPr>
          <w:rFonts w:ascii="Times New Roman" w:hAnsi="Times New Roman" w:cs="Times New Roman"/>
          <w:sz w:val="28"/>
          <w:szCs w:val="24"/>
        </w:rPr>
        <w:t>del original).</w:t>
      </w:r>
    </w:p>
    <w:p w:rsidR="00322D34" w:rsidRPr="00152C0F" w:rsidRDefault="00152C0F" w:rsidP="00A553C9">
      <w:pPr>
        <w:rPr>
          <w:rFonts w:ascii="Times New Roman" w:hAnsi="Times New Roman" w:cs="Times New Roman"/>
          <w:sz w:val="28"/>
          <w:szCs w:val="28"/>
        </w:rPr>
      </w:pPr>
    </w:p>
    <w:p w:rsidR="00322D34"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Más adelante, al resolver el caso concreto, la Sala también indicó lo siguiente: </w:t>
      </w:r>
    </w:p>
    <w:p w:rsidR="00322D34" w:rsidRPr="00152C0F" w:rsidRDefault="00152C0F" w:rsidP="00A553C9">
      <w:pPr>
        <w:pStyle w:val="Prrafodelista"/>
        <w:ind w:left="0"/>
        <w:jc w:val="both"/>
        <w:rPr>
          <w:rFonts w:ascii="Times New Roman" w:hAnsi="Times New Roman" w:cs="Times New Roman"/>
          <w:sz w:val="28"/>
          <w:szCs w:val="28"/>
        </w:rPr>
      </w:pPr>
    </w:p>
    <w:p w:rsidR="00322D34" w:rsidRPr="00152C0F" w:rsidRDefault="00152C0F" w:rsidP="00A553C9">
      <w:pPr>
        <w:pStyle w:val="Prrafodelista"/>
        <w:ind w:left="567" w:right="616"/>
        <w:jc w:val="both"/>
        <w:rPr>
          <w:rFonts w:ascii="Times New Roman" w:hAnsi="Times New Roman" w:cs="Times New Roman"/>
          <w:sz w:val="28"/>
          <w:szCs w:val="24"/>
        </w:rPr>
      </w:pPr>
      <w:r w:rsidRPr="00152C0F">
        <w:rPr>
          <w:rFonts w:ascii="Times New Roman" w:hAnsi="Times New Roman" w:cs="Times New Roman"/>
          <w:sz w:val="28"/>
          <w:szCs w:val="24"/>
        </w:rPr>
        <w:t xml:space="preserve">“210. </w:t>
      </w:r>
      <w:r w:rsidRPr="00152C0F">
        <w:rPr>
          <w:rFonts w:ascii="Times New Roman" w:hAnsi="Times New Roman" w:cs="Times New Roman"/>
          <w:sz w:val="28"/>
          <w:szCs w:val="24"/>
          <w:shd w:val="clear" w:color="auto" w:fill="FFFFFF"/>
        </w:rPr>
        <w:t xml:space="preserve">Ahora bien, el artículo 336 de la Ley 1955 de 2019, deroga el </w:t>
      </w:r>
      <w:r w:rsidRPr="00152C0F">
        <w:rPr>
          <w:rFonts w:ascii="Times New Roman" w:hAnsi="Times New Roman" w:cs="Times New Roman"/>
          <w:sz w:val="28"/>
          <w:szCs w:val="24"/>
          <w:shd w:val="clear" w:color="auto" w:fill="FFFFFF"/>
        </w:rPr>
        <w:t>artículo 110 de la Ley 1943 de 2018</w:t>
      </w:r>
      <w:r w:rsidRPr="00152C0F">
        <w:rPr>
          <w:rFonts w:ascii="Times New Roman" w:hAnsi="Times New Roman" w:cs="Times New Roman"/>
          <w:sz w:val="28"/>
          <w:szCs w:val="24"/>
          <w:shd w:val="clear" w:color="auto" w:fill="FFFFFF"/>
          <w:vertAlign w:val="superscript"/>
        </w:rPr>
        <w:t>336</w:t>
      </w:r>
      <w:r w:rsidRPr="00152C0F">
        <w:rPr>
          <w:rFonts w:ascii="Times New Roman" w:hAnsi="Times New Roman" w:cs="Times New Roman"/>
          <w:sz w:val="28"/>
          <w:szCs w:val="24"/>
          <w:shd w:val="clear" w:color="auto" w:fill="FFFFFF"/>
        </w:rPr>
        <w:t>, por lo tanto, </w:t>
      </w:r>
      <w:r w:rsidRPr="00152C0F">
        <w:rPr>
          <w:rFonts w:ascii="Times New Roman" w:hAnsi="Times New Roman" w:cs="Times New Roman"/>
          <w:b/>
          <w:bCs/>
          <w:sz w:val="28"/>
          <w:szCs w:val="24"/>
          <w:shd w:val="clear" w:color="auto" w:fill="FFFFFF"/>
        </w:rPr>
        <w:t>modifica una legislación ordinaria</w:t>
      </w:r>
      <w:r w:rsidRPr="00152C0F">
        <w:rPr>
          <w:rFonts w:ascii="Times New Roman" w:hAnsi="Times New Roman" w:cs="Times New Roman"/>
          <w:b/>
          <w:bCs/>
          <w:sz w:val="28"/>
          <w:szCs w:val="24"/>
          <w:shd w:val="clear" w:color="auto" w:fill="FFFFFF"/>
          <w:vertAlign w:val="superscript"/>
        </w:rPr>
        <w:t>337</w:t>
      </w:r>
      <w:r w:rsidRPr="00152C0F">
        <w:rPr>
          <w:rFonts w:ascii="Times New Roman" w:hAnsi="Times New Roman" w:cs="Times New Roman"/>
          <w:b/>
          <w:bCs/>
          <w:sz w:val="28"/>
          <w:szCs w:val="24"/>
          <w:shd w:val="clear" w:color="auto" w:fill="FFFFFF"/>
        </w:rPr>
        <w:t> comprometiendo la vocación de transitoriedad de la ley del plan</w:t>
      </w:r>
      <w:r w:rsidRPr="00152C0F">
        <w:rPr>
          <w:rFonts w:ascii="Times New Roman" w:hAnsi="Times New Roman" w:cs="Times New Roman"/>
          <w:sz w:val="28"/>
          <w:szCs w:val="24"/>
          <w:shd w:val="clear" w:color="auto" w:fill="FFFFFF"/>
        </w:rPr>
        <w:t xml:space="preserve">. Por lo tanto, se ha desplazado la competencia ordinaria del Congreso de la República, </w:t>
      </w:r>
      <w:r w:rsidRPr="00152C0F">
        <w:rPr>
          <w:rFonts w:ascii="Times New Roman" w:hAnsi="Times New Roman" w:cs="Times New Roman"/>
          <w:sz w:val="28"/>
          <w:szCs w:val="24"/>
          <w:u w:val="single"/>
          <w:shd w:val="clear" w:color="auto" w:fill="FFFFFF"/>
        </w:rPr>
        <w:t>sin que se pu</w:t>
      </w:r>
      <w:r w:rsidRPr="00152C0F">
        <w:rPr>
          <w:rFonts w:ascii="Times New Roman" w:hAnsi="Times New Roman" w:cs="Times New Roman"/>
          <w:sz w:val="28"/>
          <w:szCs w:val="24"/>
          <w:u w:val="single"/>
          <w:shd w:val="clear" w:color="auto" w:fill="FFFFFF"/>
        </w:rPr>
        <w:t>eda identificar que con ello se busca materializar de manera inexorable una política de largo plazo</w:t>
      </w:r>
      <w:r w:rsidRPr="00152C0F">
        <w:rPr>
          <w:rFonts w:ascii="Times New Roman" w:hAnsi="Times New Roman" w:cs="Times New Roman"/>
          <w:sz w:val="28"/>
          <w:szCs w:val="24"/>
          <w:shd w:val="clear" w:color="auto" w:fill="FFFFFF"/>
        </w:rPr>
        <w:t xml:space="preserve"> conexa (de forma directa e inmediata) con la ley o las Bases del plan, si no [sic], por el contrario, corregir un problema normativo de legislación permanen</w:t>
      </w:r>
      <w:r w:rsidRPr="00152C0F">
        <w:rPr>
          <w:rFonts w:ascii="Times New Roman" w:hAnsi="Times New Roman" w:cs="Times New Roman"/>
          <w:sz w:val="28"/>
          <w:szCs w:val="24"/>
          <w:shd w:val="clear" w:color="auto" w:fill="FFFFFF"/>
        </w:rPr>
        <w:t>te preexistente.</w:t>
      </w:r>
    </w:p>
    <w:p w:rsidR="00322D34" w:rsidRPr="00152C0F" w:rsidRDefault="00152C0F" w:rsidP="00A553C9">
      <w:pPr>
        <w:pStyle w:val="Prrafodelista"/>
        <w:ind w:left="567" w:right="616"/>
        <w:jc w:val="both"/>
        <w:rPr>
          <w:rFonts w:ascii="Times New Roman" w:hAnsi="Times New Roman" w:cs="Times New Roman"/>
          <w:sz w:val="28"/>
          <w:szCs w:val="24"/>
        </w:rPr>
      </w:pPr>
    </w:p>
    <w:p w:rsidR="00322D34" w:rsidRPr="00152C0F" w:rsidRDefault="00152C0F" w:rsidP="00A553C9">
      <w:pPr>
        <w:pStyle w:val="Prrafodelista"/>
        <w:ind w:left="567" w:right="616"/>
        <w:jc w:val="both"/>
        <w:rPr>
          <w:rFonts w:ascii="Times New Roman" w:hAnsi="Times New Roman" w:cs="Times New Roman"/>
          <w:sz w:val="28"/>
          <w:szCs w:val="24"/>
        </w:rPr>
      </w:pPr>
      <w:r w:rsidRPr="00152C0F">
        <w:rPr>
          <w:rFonts w:ascii="Times New Roman" w:hAnsi="Times New Roman" w:cs="Times New Roman"/>
          <w:sz w:val="28"/>
          <w:szCs w:val="24"/>
          <w:shd w:val="clear" w:color="auto" w:fill="FFFFFF"/>
        </w:rPr>
        <w:t>211. Al resultar comprometida una competencia legislativa ordinaria permanente, </w:t>
      </w:r>
      <w:r w:rsidRPr="00152C0F">
        <w:rPr>
          <w:rFonts w:ascii="Times New Roman" w:hAnsi="Times New Roman" w:cs="Times New Roman"/>
          <w:b/>
          <w:bCs/>
          <w:sz w:val="28"/>
          <w:szCs w:val="24"/>
          <w:shd w:val="clear" w:color="auto" w:fill="FFFFFF"/>
        </w:rPr>
        <w:t>era menester que la iniciativa gubernamental en materia del PND hubiere estado precedida de la </w:t>
      </w:r>
      <w:r w:rsidRPr="00152C0F">
        <w:rPr>
          <w:rFonts w:ascii="Times New Roman" w:hAnsi="Times New Roman" w:cs="Times New Roman"/>
          <w:b/>
          <w:bCs/>
          <w:i/>
          <w:iCs/>
          <w:sz w:val="28"/>
          <w:szCs w:val="24"/>
          <w:shd w:val="clear" w:color="auto" w:fill="FFFFFF"/>
        </w:rPr>
        <w:t>justificación suficiente</w:t>
      </w:r>
      <w:r w:rsidRPr="00152C0F">
        <w:rPr>
          <w:rFonts w:ascii="Times New Roman" w:hAnsi="Times New Roman" w:cs="Times New Roman"/>
          <w:b/>
          <w:bCs/>
          <w:sz w:val="28"/>
          <w:szCs w:val="24"/>
          <w:shd w:val="clear" w:color="auto" w:fill="FFFFFF"/>
        </w:rPr>
        <w:t> que evidenciara con claridad que la di</w:t>
      </w:r>
      <w:r w:rsidRPr="00152C0F">
        <w:rPr>
          <w:rFonts w:ascii="Times New Roman" w:hAnsi="Times New Roman" w:cs="Times New Roman"/>
          <w:b/>
          <w:bCs/>
          <w:sz w:val="28"/>
          <w:szCs w:val="24"/>
          <w:shd w:val="clear" w:color="auto" w:fill="FFFFFF"/>
        </w:rPr>
        <w:t>sposición pretendida: i) constituye una expresión de la función de planeación, ii) es una norma instrumental destinada a permitir la ejecución del plan favoreciendo la consecución de los objetivos generales, iii) es un mecanismo idóneo para la puesta en ma</w:t>
      </w:r>
      <w:r w:rsidRPr="00152C0F">
        <w:rPr>
          <w:rFonts w:ascii="Times New Roman" w:hAnsi="Times New Roman" w:cs="Times New Roman"/>
          <w:b/>
          <w:bCs/>
          <w:sz w:val="28"/>
          <w:szCs w:val="24"/>
          <w:shd w:val="clear" w:color="auto" w:fill="FFFFFF"/>
        </w:rPr>
        <w:t>rcha del plan de inversiones o una medida indispensable para impulsar el cumplimiento del PND y iv) no busca llenar vacíos e inconsistencias de otro tipo de leyes</w:t>
      </w:r>
      <w:r w:rsidRPr="00152C0F">
        <w:rPr>
          <w:rFonts w:ascii="Times New Roman" w:hAnsi="Times New Roman" w:cs="Times New Roman"/>
          <w:b/>
          <w:bCs/>
          <w:sz w:val="28"/>
          <w:szCs w:val="24"/>
        </w:rPr>
        <w:t>”</w:t>
      </w:r>
      <w:r w:rsidRPr="00152C0F">
        <w:rPr>
          <w:rFonts w:ascii="Times New Roman" w:hAnsi="Times New Roman" w:cs="Times New Roman"/>
          <w:sz w:val="28"/>
          <w:szCs w:val="24"/>
        </w:rPr>
        <w:t xml:space="preserve"> (</w:t>
      </w:r>
      <w:r w:rsidRPr="00152C0F">
        <w:rPr>
          <w:rFonts w:ascii="Times New Roman" w:hAnsi="Times New Roman" w:cs="Times New Roman"/>
          <w:sz w:val="28"/>
          <w:szCs w:val="24"/>
        </w:rPr>
        <w:t xml:space="preserve">subrayado de la Sala, negrillas y cursiva del </w:t>
      </w:r>
      <w:r w:rsidRPr="00152C0F">
        <w:rPr>
          <w:rFonts w:ascii="Times New Roman" w:hAnsi="Times New Roman" w:cs="Times New Roman"/>
          <w:sz w:val="28"/>
          <w:szCs w:val="24"/>
        </w:rPr>
        <w:t>original).</w:t>
      </w:r>
    </w:p>
    <w:p w:rsidR="00322D34" w:rsidRPr="00152C0F" w:rsidRDefault="00152C0F" w:rsidP="00A553C9">
      <w:pPr>
        <w:rPr>
          <w:rFonts w:ascii="Times New Roman" w:hAnsi="Times New Roman" w:cs="Times New Roman"/>
          <w:sz w:val="28"/>
          <w:szCs w:val="28"/>
        </w:rPr>
      </w:pPr>
    </w:p>
    <w:p w:rsidR="000E308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Luego de la Sentencia C-415 de 2020 y hasta la fecha de expedición de </w:t>
      </w:r>
      <w:r w:rsidRPr="00152C0F">
        <w:rPr>
          <w:rFonts w:ascii="Times New Roman" w:hAnsi="Times New Roman" w:cs="Times New Roman"/>
          <w:sz w:val="28"/>
          <w:szCs w:val="28"/>
        </w:rPr>
        <w:t>la presente decisión</w:t>
      </w:r>
      <w:r w:rsidRPr="00152C0F">
        <w:rPr>
          <w:rFonts w:ascii="Times New Roman" w:hAnsi="Times New Roman" w:cs="Times New Roman"/>
          <w:sz w:val="28"/>
          <w:szCs w:val="28"/>
        </w:rPr>
        <w:t>, la Sala ha valorado la compatibilidad de disposiciones del plan nacional de desarrollo que introducen modificaciones permanentes</w:t>
      </w:r>
      <w:r w:rsidRPr="00152C0F">
        <w:rPr>
          <w:rFonts w:ascii="Times New Roman" w:hAnsi="Times New Roman" w:cs="Times New Roman"/>
          <w:sz w:val="28"/>
          <w:szCs w:val="28"/>
        </w:rPr>
        <w:t xml:space="preserve">, estructurales, </w:t>
      </w:r>
      <w:r w:rsidRPr="00152C0F">
        <w:rPr>
          <w:rFonts w:ascii="Times New Roman" w:hAnsi="Times New Roman" w:cs="Times New Roman"/>
          <w:sz w:val="28"/>
          <w:szCs w:val="28"/>
        </w:rPr>
        <w:t>o cuya vigencia sup</w:t>
      </w:r>
      <w:r w:rsidRPr="00152C0F">
        <w:rPr>
          <w:rFonts w:ascii="Times New Roman" w:hAnsi="Times New Roman" w:cs="Times New Roman"/>
          <w:sz w:val="28"/>
          <w:szCs w:val="28"/>
        </w:rPr>
        <w:t>era el respectivo periodo cuatrienal de gobierno</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en las siguientes providencias:</w:t>
      </w:r>
      <w:r w:rsidRPr="00152C0F">
        <w:rPr>
          <w:rFonts w:ascii="Times New Roman" w:hAnsi="Times New Roman" w:cs="Times New Roman"/>
          <w:sz w:val="28"/>
          <w:szCs w:val="28"/>
        </w:rPr>
        <w:t xml:space="preserve"> C-440 de 2020, C-464 de 2020, C-493 de 2020, C-030 de 2021, C-047 de 2021, C-063 de 2021, C-095 de 2021, C-105 de 2021</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C-276 de 2021, C-049 de 2022, C-084 de 2022, C-161 de </w:t>
      </w:r>
      <w:r w:rsidRPr="00152C0F">
        <w:rPr>
          <w:rFonts w:ascii="Times New Roman" w:hAnsi="Times New Roman" w:cs="Times New Roman"/>
          <w:sz w:val="28"/>
          <w:szCs w:val="28"/>
        </w:rPr>
        <w:t>2022</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C-537 de 2023</w:t>
      </w:r>
      <w:r w:rsidRPr="00152C0F">
        <w:rPr>
          <w:rFonts w:ascii="Times New Roman" w:hAnsi="Times New Roman" w:cs="Times New Roman"/>
          <w:sz w:val="28"/>
          <w:szCs w:val="28"/>
        </w:rPr>
        <w:t xml:space="preserve"> y C-037 de 2024</w:t>
      </w:r>
      <w:r w:rsidRPr="00152C0F">
        <w:rPr>
          <w:rFonts w:ascii="Times New Roman" w:hAnsi="Times New Roman" w:cs="Times New Roman"/>
          <w:sz w:val="28"/>
          <w:szCs w:val="28"/>
        </w:rPr>
        <w:t>.</w:t>
      </w:r>
    </w:p>
    <w:p w:rsidR="000E308B" w:rsidRPr="00152C0F" w:rsidRDefault="00152C0F" w:rsidP="000E308B">
      <w:pPr>
        <w:pStyle w:val="Prrafodelista"/>
        <w:ind w:left="0"/>
        <w:jc w:val="both"/>
        <w:rPr>
          <w:rFonts w:ascii="Times New Roman" w:hAnsi="Times New Roman" w:cs="Times New Roman"/>
          <w:sz w:val="28"/>
          <w:szCs w:val="28"/>
        </w:rPr>
      </w:pPr>
    </w:p>
    <w:p w:rsidR="000E308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De este conjunto de </w:t>
      </w:r>
      <w:r w:rsidRPr="00152C0F">
        <w:rPr>
          <w:rFonts w:ascii="Times New Roman" w:hAnsi="Times New Roman" w:cs="Times New Roman"/>
          <w:sz w:val="28"/>
          <w:szCs w:val="28"/>
        </w:rPr>
        <w:t>decisiones</w:t>
      </w:r>
      <w:r w:rsidRPr="00152C0F">
        <w:rPr>
          <w:rFonts w:ascii="Times New Roman" w:hAnsi="Times New Roman" w:cs="Times New Roman"/>
          <w:sz w:val="28"/>
          <w:szCs w:val="28"/>
        </w:rPr>
        <w:t xml:space="preserve">, solo en las sentencias C-063 de 2021 y C-105 de 2021 se declararon exequibles las disposiciones del plan nacional de desarrollo objeto de control. En las restantes </w:t>
      </w:r>
      <w:r w:rsidRPr="00152C0F">
        <w:rPr>
          <w:rFonts w:ascii="Times New Roman" w:hAnsi="Times New Roman" w:cs="Times New Roman"/>
          <w:sz w:val="28"/>
          <w:szCs w:val="28"/>
        </w:rPr>
        <w:t>12</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las disposiciones </w:t>
      </w:r>
      <w:r w:rsidRPr="00152C0F">
        <w:rPr>
          <w:rFonts w:ascii="Times New Roman" w:hAnsi="Times New Roman" w:cs="Times New Roman"/>
          <w:sz w:val="28"/>
          <w:szCs w:val="28"/>
        </w:rPr>
        <w:t>se declararon inexequibles</w:t>
      </w:r>
      <w:r w:rsidRPr="00152C0F">
        <w:rPr>
          <w:rStyle w:val="Refdenotaalpie"/>
          <w:rFonts w:ascii="Times New Roman" w:hAnsi="Times New Roman" w:cs="Times New Roman"/>
          <w:sz w:val="28"/>
          <w:szCs w:val="28"/>
        </w:rPr>
        <w:footnoteReference w:id="90"/>
      </w:r>
      <w:r w:rsidRPr="00152C0F">
        <w:rPr>
          <w:rFonts w:ascii="Times New Roman" w:hAnsi="Times New Roman" w:cs="Times New Roman"/>
          <w:sz w:val="28"/>
          <w:szCs w:val="28"/>
        </w:rPr>
        <w:t xml:space="preserve">. En todas ellas, con algunas variaciones, se aplicaron las reglas de decisión fijadas en la Sentencia C-415 de 2020. En la generalidad de estas, además, la Sala aplicó la metodología descrita en el </w:t>
      </w:r>
      <w:r w:rsidRPr="00152C0F">
        <w:rPr>
          <w:rFonts w:ascii="Times New Roman" w:hAnsi="Times New Roman" w:cs="Times New Roman"/>
          <w:sz w:val="28"/>
          <w:szCs w:val="28"/>
        </w:rPr>
        <w:t>t</w:t>
      </w:r>
      <w:r w:rsidRPr="00152C0F">
        <w:rPr>
          <w:rFonts w:ascii="Times New Roman" w:hAnsi="Times New Roman" w:cs="Times New Roman"/>
          <w:sz w:val="28"/>
          <w:szCs w:val="28"/>
        </w:rPr>
        <w:t xml:space="preserve">ítulo </w:t>
      </w:r>
      <w:r w:rsidRPr="00152C0F">
        <w:rPr>
          <w:rFonts w:ascii="Times New Roman" w:hAnsi="Times New Roman" w:cs="Times New Roman"/>
          <w:sz w:val="28"/>
          <w:szCs w:val="28"/>
        </w:rPr>
        <w:t>5</w:t>
      </w:r>
      <w:r w:rsidRPr="00152C0F">
        <w:rPr>
          <w:rFonts w:ascii="Times New Roman" w:hAnsi="Times New Roman" w:cs="Times New Roman"/>
          <w:sz w:val="28"/>
          <w:szCs w:val="28"/>
        </w:rPr>
        <w:t xml:space="preserve">.2 </w:t>
      </w:r>
      <w:r w:rsidRPr="00152C0F">
        <w:rPr>
          <w:rFonts w:ascii="Times New Roman" w:hAnsi="Times New Roman" w:cs="Times New Roman"/>
          <w:i/>
          <w:sz w:val="28"/>
          <w:szCs w:val="28"/>
        </w:rPr>
        <w:t>supra</w:t>
      </w:r>
      <w:r w:rsidRPr="00152C0F">
        <w:rPr>
          <w:rFonts w:ascii="Times New Roman" w:hAnsi="Times New Roman" w:cs="Times New Roman"/>
          <w:sz w:val="28"/>
          <w:szCs w:val="28"/>
        </w:rPr>
        <w:t xml:space="preserve"> con sus tres condiciones, para, adicionalmente, valorar una exigencia adicional, si se evidenciaba que las disposiciones demandadas introducían modificaciones permanentes</w:t>
      </w:r>
      <w:r w:rsidRPr="00152C0F">
        <w:rPr>
          <w:rFonts w:ascii="Times New Roman" w:hAnsi="Times New Roman" w:cs="Times New Roman"/>
          <w:sz w:val="28"/>
          <w:szCs w:val="28"/>
        </w:rPr>
        <w:t xml:space="preserve"> o</w:t>
      </w:r>
      <w:r w:rsidRPr="00152C0F">
        <w:rPr>
          <w:rFonts w:ascii="Times New Roman" w:hAnsi="Times New Roman" w:cs="Times New Roman"/>
          <w:sz w:val="28"/>
          <w:szCs w:val="28"/>
        </w:rPr>
        <w:t xml:space="preserve"> estructurales </w:t>
      </w:r>
      <w:r w:rsidRPr="00152C0F">
        <w:rPr>
          <w:rFonts w:ascii="Times New Roman" w:hAnsi="Times New Roman" w:cs="Times New Roman"/>
          <w:sz w:val="28"/>
          <w:szCs w:val="28"/>
        </w:rPr>
        <w:t>y</w:t>
      </w:r>
      <w:r w:rsidRPr="00152C0F">
        <w:rPr>
          <w:rFonts w:ascii="Times New Roman" w:hAnsi="Times New Roman" w:cs="Times New Roman"/>
          <w:sz w:val="28"/>
          <w:szCs w:val="28"/>
        </w:rPr>
        <w:t xml:space="preserve"> su vigencia era superior al respectivo periodo presidencial, a sab</w:t>
      </w:r>
      <w:r w:rsidRPr="00152C0F">
        <w:rPr>
          <w:rFonts w:ascii="Times New Roman" w:hAnsi="Times New Roman" w:cs="Times New Roman"/>
          <w:sz w:val="28"/>
          <w:szCs w:val="28"/>
        </w:rPr>
        <w:t xml:space="preserve">er: verificar si tales modificaciones tenían </w:t>
      </w:r>
      <w:r w:rsidRPr="00152C0F">
        <w:rPr>
          <w:rFonts w:ascii="Times New Roman" w:hAnsi="Times New Roman" w:cs="Times New Roman"/>
          <w:bCs/>
          <w:sz w:val="28"/>
          <w:szCs w:val="28"/>
        </w:rPr>
        <w:t>un fin planificador y de impulso a la ejecución del plan cuatrienal</w:t>
      </w:r>
      <w:r w:rsidRPr="00152C0F">
        <w:rPr>
          <w:rFonts w:ascii="Times New Roman" w:hAnsi="Times New Roman" w:cs="Times New Roman"/>
          <w:bCs/>
          <w:sz w:val="28"/>
          <w:szCs w:val="28"/>
        </w:rPr>
        <w:t>, pues de lo contrario</w:t>
      </w:r>
      <w:r w:rsidRPr="00152C0F">
        <w:rPr>
          <w:rFonts w:ascii="Times New Roman" w:hAnsi="Times New Roman" w:cs="Times New Roman"/>
          <w:bCs/>
          <w:sz w:val="28"/>
          <w:szCs w:val="28"/>
        </w:rPr>
        <w:t xml:space="preserve"> </w:t>
      </w:r>
      <w:r w:rsidRPr="00152C0F">
        <w:rPr>
          <w:rFonts w:ascii="Times New Roman" w:hAnsi="Times New Roman" w:cs="Times New Roman"/>
          <w:bCs/>
          <w:sz w:val="28"/>
          <w:szCs w:val="28"/>
        </w:rPr>
        <w:t xml:space="preserve">se </w:t>
      </w:r>
      <w:r w:rsidRPr="00152C0F">
        <w:rPr>
          <w:rFonts w:ascii="Times New Roman" w:hAnsi="Times New Roman" w:cs="Times New Roman"/>
          <w:bCs/>
          <w:sz w:val="28"/>
          <w:szCs w:val="28"/>
        </w:rPr>
        <w:t xml:space="preserve">evidenciaba </w:t>
      </w:r>
      <w:r w:rsidRPr="00152C0F">
        <w:rPr>
          <w:rFonts w:ascii="Times New Roman" w:hAnsi="Times New Roman" w:cs="Times New Roman"/>
          <w:bCs/>
          <w:sz w:val="28"/>
          <w:szCs w:val="28"/>
        </w:rPr>
        <w:t xml:space="preserve">el </w:t>
      </w:r>
      <w:r w:rsidRPr="00152C0F">
        <w:rPr>
          <w:rFonts w:ascii="Times New Roman" w:hAnsi="Times New Roman" w:cs="Times New Roman"/>
          <w:bCs/>
          <w:sz w:val="28"/>
          <w:szCs w:val="28"/>
        </w:rPr>
        <w:t xml:space="preserve">desconocimiento del </w:t>
      </w:r>
      <w:r w:rsidRPr="00152C0F">
        <w:rPr>
          <w:rFonts w:ascii="Times New Roman" w:hAnsi="Times New Roman" w:cs="Times New Roman"/>
          <w:bCs/>
          <w:sz w:val="28"/>
          <w:szCs w:val="28"/>
        </w:rPr>
        <w:t xml:space="preserve">principio de unidad de materia. Esta valoración adicional </w:t>
      </w:r>
      <w:r w:rsidRPr="00152C0F">
        <w:rPr>
          <w:rFonts w:ascii="Times New Roman" w:hAnsi="Times New Roman" w:cs="Times New Roman"/>
          <w:bCs/>
          <w:sz w:val="28"/>
          <w:szCs w:val="28"/>
        </w:rPr>
        <w:t xml:space="preserve">ha tenido </w:t>
      </w:r>
      <w:r w:rsidRPr="00152C0F">
        <w:rPr>
          <w:rFonts w:ascii="Times New Roman" w:hAnsi="Times New Roman" w:cs="Times New Roman"/>
          <w:bCs/>
          <w:sz w:val="28"/>
          <w:szCs w:val="28"/>
        </w:rPr>
        <w:t>como causa la n</w:t>
      </w:r>
      <w:r w:rsidRPr="00152C0F">
        <w:rPr>
          <w:rFonts w:ascii="Times New Roman" w:hAnsi="Times New Roman" w:cs="Times New Roman"/>
          <w:bCs/>
          <w:sz w:val="28"/>
          <w:szCs w:val="28"/>
        </w:rPr>
        <w:t xml:space="preserve">ecesidad de realizar un control </w:t>
      </w:r>
      <w:r w:rsidRPr="00152C0F">
        <w:rPr>
          <w:rFonts w:ascii="Times New Roman" w:hAnsi="Times New Roman" w:cs="Times New Roman"/>
          <w:bCs/>
          <w:sz w:val="28"/>
          <w:szCs w:val="28"/>
        </w:rPr>
        <w:t xml:space="preserve">mucho más </w:t>
      </w:r>
      <w:r w:rsidRPr="00152C0F">
        <w:rPr>
          <w:rFonts w:ascii="Times New Roman" w:hAnsi="Times New Roman" w:cs="Times New Roman"/>
          <w:bCs/>
          <w:sz w:val="28"/>
          <w:szCs w:val="28"/>
        </w:rPr>
        <w:t xml:space="preserve">estricto a la exigencia de unidad de materia </w:t>
      </w:r>
      <w:r w:rsidRPr="00152C0F">
        <w:rPr>
          <w:rFonts w:ascii="Times New Roman" w:hAnsi="Times New Roman" w:cs="Times New Roman"/>
          <w:bCs/>
          <w:sz w:val="28"/>
          <w:szCs w:val="28"/>
        </w:rPr>
        <w:t xml:space="preserve">respecto de </w:t>
      </w:r>
      <w:r w:rsidRPr="00152C0F">
        <w:rPr>
          <w:rFonts w:ascii="Times New Roman" w:hAnsi="Times New Roman" w:cs="Times New Roman"/>
          <w:bCs/>
          <w:sz w:val="28"/>
          <w:szCs w:val="28"/>
        </w:rPr>
        <w:t xml:space="preserve">las </w:t>
      </w:r>
      <w:r w:rsidRPr="00152C0F">
        <w:rPr>
          <w:rFonts w:ascii="Times New Roman" w:hAnsi="Times New Roman" w:cs="Times New Roman"/>
          <w:bCs/>
          <w:sz w:val="28"/>
          <w:szCs w:val="28"/>
        </w:rPr>
        <w:t xml:space="preserve">disposiciones </w:t>
      </w:r>
      <w:r w:rsidRPr="00152C0F">
        <w:rPr>
          <w:rFonts w:ascii="Times New Roman" w:hAnsi="Times New Roman" w:cs="Times New Roman"/>
          <w:bCs/>
          <w:sz w:val="28"/>
          <w:szCs w:val="28"/>
        </w:rPr>
        <w:t>de carácter permanente</w:t>
      </w:r>
      <w:r w:rsidRPr="00152C0F">
        <w:rPr>
          <w:rFonts w:ascii="Times New Roman" w:hAnsi="Times New Roman" w:cs="Times New Roman"/>
          <w:bCs/>
          <w:sz w:val="28"/>
          <w:szCs w:val="28"/>
        </w:rPr>
        <w:t xml:space="preserve"> que se</w:t>
      </w:r>
      <w:r w:rsidRPr="00152C0F">
        <w:rPr>
          <w:rFonts w:ascii="Times New Roman" w:hAnsi="Times New Roman" w:cs="Times New Roman"/>
          <w:bCs/>
          <w:sz w:val="28"/>
          <w:szCs w:val="28"/>
        </w:rPr>
        <w:t xml:space="preserve"> adoptan mediante </w:t>
      </w:r>
      <w:r w:rsidRPr="00152C0F">
        <w:rPr>
          <w:rFonts w:ascii="Times New Roman" w:hAnsi="Times New Roman" w:cs="Times New Roman"/>
          <w:bCs/>
          <w:sz w:val="28"/>
          <w:szCs w:val="28"/>
        </w:rPr>
        <w:t>la ley aprobatoria del plan nacional de desarrollo</w:t>
      </w:r>
      <w:r w:rsidRPr="00152C0F">
        <w:rPr>
          <w:rFonts w:ascii="Times New Roman" w:hAnsi="Times New Roman" w:cs="Times New Roman"/>
          <w:bCs/>
          <w:sz w:val="28"/>
          <w:szCs w:val="28"/>
        </w:rPr>
        <w:t xml:space="preserve">. </w:t>
      </w:r>
    </w:p>
    <w:p w:rsidR="000E308B" w:rsidRPr="00152C0F" w:rsidRDefault="00152C0F" w:rsidP="000E308B">
      <w:pPr>
        <w:pStyle w:val="Prrafodelista"/>
        <w:ind w:left="0"/>
        <w:jc w:val="both"/>
        <w:rPr>
          <w:rFonts w:ascii="Times New Roman" w:hAnsi="Times New Roman" w:cs="Times New Roman"/>
          <w:sz w:val="28"/>
          <w:szCs w:val="28"/>
        </w:rPr>
      </w:pPr>
    </w:p>
    <w:p w:rsidR="000E308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De este conjunto de providencias son </w:t>
      </w:r>
      <w:r w:rsidRPr="00152C0F">
        <w:rPr>
          <w:rFonts w:ascii="Times New Roman" w:hAnsi="Times New Roman" w:cs="Times New Roman"/>
          <w:sz w:val="28"/>
          <w:szCs w:val="28"/>
        </w:rPr>
        <w:t>especialmente relevantes para la solución del caso concreto, en cuanto precisan esta exigencia, las sentencias C-415 de 2020</w:t>
      </w:r>
      <w:r w:rsidRPr="00152C0F">
        <w:rPr>
          <w:rFonts w:ascii="Times New Roman" w:hAnsi="Times New Roman" w:cs="Times New Roman"/>
          <w:sz w:val="28"/>
          <w:szCs w:val="28"/>
        </w:rPr>
        <w:t xml:space="preserve"> (a la cual ya se hizo referencia)</w:t>
      </w:r>
      <w:r w:rsidRPr="00152C0F">
        <w:rPr>
          <w:rFonts w:ascii="Times New Roman" w:hAnsi="Times New Roman" w:cs="Times New Roman"/>
          <w:sz w:val="28"/>
          <w:szCs w:val="28"/>
        </w:rPr>
        <w:t>, C-440 de 2020, C-047 de 2021, C-049 de 2022</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C-537 de 2023</w:t>
      </w:r>
      <w:r w:rsidRPr="00152C0F">
        <w:rPr>
          <w:rFonts w:ascii="Times New Roman" w:hAnsi="Times New Roman" w:cs="Times New Roman"/>
          <w:sz w:val="28"/>
          <w:szCs w:val="28"/>
        </w:rPr>
        <w:t xml:space="preserve"> y C-037 de 2024</w:t>
      </w:r>
      <w:r w:rsidRPr="00152C0F">
        <w:rPr>
          <w:rFonts w:ascii="Times New Roman" w:hAnsi="Times New Roman" w:cs="Times New Roman"/>
          <w:sz w:val="28"/>
          <w:szCs w:val="28"/>
        </w:rPr>
        <w:t>.</w:t>
      </w:r>
    </w:p>
    <w:p w:rsidR="000E308B" w:rsidRPr="00152C0F" w:rsidRDefault="00152C0F" w:rsidP="000E308B">
      <w:pPr>
        <w:pStyle w:val="Prrafodelista"/>
        <w:rPr>
          <w:rFonts w:ascii="Times New Roman" w:hAnsi="Times New Roman" w:cs="Times New Roman"/>
          <w:sz w:val="28"/>
          <w:szCs w:val="28"/>
        </w:rPr>
      </w:pPr>
    </w:p>
    <w:p w:rsidR="004F1EE3"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bCs/>
          <w:sz w:val="28"/>
          <w:szCs w:val="28"/>
          <w:shd w:val="clear" w:color="auto" w:fill="FFFFFF"/>
        </w:rPr>
        <w:t>En la Sentencia C-4</w:t>
      </w:r>
      <w:r w:rsidRPr="00152C0F">
        <w:rPr>
          <w:rFonts w:ascii="Times New Roman" w:hAnsi="Times New Roman" w:cs="Times New Roman"/>
          <w:bCs/>
          <w:sz w:val="28"/>
          <w:szCs w:val="28"/>
          <w:shd w:val="clear" w:color="auto" w:fill="FFFFFF"/>
        </w:rPr>
        <w:t xml:space="preserve">40 de 2020 </w:t>
      </w:r>
      <w:r w:rsidRPr="00152C0F">
        <w:rPr>
          <w:rFonts w:ascii="Times New Roman" w:hAnsi="Times New Roman" w:cs="Times New Roman"/>
          <w:sz w:val="28"/>
          <w:szCs w:val="28"/>
          <w:bdr w:val="none" w:sz="0" w:space="0" w:color="auto" w:frame="1"/>
          <w:lang w:val="es-ES_tradnl"/>
        </w:rPr>
        <w:t xml:space="preserve">la Sala justificó la inexequibilidad de la expresión </w:t>
      </w:r>
      <w:r w:rsidRPr="00152C0F">
        <w:rPr>
          <w:rFonts w:ascii="Times New Roman" w:hAnsi="Times New Roman" w:cs="Times New Roman"/>
          <w:iCs/>
          <w:sz w:val="28"/>
          <w:szCs w:val="28"/>
          <w:bdr w:val="none" w:sz="0" w:space="0" w:color="auto" w:frame="1"/>
          <w:lang w:val="es-ES_tradnl"/>
        </w:rPr>
        <w:t>“el artículo 167 de la Ley 769 de 2002”</w:t>
      </w:r>
      <w:r w:rsidRPr="00152C0F">
        <w:rPr>
          <w:rStyle w:val="Refdenotaalpie"/>
          <w:rFonts w:ascii="Times New Roman" w:hAnsi="Times New Roman" w:cs="Times New Roman"/>
          <w:iCs/>
          <w:sz w:val="28"/>
          <w:szCs w:val="28"/>
          <w:bdr w:val="none" w:sz="0" w:space="0" w:color="auto" w:frame="1"/>
          <w:lang w:val="es-ES_tradnl"/>
        </w:rPr>
        <w:footnoteReference w:id="91"/>
      </w:r>
      <w:r w:rsidRPr="00152C0F">
        <w:rPr>
          <w:rFonts w:ascii="Times New Roman" w:hAnsi="Times New Roman" w:cs="Times New Roman"/>
          <w:iCs/>
          <w:sz w:val="28"/>
          <w:szCs w:val="28"/>
          <w:bdr w:val="none" w:sz="0" w:space="0" w:color="auto" w:frame="1"/>
          <w:lang w:val="es-ES_tradnl"/>
        </w:rPr>
        <w:t>,</w:t>
      </w:r>
      <w:r w:rsidRPr="00152C0F">
        <w:rPr>
          <w:rFonts w:ascii="Times New Roman" w:hAnsi="Times New Roman" w:cs="Times New Roman"/>
          <w:sz w:val="28"/>
          <w:szCs w:val="28"/>
          <w:bdr w:val="none" w:sz="0" w:space="0" w:color="auto" w:frame="1"/>
          <w:lang w:val="es-ES_tradnl"/>
        </w:rPr>
        <w:t xml:space="preserve"> contenida en el artículo 336 de la Ley 1955 de 2019 </w:t>
      </w:r>
      <w:r w:rsidRPr="00152C0F">
        <w:rPr>
          <w:rFonts w:ascii="Times New Roman" w:hAnsi="Times New Roman" w:cs="Times New Roman"/>
          <w:iCs/>
          <w:sz w:val="28"/>
          <w:szCs w:val="28"/>
        </w:rPr>
        <w:t>–sobre “vigencias y derogatorias”–, entre otras,</w:t>
      </w:r>
      <w:r w:rsidRPr="00152C0F">
        <w:rPr>
          <w:rFonts w:ascii="Times New Roman" w:hAnsi="Times New Roman" w:cs="Times New Roman"/>
          <w:sz w:val="28"/>
          <w:szCs w:val="28"/>
          <w:bdr w:val="none" w:sz="0" w:space="0" w:color="auto" w:frame="1"/>
          <w:lang w:val="es-ES_tradnl"/>
        </w:rPr>
        <w:t xml:space="preserve"> en el siguiente razonamiento: </w:t>
      </w:r>
    </w:p>
    <w:p w:rsidR="004F1EE3" w:rsidRPr="00152C0F" w:rsidRDefault="00152C0F" w:rsidP="004F1EE3">
      <w:pPr>
        <w:pStyle w:val="Prrafodelista"/>
        <w:rPr>
          <w:rFonts w:ascii="Times New Roman" w:hAnsi="Times New Roman" w:cs="Times New Roman"/>
          <w:sz w:val="28"/>
          <w:szCs w:val="28"/>
          <w:bdr w:val="none" w:sz="0" w:space="0" w:color="auto" w:frame="1"/>
          <w:lang w:val="es-ES_tradnl"/>
        </w:rPr>
      </w:pPr>
    </w:p>
    <w:p w:rsidR="000E308B" w:rsidRPr="00152C0F" w:rsidRDefault="00152C0F" w:rsidP="004F1EE3">
      <w:pPr>
        <w:pStyle w:val="Prrafodelista"/>
        <w:ind w:left="567" w:right="616"/>
        <w:jc w:val="both"/>
        <w:rPr>
          <w:rFonts w:ascii="Times New Roman" w:hAnsi="Times New Roman" w:cs="Times New Roman"/>
          <w:sz w:val="28"/>
          <w:szCs w:val="24"/>
        </w:rPr>
      </w:pPr>
      <w:r w:rsidRPr="00152C0F">
        <w:rPr>
          <w:rFonts w:ascii="Times New Roman" w:hAnsi="Times New Roman" w:cs="Times New Roman"/>
          <w:sz w:val="28"/>
          <w:szCs w:val="24"/>
          <w:bdr w:val="none" w:sz="0" w:space="0" w:color="auto" w:frame="1"/>
          <w:lang w:val="es-ES_tradnl"/>
        </w:rPr>
        <w:t>“</w:t>
      </w:r>
      <w:r w:rsidRPr="00152C0F">
        <w:rPr>
          <w:rFonts w:ascii="Times New Roman" w:hAnsi="Times New Roman" w:cs="Times New Roman"/>
          <w:sz w:val="28"/>
          <w:szCs w:val="24"/>
          <w:bdr w:val="none" w:sz="0" w:space="0" w:color="auto" w:frame="1"/>
          <w:lang w:val="es-ES_tradnl"/>
        </w:rPr>
        <w:t>A</w:t>
      </w:r>
      <w:r w:rsidRPr="00152C0F">
        <w:rPr>
          <w:rFonts w:ascii="Times New Roman" w:hAnsi="Times New Roman" w:cs="Times New Roman"/>
          <w:sz w:val="28"/>
          <w:szCs w:val="24"/>
          <w:lang w:val="es-ES_tradnl"/>
        </w:rPr>
        <w:t xml:space="preserve">demás, la Corte advierte que, dada la materia que regula la disposición acusada, </w:t>
      </w:r>
      <w:r w:rsidRPr="00152C0F">
        <w:rPr>
          <w:rFonts w:ascii="Times New Roman" w:hAnsi="Times New Roman" w:cs="Times New Roman"/>
          <w:i/>
          <w:iCs/>
          <w:sz w:val="28"/>
          <w:szCs w:val="24"/>
          <w:lang w:val="es-ES_tradnl"/>
        </w:rPr>
        <w:t>esta tiene por objeto llenar las inconsistencias que presentan leyes anteriores</w:t>
      </w:r>
      <w:r w:rsidRPr="00152C0F">
        <w:rPr>
          <w:rFonts w:ascii="Times New Roman" w:hAnsi="Times New Roman" w:cs="Times New Roman"/>
          <w:sz w:val="28"/>
          <w:szCs w:val="24"/>
          <w:lang w:val="es-ES_tradnl"/>
        </w:rPr>
        <w:t xml:space="preserve">, en este caso la Ley 769 de 2002 y, </w:t>
      </w:r>
      <w:r w:rsidRPr="00152C0F">
        <w:rPr>
          <w:rFonts w:ascii="Times New Roman" w:hAnsi="Times New Roman" w:cs="Times New Roman"/>
          <w:i/>
          <w:iCs/>
          <w:sz w:val="28"/>
          <w:szCs w:val="24"/>
          <w:lang w:val="es-ES_tradnl"/>
        </w:rPr>
        <w:t>además, tiene vocación de permanencia, lo cual desconoce la</w:t>
      </w:r>
      <w:r w:rsidRPr="00152C0F">
        <w:rPr>
          <w:rFonts w:ascii="Times New Roman" w:hAnsi="Times New Roman" w:cs="Times New Roman"/>
          <w:i/>
          <w:iCs/>
          <w:sz w:val="28"/>
          <w:szCs w:val="24"/>
          <w:lang w:val="es-ES_tradnl"/>
        </w:rPr>
        <w:t xml:space="preserve"> potestad legislativa general reconocida al Congreso de la República</w:t>
      </w:r>
      <w:r w:rsidRPr="00152C0F">
        <w:rPr>
          <w:rFonts w:ascii="Times New Roman" w:hAnsi="Times New Roman" w:cs="Times New Roman"/>
          <w:sz w:val="28"/>
          <w:szCs w:val="24"/>
          <w:lang w:val="es-ES_tradnl"/>
        </w:rPr>
        <w:t>. En efecto, la derogatoria del artículo 167 de la Ley 769 de 2002, que otorga responsabilidades de administración a la Dirección Ejecutiva de la Rama Judicial sobre los parqueaderos desti</w:t>
      </w:r>
      <w:r w:rsidRPr="00152C0F">
        <w:rPr>
          <w:rFonts w:ascii="Times New Roman" w:hAnsi="Times New Roman" w:cs="Times New Roman"/>
          <w:sz w:val="28"/>
          <w:szCs w:val="24"/>
          <w:lang w:val="es-ES_tradnl"/>
        </w:rPr>
        <w:t xml:space="preserve">nados a vehículos inmovilizados por orden judicial, genera un cambio de responsable, lo cual implica que otra autoridad deba asumir el costo y compromiso de dicha guarda de vehículos. De ahí que, para la Corte, </w:t>
      </w:r>
      <w:r w:rsidRPr="00152C0F">
        <w:rPr>
          <w:rFonts w:ascii="Times New Roman" w:hAnsi="Times New Roman" w:cs="Times New Roman"/>
          <w:i/>
          <w:iCs/>
          <w:sz w:val="28"/>
          <w:szCs w:val="24"/>
          <w:lang w:val="es-ES_tradnl"/>
        </w:rPr>
        <w:t>la derogatoria mencionada no tenga por efecto</w:t>
      </w:r>
      <w:r w:rsidRPr="00152C0F">
        <w:rPr>
          <w:rFonts w:ascii="Times New Roman" w:hAnsi="Times New Roman" w:cs="Times New Roman"/>
          <w:i/>
          <w:iCs/>
          <w:sz w:val="28"/>
          <w:szCs w:val="24"/>
          <w:lang w:val="es-ES_tradnl"/>
        </w:rPr>
        <w:t xml:space="preserve"> únicamente articular el nuevo orden jurídico que impone la regulación introducida por la Ley 1955 de 2019, sino regular un asunto particular, que es inconexo al Plan Nacional de Desarrollo y excede la regulación propia del cuatrienio</w:t>
      </w:r>
      <w:r w:rsidRPr="00152C0F">
        <w:rPr>
          <w:rFonts w:ascii="Times New Roman" w:hAnsi="Times New Roman" w:cs="Times New Roman"/>
          <w:sz w:val="28"/>
          <w:szCs w:val="24"/>
          <w:lang w:val="es-ES_tradnl"/>
        </w:rPr>
        <w:t>” (énfasis de la Sala)</w:t>
      </w:r>
      <w:r w:rsidRPr="00152C0F">
        <w:rPr>
          <w:rFonts w:ascii="Times New Roman" w:hAnsi="Times New Roman" w:cs="Times New Roman"/>
          <w:sz w:val="28"/>
          <w:szCs w:val="24"/>
          <w:bdr w:val="none" w:sz="0" w:space="0" w:color="auto" w:frame="1"/>
          <w:lang w:val="es-ES_tradnl"/>
        </w:rPr>
        <w:t>.</w:t>
      </w:r>
    </w:p>
    <w:p w:rsidR="000E308B" w:rsidRPr="00152C0F" w:rsidRDefault="00152C0F" w:rsidP="000E308B">
      <w:pPr>
        <w:pStyle w:val="Prrafodelista"/>
        <w:ind w:left="0"/>
        <w:jc w:val="both"/>
        <w:rPr>
          <w:rFonts w:ascii="Times New Roman" w:hAnsi="Times New Roman" w:cs="Times New Roman"/>
          <w:sz w:val="28"/>
          <w:szCs w:val="28"/>
        </w:rPr>
      </w:pPr>
    </w:p>
    <w:p w:rsidR="000E308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la Sentencia C-047 de 2021, la Corte declaró la inexequibilidad, entre otras, de los artículos </w:t>
      </w:r>
      <w:r w:rsidRPr="00152C0F">
        <w:rPr>
          <w:rFonts w:ascii="Times New Roman" w:hAnsi="Times New Roman" w:cs="Times New Roman"/>
          <w:sz w:val="28"/>
          <w:szCs w:val="28"/>
          <w:lang w:val="es-MX"/>
        </w:rPr>
        <w:t xml:space="preserve">125 y 126 de la Ley 1955 de 2019 –relacionados con la </w:t>
      </w:r>
      <w:r w:rsidRPr="00152C0F">
        <w:rPr>
          <w:rFonts w:ascii="Times New Roman" w:hAnsi="Times New Roman" w:cs="Times New Roman"/>
          <w:sz w:val="28"/>
          <w:szCs w:val="28"/>
          <w:lang w:val="es-ES_tradnl"/>
        </w:rPr>
        <w:t xml:space="preserve">estructura orgánica y las funciones del Ministerio </w:t>
      </w:r>
      <w:r w:rsidRPr="00152C0F">
        <w:rPr>
          <w:rFonts w:ascii="Times New Roman" w:hAnsi="Times New Roman" w:cs="Times New Roman"/>
          <w:sz w:val="28"/>
          <w:szCs w:val="28"/>
        </w:rPr>
        <w:t>de Ciencia, Tecnología e Innovación</w:t>
      </w:r>
      <w:r w:rsidRPr="00152C0F">
        <w:rPr>
          <w:rFonts w:ascii="Times New Roman" w:hAnsi="Times New Roman" w:cs="Times New Roman"/>
          <w:sz w:val="28"/>
          <w:szCs w:val="28"/>
          <w:lang w:val="es-MX"/>
        </w:rPr>
        <w:t>– al evidenciar</w:t>
      </w:r>
      <w:r w:rsidRPr="00152C0F">
        <w:rPr>
          <w:rFonts w:ascii="Times New Roman" w:hAnsi="Times New Roman" w:cs="Times New Roman"/>
          <w:sz w:val="28"/>
          <w:szCs w:val="28"/>
          <w:lang w:val="es-MX"/>
        </w:rPr>
        <w:t xml:space="preserve"> que contemplaban </w:t>
      </w:r>
      <w:r w:rsidRPr="00152C0F">
        <w:rPr>
          <w:rFonts w:ascii="Times New Roman" w:hAnsi="Times New Roman" w:cs="Times New Roman"/>
          <w:sz w:val="28"/>
          <w:szCs w:val="28"/>
        </w:rPr>
        <w:t xml:space="preserve">medidas que </w:t>
      </w:r>
      <w:r w:rsidRPr="00152C0F">
        <w:rPr>
          <w:rFonts w:ascii="Times New Roman" w:hAnsi="Times New Roman" w:cs="Times New Roman"/>
          <w:sz w:val="28"/>
          <w:szCs w:val="28"/>
        </w:rPr>
        <w:t>tenían “</w:t>
      </w:r>
      <w:r w:rsidRPr="00152C0F">
        <w:rPr>
          <w:rFonts w:ascii="Times New Roman" w:hAnsi="Times New Roman" w:cs="Times New Roman"/>
          <w:sz w:val="28"/>
          <w:szCs w:val="28"/>
        </w:rPr>
        <w:t xml:space="preserve">una vocación de permanencia superior a aquella que corresponde a la vigencia del Plan […] Por tanto, no </w:t>
      </w:r>
      <w:r w:rsidRPr="00152C0F">
        <w:rPr>
          <w:rFonts w:ascii="Times New Roman" w:hAnsi="Times New Roman" w:cs="Times New Roman"/>
          <w:sz w:val="28"/>
          <w:szCs w:val="28"/>
        </w:rPr>
        <w:t xml:space="preserve">era </w:t>
      </w:r>
      <w:r w:rsidRPr="00152C0F">
        <w:rPr>
          <w:rFonts w:ascii="Times New Roman" w:hAnsi="Times New Roman" w:cs="Times New Roman"/>
          <w:sz w:val="28"/>
          <w:szCs w:val="28"/>
        </w:rPr>
        <w:t>dable inferir que se adscrib</w:t>
      </w:r>
      <w:r w:rsidRPr="00152C0F">
        <w:rPr>
          <w:rFonts w:ascii="Times New Roman" w:hAnsi="Times New Roman" w:cs="Times New Roman"/>
          <w:sz w:val="28"/>
          <w:szCs w:val="28"/>
        </w:rPr>
        <w:t>ieran</w:t>
      </w:r>
      <w:r w:rsidRPr="00152C0F">
        <w:rPr>
          <w:rFonts w:ascii="Times New Roman" w:hAnsi="Times New Roman" w:cs="Times New Roman"/>
          <w:sz w:val="28"/>
          <w:szCs w:val="28"/>
        </w:rPr>
        <w:t xml:space="preserve"> </w:t>
      </w:r>
      <w:r w:rsidRPr="00152C0F">
        <w:rPr>
          <w:rFonts w:ascii="Times New Roman" w:hAnsi="Times New Roman" w:cs="Times New Roman"/>
          <w:i/>
          <w:iCs/>
          <w:sz w:val="28"/>
          <w:szCs w:val="28"/>
        </w:rPr>
        <w:t xml:space="preserve">prima facie </w:t>
      </w:r>
      <w:r w:rsidRPr="00152C0F">
        <w:rPr>
          <w:rFonts w:ascii="Times New Roman" w:hAnsi="Times New Roman" w:cs="Times New Roman"/>
          <w:sz w:val="28"/>
          <w:szCs w:val="28"/>
        </w:rPr>
        <w:t xml:space="preserve">al </w:t>
      </w:r>
      <w:r w:rsidRPr="00152C0F">
        <w:rPr>
          <w:rFonts w:ascii="Times New Roman" w:hAnsi="Times New Roman" w:cs="Times New Roman"/>
          <w:bCs/>
          <w:sz w:val="28"/>
          <w:szCs w:val="28"/>
          <w:shd w:val="clear" w:color="auto" w:fill="FFFFFF"/>
        </w:rPr>
        <w:t xml:space="preserve">fin planificador y de impulso a la ejecución del plan </w:t>
      </w:r>
      <w:r w:rsidRPr="00152C0F">
        <w:rPr>
          <w:rFonts w:ascii="Times New Roman" w:hAnsi="Times New Roman" w:cs="Times New Roman"/>
          <w:bCs/>
          <w:sz w:val="28"/>
          <w:szCs w:val="28"/>
          <w:shd w:val="clear" w:color="auto" w:fill="FFFFFF"/>
        </w:rPr>
        <w:t>cuatrienal que debe caracterizar las disposiciones que lo integran”, lo anterior, pese a haber evidenciado que tales disposiciones tenían una relación de conexidad temática con la ley.</w:t>
      </w:r>
    </w:p>
    <w:p w:rsidR="000E308B" w:rsidRPr="00152C0F" w:rsidRDefault="00152C0F" w:rsidP="000E308B">
      <w:pPr>
        <w:pStyle w:val="Prrafodelista"/>
        <w:ind w:left="0"/>
        <w:jc w:val="both"/>
        <w:rPr>
          <w:rFonts w:ascii="Times New Roman" w:hAnsi="Times New Roman" w:cs="Times New Roman"/>
          <w:sz w:val="28"/>
          <w:szCs w:val="28"/>
        </w:rPr>
      </w:pPr>
    </w:p>
    <w:p w:rsidR="000E308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En las sentencias C-049 de 2022 y C-537 de 2023, la Corte declaró la i</w:t>
      </w:r>
      <w:r w:rsidRPr="00152C0F">
        <w:rPr>
          <w:rFonts w:ascii="Times New Roman" w:hAnsi="Times New Roman" w:cs="Times New Roman"/>
          <w:sz w:val="28"/>
          <w:szCs w:val="28"/>
        </w:rPr>
        <w:t xml:space="preserve">nexequibilidad de dos disposiciones que introdujeron modificaciones permanentes al régimen jurídico del sistema general de riesgos laborales, sin que tuviesen un </w:t>
      </w:r>
      <w:r w:rsidRPr="00152C0F">
        <w:rPr>
          <w:rFonts w:ascii="Times New Roman" w:hAnsi="Times New Roman" w:cs="Times New Roman"/>
          <w:bCs/>
          <w:sz w:val="28"/>
          <w:szCs w:val="28"/>
        </w:rPr>
        <w:t xml:space="preserve">fin planificador y de impulso a la ejecución del plan: el artículo 203 de la Ley 1955 de 2019 </w:t>
      </w:r>
      <w:r w:rsidRPr="00152C0F">
        <w:rPr>
          <w:rFonts w:ascii="Times New Roman" w:hAnsi="Times New Roman" w:cs="Times New Roman"/>
          <w:bCs/>
          <w:sz w:val="28"/>
          <w:szCs w:val="28"/>
        </w:rPr>
        <w:t>–potestad de las administradoras de riesgos laborales de pagar las comisiones de sus intermediarios con cargo a las cotizaciones, primas o rendimientos financieros de las inversiones de las reservas técnicas</w:t>
      </w:r>
      <w:r w:rsidRPr="00152C0F">
        <w:rPr>
          <w:rStyle w:val="Refdenotaalpie"/>
          <w:rFonts w:ascii="Times New Roman" w:hAnsi="Times New Roman" w:cs="Times New Roman"/>
          <w:bCs/>
          <w:sz w:val="28"/>
          <w:szCs w:val="28"/>
        </w:rPr>
        <w:footnoteReference w:id="92"/>
      </w:r>
      <w:r w:rsidRPr="00152C0F">
        <w:rPr>
          <w:rFonts w:ascii="Times New Roman" w:hAnsi="Times New Roman" w:cs="Times New Roman"/>
          <w:bCs/>
          <w:sz w:val="28"/>
          <w:szCs w:val="28"/>
        </w:rPr>
        <w:t>– y el artículo 97 de la Ley 2294 de 2023 –</w:t>
      </w:r>
      <w:r w:rsidRPr="00152C0F">
        <w:rPr>
          <w:rFonts w:ascii="Times New Roman" w:hAnsi="Times New Roman" w:cs="Times New Roman"/>
          <w:sz w:val="28"/>
          <w:szCs w:val="28"/>
        </w:rPr>
        <w:t>deber</w:t>
      </w:r>
      <w:r w:rsidRPr="00152C0F">
        <w:rPr>
          <w:rFonts w:ascii="Times New Roman" w:hAnsi="Times New Roman" w:cs="Times New Roman"/>
          <w:sz w:val="28"/>
          <w:szCs w:val="28"/>
        </w:rPr>
        <w:t xml:space="preserve"> de </w:t>
      </w:r>
      <w:r w:rsidRPr="00152C0F">
        <w:rPr>
          <w:rFonts w:ascii="Times New Roman" w:hAnsi="Times New Roman" w:cs="Times New Roman"/>
          <w:bCs/>
          <w:sz w:val="28"/>
          <w:szCs w:val="28"/>
        </w:rPr>
        <w:t>las entidades y corporaciones públicas de contratar la administración de riesgos laborales con la ARL Positiva S.A., de propiedad estatal, con exclusión de las ARL de carácter privado–</w:t>
      </w:r>
      <w:r w:rsidRPr="00152C0F">
        <w:rPr>
          <w:rStyle w:val="Refdenotaalpie"/>
          <w:rFonts w:ascii="Times New Roman" w:hAnsi="Times New Roman" w:cs="Times New Roman"/>
          <w:bCs/>
          <w:sz w:val="28"/>
          <w:szCs w:val="28"/>
        </w:rPr>
        <w:footnoteReference w:id="93"/>
      </w:r>
      <w:r w:rsidRPr="00152C0F">
        <w:rPr>
          <w:rFonts w:ascii="Times New Roman" w:hAnsi="Times New Roman" w:cs="Times New Roman"/>
          <w:bCs/>
          <w:sz w:val="28"/>
          <w:szCs w:val="28"/>
        </w:rPr>
        <w:t>.</w:t>
      </w:r>
    </w:p>
    <w:p w:rsidR="00DF1711" w:rsidRPr="00152C0F" w:rsidRDefault="00152C0F" w:rsidP="00DF1711">
      <w:pPr>
        <w:pStyle w:val="Prrafodelista"/>
        <w:rPr>
          <w:rFonts w:ascii="Times New Roman" w:hAnsi="Times New Roman" w:cs="Times New Roman"/>
          <w:sz w:val="28"/>
          <w:szCs w:val="28"/>
        </w:rPr>
      </w:pPr>
    </w:p>
    <w:p w:rsidR="00DF1711"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Finalmente, en la Sentencia C-037 de 2024, la Sala declaró la in</w:t>
      </w:r>
      <w:r w:rsidRPr="00152C0F">
        <w:rPr>
          <w:rFonts w:ascii="Times New Roman" w:hAnsi="Times New Roman" w:cs="Times New Roman"/>
          <w:sz w:val="28"/>
          <w:szCs w:val="28"/>
        </w:rPr>
        <w:t xml:space="preserve">exequibilidad del artículo </w:t>
      </w:r>
      <w:r w:rsidRPr="00152C0F">
        <w:rPr>
          <w:rFonts w:ascii="Times New Roman" w:hAnsi="Times New Roman" w:cs="Times New Roman"/>
          <w:sz w:val="28"/>
          <w:szCs w:val="28"/>
        </w:rPr>
        <w:t>322 de la Ley 2294 de 2023</w:t>
      </w:r>
      <w:r w:rsidRPr="00152C0F">
        <w:rPr>
          <w:rStyle w:val="Refdenotaalpie"/>
          <w:rFonts w:ascii="Times New Roman" w:hAnsi="Times New Roman" w:cs="Times New Roman"/>
          <w:sz w:val="28"/>
          <w:szCs w:val="28"/>
        </w:rPr>
        <w:footnoteReference w:id="94"/>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ya que, </w:t>
      </w:r>
      <w:r w:rsidRPr="00152C0F">
        <w:rPr>
          <w:rFonts w:ascii="Times New Roman" w:hAnsi="Times New Roman" w:cs="Times New Roman"/>
          <w:bCs/>
          <w:sz w:val="28"/>
          <w:szCs w:val="28"/>
        </w:rPr>
        <w:t>a</w:t>
      </w:r>
      <w:r w:rsidRPr="00152C0F">
        <w:rPr>
          <w:rFonts w:ascii="Times New Roman" w:hAnsi="Times New Roman" w:cs="Times New Roman"/>
          <w:sz w:val="28"/>
          <w:szCs w:val="28"/>
        </w:rPr>
        <w:t xml:space="preserve"> pesar de su alcance </w:t>
      </w:r>
      <w:r w:rsidRPr="00152C0F">
        <w:rPr>
          <w:rFonts w:ascii="Times New Roman" w:eastAsia="Cambria" w:hAnsi="Times New Roman" w:cs="Times New Roman"/>
          <w:bCs/>
          <w:sz w:val="28"/>
          <w:szCs w:val="28"/>
        </w:rPr>
        <w:t xml:space="preserve">instrumental, no </w:t>
      </w:r>
      <w:r w:rsidRPr="00152C0F">
        <w:rPr>
          <w:rFonts w:ascii="Times New Roman" w:hAnsi="Times New Roman" w:cs="Times New Roman"/>
          <w:sz w:val="28"/>
          <w:szCs w:val="28"/>
        </w:rPr>
        <w:t xml:space="preserve">perseguía </w:t>
      </w:r>
      <w:r w:rsidRPr="00152C0F">
        <w:rPr>
          <w:rFonts w:ascii="Times New Roman" w:hAnsi="Times New Roman" w:cs="Times New Roman"/>
          <w:sz w:val="28"/>
          <w:szCs w:val="28"/>
        </w:rPr>
        <w:t xml:space="preserve">un fin planificador ni de impulso a la ejecución del plan cuatrienal, y no </w:t>
      </w:r>
      <w:r w:rsidRPr="00152C0F">
        <w:rPr>
          <w:rFonts w:ascii="Times New Roman" w:hAnsi="Times New Roman" w:cs="Times New Roman"/>
          <w:sz w:val="28"/>
          <w:szCs w:val="28"/>
        </w:rPr>
        <w:t xml:space="preserve">era </w:t>
      </w:r>
      <w:r w:rsidRPr="00152C0F">
        <w:rPr>
          <w:rFonts w:ascii="Times New Roman" w:hAnsi="Times New Roman" w:cs="Times New Roman"/>
          <w:sz w:val="28"/>
          <w:szCs w:val="28"/>
        </w:rPr>
        <w:t xml:space="preserve">claro que la medida </w:t>
      </w:r>
      <w:r w:rsidRPr="00152C0F">
        <w:rPr>
          <w:rFonts w:ascii="Times New Roman" w:hAnsi="Times New Roman" w:cs="Times New Roman"/>
          <w:sz w:val="28"/>
          <w:szCs w:val="28"/>
        </w:rPr>
        <w:t xml:space="preserve">tuviese </w:t>
      </w:r>
      <w:r w:rsidRPr="00152C0F">
        <w:rPr>
          <w:rFonts w:ascii="Times New Roman" w:eastAsia="Cambria" w:hAnsi="Times New Roman" w:cs="Times New Roman"/>
          <w:bCs/>
          <w:sz w:val="28"/>
          <w:szCs w:val="28"/>
        </w:rPr>
        <w:t xml:space="preserve">relación de conexidad </w:t>
      </w:r>
      <w:r w:rsidRPr="00152C0F">
        <w:rPr>
          <w:rFonts w:ascii="Times New Roman" w:hAnsi="Times New Roman" w:cs="Times New Roman"/>
          <w:iCs/>
          <w:sz w:val="28"/>
          <w:szCs w:val="28"/>
          <w:lang w:val="es-ES_tradnl"/>
        </w:rPr>
        <w:t xml:space="preserve">estrecha, directa e inmediata con las </w:t>
      </w:r>
      <w:r w:rsidRPr="00152C0F">
        <w:rPr>
          <w:rFonts w:ascii="Times New Roman" w:hAnsi="Times New Roman" w:cs="Times New Roman"/>
          <w:iCs/>
          <w:sz w:val="28"/>
          <w:szCs w:val="28"/>
          <w:lang w:val="es-ES_tradnl"/>
        </w:rPr>
        <w:t xml:space="preserve">estrategias y </w:t>
      </w:r>
      <w:r w:rsidRPr="00152C0F">
        <w:rPr>
          <w:rFonts w:ascii="Times New Roman" w:hAnsi="Times New Roman" w:cs="Times New Roman"/>
          <w:iCs/>
          <w:sz w:val="28"/>
          <w:szCs w:val="28"/>
          <w:lang w:val="es-ES_tradnl"/>
        </w:rPr>
        <w:t xml:space="preserve">políticas </w:t>
      </w:r>
      <w:r w:rsidRPr="00152C0F">
        <w:rPr>
          <w:rFonts w:ascii="Times New Roman" w:hAnsi="Times New Roman" w:cs="Times New Roman"/>
          <w:sz w:val="28"/>
          <w:szCs w:val="28"/>
        </w:rPr>
        <w:t xml:space="preserve">que </w:t>
      </w:r>
      <w:r w:rsidRPr="00152C0F">
        <w:rPr>
          <w:rFonts w:ascii="Times New Roman" w:hAnsi="Times New Roman" w:cs="Times New Roman"/>
          <w:sz w:val="28"/>
          <w:szCs w:val="28"/>
        </w:rPr>
        <w:t>orientaban</w:t>
      </w:r>
      <w:r w:rsidRPr="00152C0F">
        <w:rPr>
          <w:rFonts w:ascii="Times New Roman" w:hAnsi="Times New Roman" w:cs="Times New Roman"/>
          <w:sz w:val="28"/>
          <w:szCs w:val="28"/>
        </w:rPr>
        <w:t xml:space="preserve"> la acción del Gobierno en función de alcanzar los objetivos y metas fijados en la parte general del plan, o con los programas y proyectos del plan de inversiones</w:t>
      </w:r>
      <w:r w:rsidRPr="00152C0F">
        <w:rPr>
          <w:rFonts w:ascii="Times New Roman" w:hAnsi="Times New Roman" w:cs="Times New Roman"/>
          <w:bCs/>
          <w:sz w:val="28"/>
          <w:szCs w:val="28"/>
        </w:rPr>
        <w:t>.</w:t>
      </w:r>
    </w:p>
    <w:p w:rsidR="000E308B" w:rsidRPr="00152C0F" w:rsidRDefault="00152C0F" w:rsidP="000E308B">
      <w:pPr>
        <w:pStyle w:val="Prrafodelista"/>
        <w:ind w:left="0"/>
        <w:jc w:val="both"/>
        <w:rPr>
          <w:rFonts w:ascii="Times New Roman" w:hAnsi="Times New Roman" w:cs="Times New Roman"/>
          <w:sz w:val="28"/>
          <w:szCs w:val="28"/>
        </w:rPr>
      </w:pPr>
    </w:p>
    <w:p w:rsidR="00717868"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A partir de est</w:t>
      </w:r>
      <w:r w:rsidRPr="00152C0F">
        <w:rPr>
          <w:rFonts w:ascii="Times New Roman" w:hAnsi="Times New Roman" w:cs="Times New Roman"/>
          <w:sz w:val="28"/>
          <w:szCs w:val="28"/>
        </w:rPr>
        <w:t xml:space="preserve">e recuento </w:t>
      </w:r>
      <w:r w:rsidRPr="00152C0F">
        <w:rPr>
          <w:rFonts w:ascii="Times New Roman" w:hAnsi="Times New Roman" w:cs="Times New Roman"/>
          <w:sz w:val="28"/>
          <w:szCs w:val="28"/>
        </w:rPr>
        <w:t xml:space="preserve">normativo y </w:t>
      </w:r>
      <w:r w:rsidRPr="00152C0F">
        <w:rPr>
          <w:rFonts w:ascii="Times New Roman" w:hAnsi="Times New Roman" w:cs="Times New Roman"/>
          <w:sz w:val="28"/>
          <w:szCs w:val="28"/>
        </w:rPr>
        <w:t xml:space="preserve">jurisprudencial es posible concluir que las medidas que se incorporan </w:t>
      </w:r>
      <w:r w:rsidRPr="00152C0F">
        <w:rPr>
          <w:rFonts w:ascii="Times New Roman" w:hAnsi="Times New Roman" w:cs="Times New Roman"/>
          <w:sz w:val="28"/>
          <w:szCs w:val="28"/>
        </w:rPr>
        <w:t>al plan y a su ley aprobatoria deben corresponder</w:t>
      </w:r>
      <w:r w:rsidRPr="00152C0F">
        <w:rPr>
          <w:rFonts w:ascii="Times New Roman" w:hAnsi="Times New Roman" w:cs="Times New Roman"/>
          <w:sz w:val="28"/>
          <w:szCs w:val="28"/>
        </w:rPr>
        <w:t xml:space="preserve"> a</w:t>
      </w:r>
      <w:r w:rsidRPr="00152C0F">
        <w:rPr>
          <w:rFonts w:ascii="Times New Roman" w:hAnsi="Times New Roman" w:cs="Times New Roman"/>
          <w:sz w:val="28"/>
          <w:szCs w:val="28"/>
        </w:rPr>
        <w:t xml:space="preserve"> procedimientos</w:t>
      </w:r>
      <w:r w:rsidRPr="00152C0F">
        <w:rPr>
          <w:rFonts w:ascii="Times New Roman" w:hAnsi="Times New Roman" w:cs="Times New Roman"/>
          <w:sz w:val="28"/>
          <w:szCs w:val="28"/>
        </w:rPr>
        <w:t xml:space="preserve"> y</w:t>
      </w:r>
      <w:r w:rsidRPr="00152C0F">
        <w:rPr>
          <w:rFonts w:ascii="Times New Roman" w:hAnsi="Times New Roman" w:cs="Times New Roman"/>
          <w:sz w:val="28"/>
          <w:szCs w:val="28"/>
        </w:rPr>
        <w:t xml:space="preserve"> mecanismos</w:t>
      </w:r>
      <w:r w:rsidRPr="00152C0F">
        <w:rPr>
          <w:rFonts w:ascii="Times New Roman" w:hAnsi="Times New Roman" w:cs="Times New Roman"/>
          <w:sz w:val="28"/>
          <w:szCs w:val="28"/>
        </w:rPr>
        <w:t xml:space="preserve"> para alcanzar las metas de mediano y largo plazo de la acción estatal</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a la </w:t>
      </w:r>
      <w:r w:rsidRPr="00152C0F">
        <w:rPr>
          <w:rFonts w:ascii="Times New Roman" w:hAnsi="Times New Roman" w:cs="Times New Roman"/>
          <w:sz w:val="28"/>
          <w:szCs w:val="28"/>
        </w:rPr>
        <w:t>apropiaci</w:t>
      </w:r>
      <w:r w:rsidRPr="00152C0F">
        <w:rPr>
          <w:rFonts w:ascii="Times New Roman" w:hAnsi="Times New Roman" w:cs="Times New Roman"/>
          <w:sz w:val="28"/>
          <w:szCs w:val="28"/>
        </w:rPr>
        <w:t>ón de recursos para la ejecución del plan y a</w:t>
      </w:r>
      <w:r w:rsidRPr="00152C0F">
        <w:rPr>
          <w:rFonts w:ascii="Times New Roman" w:hAnsi="Times New Roman" w:cs="Times New Roman"/>
          <w:sz w:val="28"/>
          <w:szCs w:val="28"/>
        </w:rPr>
        <w:t xml:space="preserve"> medidas para impulsar </w:t>
      </w:r>
      <w:r w:rsidRPr="00152C0F">
        <w:rPr>
          <w:rFonts w:ascii="Times New Roman" w:hAnsi="Times New Roman" w:cs="Times New Roman"/>
          <w:sz w:val="28"/>
          <w:szCs w:val="28"/>
        </w:rPr>
        <w:t>el</w:t>
      </w:r>
      <w:r w:rsidRPr="00152C0F">
        <w:rPr>
          <w:rFonts w:ascii="Times New Roman" w:hAnsi="Times New Roman" w:cs="Times New Roman"/>
          <w:sz w:val="28"/>
          <w:szCs w:val="28"/>
        </w:rPr>
        <w:t xml:space="preserve"> cumplimiento</w:t>
      </w:r>
      <w:r w:rsidRPr="00152C0F">
        <w:rPr>
          <w:rFonts w:ascii="Times New Roman" w:hAnsi="Times New Roman" w:cs="Times New Roman"/>
          <w:sz w:val="28"/>
          <w:szCs w:val="28"/>
        </w:rPr>
        <w:t xml:space="preserve"> tanto de la parte general como del plan de inversiones. Por tal razón </w:t>
      </w:r>
      <w:r w:rsidRPr="00152C0F">
        <w:rPr>
          <w:rFonts w:ascii="Times New Roman" w:hAnsi="Times New Roman" w:cs="Times New Roman"/>
          <w:sz w:val="28"/>
          <w:szCs w:val="28"/>
        </w:rPr>
        <w:t xml:space="preserve">las </w:t>
      </w:r>
      <w:r w:rsidRPr="00152C0F">
        <w:rPr>
          <w:rFonts w:ascii="Times New Roman" w:hAnsi="Times New Roman" w:cs="Times New Roman"/>
          <w:sz w:val="28"/>
          <w:szCs w:val="28"/>
        </w:rPr>
        <w:t xml:space="preserve">disposiciones </w:t>
      </w:r>
      <w:r w:rsidRPr="00152C0F">
        <w:rPr>
          <w:rStyle w:val="Ttulo1Car"/>
          <w:rFonts w:ascii="Times New Roman" w:hAnsi="Times New Roman" w:cs="Times New Roman"/>
          <w:b w:val="0"/>
          <w:bCs/>
          <w:color w:val="auto"/>
          <w:sz w:val="28"/>
          <w:szCs w:val="28"/>
        </w:rPr>
        <w:t xml:space="preserve">que introducen </w:t>
      </w:r>
      <w:r w:rsidRPr="00152C0F">
        <w:rPr>
          <w:rStyle w:val="Ttulo1Car"/>
          <w:rFonts w:ascii="Times New Roman" w:hAnsi="Times New Roman" w:cs="Times New Roman"/>
          <w:b w:val="0"/>
          <w:bCs/>
          <w:color w:val="auto"/>
          <w:sz w:val="28"/>
          <w:szCs w:val="28"/>
        </w:rPr>
        <w:t xml:space="preserve">regulaciones o </w:t>
      </w:r>
      <w:r w:rsidRPr="00152C0F">
        <w:rPr>
          <w:rStyle w:val="Ttulo1Car"/>
          <w:rFonts w:ascii="Times New Roman" w:hAnsi="Times New Roman" w:cs="Times New Roman"/>
          <w:b w:val="0"/>
          <w:bCs/>
          <w:color w:val="auto"/>
          <w:sz w:val="28"/>
          <w:szCs w:val="28"/>
        </w:rPr>
        <w:t>modificaciones permanentes</w:t>
      </w:r>
      <w:r w:rsidRPr="00152C0F">
        <w:rPr>
          <w:rStyle w:val="Ttulo1Car"/>
          <w:rFonts w:ascii="Times New Roman" w:hAnsi="Times New Roman" w:cs="Times New Roman"/>
          <w:b w:val="0"/>
          <w:bCs/>
          <w:color w:val="auto"/>
          <w:sz w:val="28"/>
          <w:szCs w:val="28"/>
        </w:rPr>
        <w:t xml:space="preserve"> o</w:t>
      </w:r>
      <w:r w:rsidRPr="00152C0F">
        <w:rPr>
          <w:rStyle w:val="Ttulo1Car"/>
          <w:rFonts w:ascii="Times New Roman" w:hAnsi="Times New Roman" w:cs="Times New Roman"/>
          <w:b w:val="0"/>
          <w:bCs/>
          <w:color w:val="auto"/>
          <w:sz w:val="28"/>
          <w:szCs w:val="28"/>
        </w:rPr>
        <w:t xml:space="preserve"> estructurales co</w:t>
      </w:r>
      <w:r w:rsidRPr="00152C0F">
        <w:rPr>
          <w:rStyle w:val="Ttulo1Car"/>
          <w:rFonts w:ascii="Times New Roman" w:hAnsi="Times New Roman" w:cs="Times New Roman"/>
          <w:b w:val="0"/>
          <w:bCs/>
          <w:color w:val="auto"/>
          <w:sz w:val="28"/>
          <w:szCs w:val="28"/>
        </w:rPr>
        <w:t xml:space="preserve">n una vigencia </w:t>
      </w:r>
      <w:r w:rsidRPr="00152C0F">
        <w:rPr>
          <w:rStyle w:val="Ttulo1Car"/>
          <w:rFonts w:ascii="Times New Roman" w:hAnsi="Times New Roman" w:cs="Times New Roman"/>
          <w:b w:val="0"/>
          <w:bCs/>
          <w:color w:val="auto"/>
          <w:sz w:val="28"/>
          <w:szCs w:val="28"/>
        </w:rPr>
        <w:t>super</w:t>
      </w:r>
      <w:r w:rsidRPr="00152C0F">
        <w:rPr>
          <w:rStyle w:val="Ttulo1Car"/>
          <w:rFonts w:ascii="Times New Roman" w:hAnsi="Times New Roman" w:cs="Times New Roman"/>
          <w:b w:val="0"/>
          <w:bCs/>
          <w:color w:val="auto"/>
          <w:sz w:val="28"/>
          <w:szCs w:val="28"/>
        </w:rPr>
        <w:t>ior</w:t>
      </w:r>
      <w:r w:rsidRPr="00152C0F">
        <w:rPr>
          <w:rStyle w:val="Ttulo1Car"/>
          <w:rFonts w:ascii="Times New Roman" w:hAnsi="Times New Roman" w:cs="Times New Roman"/>
          <w:b w:val="0"/>
          <w:bCs/>
          <w:color w:val="auto"/>
          <w:sz w:val="28"/>
          <w:szCs w:val="28"/>
        </w:rPr>
        <w:t xml:space="preserve"> </w:t>
      </w:r>
      <w:r w:rsidRPr="00152C0F">
        <w:rPr>
          <w:rStyle w:val="Ttulo1Car"/>
          <w:rFonts w:ascii="Times New Roman" w:hAnsi="Times New Roman" w:cs="Times New Roman"/>
          <w:b w:val="0"/>
          <w:bCs/>
          <w:color w:val="auto"/>
          <w:sz w:val="28"/>
          <w:szCs w:val="28"/>
        </w:rPr>
        <w:t>a</w:t>
      </w:r>
      <w:r w:rsidRPr="00152C0F">
        <w:rPr>
          <w:rStyle w:val="Ttulo1Car"/>
          <w:rFonts w:ascii="Times New Roman" w:hAnsi="Times New Roman" w:cs="Times New Roman"/>
          <w:b w:val="0"/>
          <w:bCs/>
          <w:color w:val="auto"/>
          <w:sz w:val="28"/>
          <w:szCs w:val="28"/>
        </w:rPr>
        <w:t>l respectivo periodo cuatrienal de gobierno</w:t>
      </w:r>
      <w:r w:rsidRPr="00152C0F">
        <w:rPr>
          <w:rFonts w:ascii="Times New Roman" w:hAnsi="Times New Roman" w:cs="Times New Roman"/>
          <w:sz w:val="28"/>
          <w:szCs w:val="28"/>
        </w:rPr>
        <w:t xml:space="preserve"> son</w:t>
      </w:r>
      <w:r w:rsidRPr="00152C0F">
        <w:rPr>
          <w:rFonts w:ascii="Times New Roman" w:hAnsi="Times New Roman" w:cs="Times New Roman"/>
          <w:sz w:val="28"/>
          <w:szCs w:val="28"/>
        </w:rPr>
        <w:t xml:space="preserve">, en principio, incompatibles con </w:t>
      </w:r>
      <w:r w:rsidRPr="00152C0F">
        <w:rPr>
          <w:rFonts w:ascii="Times New Roman" w:hAnsi="Times New Roman" w:cs="Times New Roman"/>
          <w:sz w:val="28"/>
          <w:szCs w:val="28"/>
        </w:rPr>
        <w:t>la naturaleza planificadora y temporal de</w:t>
      </w:r>
      <w:r w:rsidRPr="00152C0F">
        <w:rPr>
          <w:rFonts w:ascii="Times New Roman" w:hAnsi="Times New Roman" w:cs="Times New Roman"/>
          <w:sz w:val="28"/>
          <w:szCs w:val="28"/>
        </w:rPr>
        <w:t>l plan y de su ley aprobatoria</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Sin embargo, tal tipo de</w:t>
      </w:r>
      <w:r w:rsidRPr="00152C0F">
        <w:rPr>
          <w:rFonts w:ascii="Times New Roman" w:hAnsi="Times New Roman" w:cs="Times New Roman"/>
          <w:sz w:val="28"/>
          <w:szCs w:val="28"/>
        </w:rPr>
        <w:t xml:space="preserve"> disposiciones, </w:t>
      </w:r>
      <w:r w:rsidRPr="00152C0F">
        <w:rPr>
          <w:rFonts w:ascii="Times New Roman" w:hAnsi="Times New Roman" w:cs="Times New Roman"/>
          <w:sz w:val="28"/>
          <w:szCs w:val="28"/>
        </w:rPr>
        <w:t xml:space="preserve">podrían entenderse </w:t>
      </w:r>
      <w:r w:rsidRPr="00152C0F">
        <w:rPr>
          <w:rFonts w:ascii="Times New Roman" w:hAnsi="Times New Roman" w:cs="Times New Roman"/>
          <w:sz w:val="28"/>
          <w:szCs w:val="28"/>
        </w:rPr>
        <w:t xml:space="preserve">compatibles con el principio constitucional de unidad de materia solo si cumplen las siguientes exigencias: (i) </w:t>
      </w:r>
      <w:r w:rsidRPr="00152C0F">
        <w:rPr>
          <w:rFonts w:ascii="Times New Roman" w:hAnsi="Times New Roman" w:cs="Times New Roman"/>
          <w:sz w:val="28"/>
          <w:szCs w:val="28"/>
        </w:rPr>
        <w:t xml:space="preserve">tienen </w:t>
      </w:r>
      <w:r w:rsidRPr="00152C0F">
        <w:rPr>
          <w:rFonts w:ascii="Times New Roman" w:hAnsi="Times New Roman" w:cs="Times New Roman"/>
          <w:sz w:val="28"/>
          <w:szCs w:val="28"/>
        </w:rPr>
        <w:t>carácter instrumental, en el sentido de que se trat</w:t>
      </w:r>
      <w:r w:rsidRPr="00152C0F">
        <w:rPr>
          <w:rFonts w:ascii="Times New Roman" w:hAnsi="Times New Roman" w:cs="Times New Roman"/>
          <w:sz w:val="28"/>
          <w:szCs w:val="28"/>
        </w:rPr>
        <w:t>a</w:t>
      </w:r>
      <w:r w:rsidRPr="00152C0F">
        <w:rPr>
          <w:rFonts w:ascii="Times New Roman" w:hAnsi="Times New Roman" w:cs="Times New Roman"/>
          <w:sz w:val="28"/>
          <w:szCs w:val="28"/>
        </w:rPr>
        <w:t xml:space="preserve"> de procedimientos, mecanismos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medidas</w:t>
      </w:r>
      <w:r w:rsidRPr="00152C0F">
        <w:rPr>
          <w:rFonts w:ascii="Times New Roman" w:hAnsi="Times New Roman" w:cs="Times New Roman"/>
          <w:sz w:val="28"/>
          <w:szCs w:val="28"/>
        </w:rPr>
        <w:t xml:space="preserve"> para</w:t>
      </w:r>
      <w:r w:rsidRPr="00152C0F">
        <w:rPr>
          <w:rFonts w:ascii="Times New Roman" w:hAnsi="Times New Roman" w:cs="Times New Roman"/>
          <w:sz w:val="28"/>
          <w:szCs w:val="28"/>
        </w:rPr>
        <w:t xml:space="preserve"> impulsar el cumplimiento del plan, </w:t>
      </w:r>
      <w:r w:rsidRPr="00152C0F">
        <w:rPr>
          <w:rFonts w:ascii="Times New Roman" w:hAnsi="Times New Roman" w:cs="Times New Roman"/>
          <w:sz w:val="28"/>
          <w:szCs w:val="28"/>
          <w:shd w:val="clear" w:color="auto" w:fill="FFFFFF"/>
        </w:rPr>
        <w:t xml:space="preserve">o de </w:t>
      </w:r>
      <w:r w:rsidRPr="00152C0F">
        <w:rPr>
          <w:rFonts w:ascii="Times New Roman" w:hAnsi="Times New Roman" w:cs="Times New Roman"/>
          <w:sz w:val="28"/>
          <w:szCs w:val="28"/>
          <w:shd w:val="clear" w:color="auto" w:fill="FFFFFF"/>
        </w:rPr>
        <w:t>apropiación de los recursos necesarios para su ejecución</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(ii) </w:t>
      </w:r>
      <w:r w:rsidRPr="00152C0F">
        <w:rPr>
          <w:rFonts w:ascii="Times New Roman" w:hAnsi="Times New Roman" w:cs="Times New Roman"/>
          <w:sz w:val="28"/>
          <w:szCs w:val="28"/>
        </w:rPr>
        <w:t>tienen por objeto</w:t>
      </w:r>
      <w:r w:rsidRPr="00152C0F">
        <w:rPr>
          <w:rFonts w:ascii="Times New Roman" w:hAnsi="Times New Roman" w:cs="Times New Roman"/>
          <w:sz w:val="28"/>
          <w:szCs w:val="28"/>
        </w:rPr>
        <w:t xml:space="preserve"> planificar </w:t>
      </w:r>
      <w:r w:rsidRPr="00152C0F">
        <w:rPr>
          <w:rFonts w:ascii="Times New Roman" w:hAnsi="Times New Roman" w:cs="Times New Roman"/>
          <w:sz w:val="28"/>
          <w:szCs w:val="28"/>
        </w:rPr>
        <w:t>la acción gubernamental,</w:t>
      </w:r>
      <w:r w:rsidRPr="00152C0F">
        <w:rPr>
          <w:rFonts w:ascii="Times New Roman" w:hAnsi="Times New Roman" w:cs="Times New Roman"/>
          <w:sz w:val="28"/>
          <w:szCs w:val="28"/>
        </w:rPr>
        <w:t xml:space="preserve"> y (iii) guarda</w:t>
      </w:r>
      <w:r w:rsidRPr="00152C0F">
        <w:rPr>
          <w:rFonts w:ascii="Times New Roman" w:hAnsi="Times New Roman" w:cs="Times New Roman"/>
          <w:sz w:val="28"/>
          <w:szCs w:val="28"/>
        </w:rPr>
        <w:t>n</w:t>
      </w:r>
      <w:r w:rsidRPr="00152C0F">
        <w:rPr>
          <w:rFonts w:ascii="Times New Roman" w:hAnsi="Times New Roman" w:cs="Times New Roman"/>
          <w:sz w:val="28"/>
          <w:szCs w:val="28"/>
        </w:rPr>
        <w:t xml:space="preserve"> conexidad estrecha, directa e inmediata con las </w:t>
      </w:r>
      <w:r w:rsidRPr="00152C0F">
        <w:rPr>
          <w:rFonts w:ascii="Times New Roman" w:hAnsi="Times New Roman" w:cs="Times New Roman"/>
          <w:sz w:val="28"/>
          <w:szCs w:val="28"/>
        </w:rPr>
        <w:t xml:space="preserve">estrategias y </w:t>
      </w:r>
      <w:r w:rsidRPr="00152C0F">
        <w:rPr>
          <w:rFonts w:ascii="Times New Roman" w:hAnsi="Times New Roman" w:cs="Times New Roman"/>
          <w:sz w:val="28"/>
          <w:szCs w:val="28"/>
        </w:rPr>
        <w:t xml:space="preserve">políticas que </w:t>
      </w:r>
      <w:r w:rsidRPr="00152C0F">
        <w:rPr>
          <w:rFonts w:ascii="Times New Roman" w:hAnsi="Times New Roman" w:cs="Times New Roman"/>
          <w:sz w:val="28"/>
          <w:szCs w:val="28"/>
        </w:rPr>
        <w:t>orientan</w:t>
      </w:r>
      <w:r w:rsidRPr="00152C0F">
        <w:rPr>
          <w:rFonts w:ascii="Times New Roman" w:hAnsi="Times New Roman" w:cs="Times New Roman"/>
          <w:sz w:val="28"/>
          <w:szCs w:val="28"/>
        </w:rPr>
        <w:t xml:space="preserve"> la acción del </w:t>
      </w:r>
      <w:r w:rsidRPr="00152C0F">
        <w:rPr>
          <w:rFonts w:ascii="Times New Roman" w:hAnsi="Times New Roman" w:cs="Times New Roman"/>
          <w:sz w:val="28"/>
          <w:szCs w:val="28"/>
        </w:rPr>
        <w:t>g</w:t>
      </w:r>
      <w:r w:rsidRPr="00152C0F">
        <w:rPr>
          <w:rFonts w:ascii="Times New Roman" w:hAnsi="Times New Roman" w:cs="Times New Roman"/>
          <w:sz w:val="28"/>
          <w:szCs w:val="28"/>
        </w:rPr>
        <w:t>obierno para alcanzar</w:t>
      </w:r>
      <w:r w:rsidRPr="00152C0F">
        <w:rPr>
          <w:rFonts w:ascii="Times New Roman" w:hAnsi="Times New Roman" w:cs="Times New Roman"/>
          <w:sz w:val="28"/>
          <w:szCs w:val="28"/>
        </w:rPr>
        <w:t xml:space="preserve"> e</w:t>
      </w:r>
      <w:r w:rsidRPr="00152C0F">
        <w:rPr>
          <w:rFonts w:ascii="Times New Roman" w:hAnsi="Times New Roman" w:cs="Times New Roman"/>
          <w:sz w:val="28"/>
          <w:szCs w:val="28"/>
        </w:rPr>
        <w:t xml:space="preserve">n el </w:t>
      </w:r>
      <w:r w:rsidRPr="00152C0F">
        <w:rPr>
          <w:rFonts w:ascii="Times New Roman" w:hAnsi="Times New Roman" w:cs="Times New Roman"/>
          <w:sz w:val="28"/>
          <w:szCs w:val="28"/>
        </w:rPr>
        <w:t xml:space="preserve">respectivo </w:t>
      </w:r>
      <w:r w:rsidRPr="00152C0F">
        <w:rPr>
          <w:rFonts w:ascii="Times New Roman" w:hAnsi="Times New Roman" w:cs="Times New Roman"/>
          <w:sz w:val="28"/>
          <w:szCs w:val="28"/>
        </w:rPr>
        <w:t>cuatrienio</w:t>
      </w:r>
      <w:r w:rsidRPr="00152C0F">
        <w:rPr>
          <w:rFonts w:ascii="Times New Roman" w:hAnsi="Times New Roman" w:cs="Times New Roman"/>
          <w:sz w:val="28"/>
          <w:szCs w:val="28"/>
        </w:rPr>
        <w:t xml:space="preserve"> los objetivos y metas </w:t>
      </w:r>
      <w:r w:rsidRPr="00152C0F">
        <w:rPr>
          <w:rFonts w:ascii="Times New Roman" w:hAnsi="Times New Roman" w:cs="Times New Roman"/>
          <w:sz w:val="28"/>
          <w:szCs w:val="28"/>
        </w:rPr>
        <w:t>de la acción estatal de mediano y largo plazo</w:t>
      </w:r>
      <w:r w:rsidRPr="00152C0F">
        <w:rPr>
          <w:rFonts w:ascii="Times New Roman" w:hAnsi="Times New Roman" w:cs="Times New Roman"/>
          <w:sz w:val="28"/>
          <w:szCs w:val="28"/>
        </w:rPr>
        <w:t xml:space="preserve"> señalados en la parte general</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con los programas y proyectos </w:t>
      </w:r>
      <w:r w:rsidRPr="00152C0F">
        <w:rPr>
          <w:rFonts w:ascii="Times New Roman" w:hAnsi="Times New Roman" w:cs="Times New Roman"/>
          <w:sz w:val="28"/>
          <w:szCs w:val="28"/>
        </w:rPr>
        <w:t xml:space="preserve">señalados en </w:t>
      </w:r>
      <w:r w:rsidRPr="00152C0F">
        <w:rPr>
          <w:rFonts w:ascii="Times New Roman" w:hAnsi="Times New Roman" w:cs="Times New Roman"/>
          <w:sz w:val="28"/>
          <w:szCs w:val="28"/>
        </w:rPr>
        <w:t>el plan de inversiones</w:t>
      </w:r>
      <w:r w:rsidRPr="00152C0F">
        <w:rPr>
          <w:rStyle w:val="Refdenotaalpie"/>
          <w:rFonts w:ascii="Times New Roman" w:hAnsi="Times New Roman" w:cs="Times New Roman"/>
          <w:sz w:val="28"/>
          <w:szCs w:val="28"/>
        </w:rPr>
        <w:footnoteReference w:id="95"/>
      </w:r>
      <w:r w:rsidRPr="00152C0F">
        <w:rPr>
          <w:rFonts w:ascii="Times New Roman" w:hAnsi="Times New Roman" w:cs="Times New Roman"/>
          <w:sz w:val="28"/>
          <w:szCs w:val="28"/>
        </w:rPr>
        <w:t>.</w:t>
      </w:r>
    </w:p>
    <w:p w:rsidR="00717868" w:rsidRPr="00152C0F" w:rsidRDefault="00152C0F" w:rsidP="00717868">
      <w:pPr>
        <w:pStyle w:val="Prrafodelista"/>
        <w:ind w:left="0"/>
        <w:jc w:val="both"/>
        <w:rPr>
          <w:rFonts w:ascii="Times New Roman" w:hAnsi="Times New Roman" w:cs="Times New Roman"/>
          <w:sz w:val="28"/>
          <w:szCs w:val="28"/>
        </w:rPr>
      </w:pPr>
    </w:p>
    <w:p w:rsidR="00717868"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De lo contrario se trataría de medidas ajenas a la función de planeación que no podrían ser adoptadas mediante el procedimiento legislativo de aprobación del plan nacional de desarrollo y de inversiones públicas a que se refieren el artículo 342 de la Cons</w:t>
      </w:r>
      <w:r w:rsidRPr="00152C0F">
        <w:rPr>
          <w:rFonts w:ascii="Times New Roman" w:hAnsi="Times New Roman" w:cs="Times New Roman"/>
          <w:sz w:val="28"/>
          <w:szCs w:val="28"/>
        </w:rPr>
        <w:t>titución y la Ley Orgánica 152 de 1994 que lo desarrolla, sino mediante el procedimiento legislativo ordinario. Por tal razón, su adopción mediante la ley aprobatoria del plan nacional de desarrollo implica una “elusión material” del debate legislativo que</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se </w:t>
      </w:r>
      <w:r w:rsidRPr="00152C0F">
        <w:rPr>
          <w:rFonts w:ascii="Times New Roman" w:hAnsi="Times New Roman" w:cs="Times New Roman"/>
          <w:sz w:val="28"/>
          <w:szCs w:val="28"/>
        </w:rPr>
        <w:t xml:space="preserve">requiere </w:t>
      </w:r>
      <w:r w:rsidRPr="00152C0F">
        <w:rPr>
          <w:rFonts w:ascii="Times New Roman" w:hAnsi="Times New Roman" w:cs="Times New Roman"/>
          <w:sz w:val="28"/>
          <w:szCs w:val="28"/>
        </w:rPr>
        <w:t xml:space="preserve">para </w:t>
      </w:r>
      <w:r w:rsidRPr="00152C0F">
        <w:rPr>
          <w:rFonts w:ascii="Times New Roman" w:hAnsi="Times New Roman" w:cs="Times New Roman"/>
          <w:sz w:val="28"/>
          <w:szCs w:val="28"/>
        </w:rPr>
        <w:t>la regulación permanente y estructural del ordenamiento jurídico.</w:t>
      </w:r>
    </w:p>
    <w:p w:rsidR="00322D34" w:rsidRPr="00152C0F" w:rsidRDefault="00152C0F" w:rsidP="00A553C9">
      <w:pPr>
        <w:pStyle w:val="Prrafodelista"/>
        <w:ind w:left="0"/>
        <w:jc w:val="both"/>
        <w:rPr>
          <w:rFonts w:ascii="Times New Roman" w:hAnsi="Times New Roman" w:cs="Times New Roman"/>
          <w:sz w:val="28"/>
          <w:szCs w:val="28"/>
          <w:shd w:val="clear" w:color="auto" w:fill="FFFFFF"/>
        </w:rPr>
      </w:pPr>
    </w:p>
    <w:p w:rsidR="00322D34" w:rsidRPr="00152C0F" w:rsidRDefault="00152C0F" w:rsidP="00A17EA0">
      <w:pPr>
        <w:pStyle w:val="Estilo1"/>
        <w:numPr>
          <w:ilvl w:val="0"/>
          <w:numId w:val="4"/>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 xml:space="preserve">Los </w:t>
      </w:r>
      <w:r w:rsidRPr="00152C0F">
        <w:rPr>
          <w:rStyle w:val="Ttulo1Car"/>
          <w:rFonts w:ascii="Times New Roman" w:hAnsi="Times New Roman" w:cs="Times New Roman"/>
          <w:bCs/>
          <w:color w:val="auto"/>
          <w:sz w:val="28"/>
          <w:szCs w:val="28"/>
        </w:rPr>
        <w:t>artículo</w:t>
      </w:r>
      <w:r w:rsidRPr="00152C0F">
        <w:rPr>
          <w:rStyle w:val="Ttulo1Car"/>
          <w:rFonts w:ascii="Times New Roman" w:hAnsi="Times New Roman" w:cs="Times New Roman"/>
          <w:bCs/>
          <w:color w:val="auto"/>
          <w:sz w:val="28"/>
          <w:szCs w:val="28"/>
        </w:rPr>
        <w:t>s</w:t>
      </w:r>
      <w:r w:rsidRPr="00152C0F">
        <w:rPr>
          <w:rStyle w:val="Ttulo1Car"/>
          <w:rFonts w:ascii="Times New Roman" w:hAnsi="Times New Roman" w:cs="Times New Roman"/>
          <w:bCs/>
          <w:color w:val="auto"/>
          <w:sz w:val="28"/>
          <w:szCs w:val="28"/>
        </w:rPr>
        <w:t xml:space="preserve"> </w:t>
      </w:r>
      <w:r w:rsidRPr="00152C0F">
        <w:rPr>
          <w:rStyle w:val="Ttulo1Car"/>
          <w:rFonts w:ascii="Times New Roman" w:hAnsi="Times New Roman" w:cs="Times New Roman"/>
          <w:bCs/>
          <w:color w:val="auto"/>
          <w:sz w:val="28"/>
          <w:szCs w:val="28"/>
        </w:rPr>
        <w:t xml:space="preserve">211 y 212 </w:t>
      </w:r>
      <w:r w:rsidRPr="00152C0F">
        <w:rPr>
          <w:rStyle w:val="Ttulo1Car"/>
          <w:rFonts w:ascii="Times New Roman" w:hAnsi="Times New Roman" w:cs="Times New Roman"/>
          <w:bCs/>
          <w:color w:val="auto"/>
          <w:sz w:val="28"/>
          <w:szCs w:val="28"/>
        </w:rPr>
        <w:t xml:space="preserve">de la Ley 2294 de 2023 </w:t>
      </w:r>
      <w:r w:rsidRPr="00152C0F">
        <w:rPr>
          <w:rStyle w:val="Ttulo1Car"/>
          <w:rFonts w:ascii="Times New Roman" w:hAnsi="Times New Roman" w:cs="Times New Roman"/>
          <w:bCs/>
          <w:color w:val="auto"/>
          <w:sz w:val="28"/>
          <w:szCs w:val="28"/>
        </w:rPr>
        <w:t xml:space="preserve">desconocen </w:t>
      </w:r>
      <w:r w:rsidRPr="00152C0F">
        <w:rPr>
          <w:rStyle w:val="Ttulo1Car"/>
          <w:rFonts w:ascii="Times New Roman" w:hAnsi="Times New Roman" w:cs="Times New Roman"/>
          <w:bCs/>
          <w:color w:val="auto"/>
          <w:sz w:val="28"/>
          <w:szCs w:val="28"/>
        </w:rPr>
        <w:t xml:space="preserve">las exigencias normativas del principio </w:t>
      </w:r>
      <w:r w:rsidRPr="00152C0F">
        <w:rPr>
          <w:rStyle w:val="Ttulo1Car"/>
          <w:rFonts w:ascii="Times New Roman" w:hAnsi="Times New Roman" w:cs="Times New Roman"/>
          <w:bCs/>
          <w:color w:val="auto"/>
          <w:sz w:val="28"/>
          <w:szCs w:val="28"/>
        </w:rPr>
        <w:t xml:space="preserve">constitucional </w:t>
      </w:r>
      <w:r w:rsidRPr="00152C0F">
        <w:rPr>
          <w:rStyle w:val="Ttulo1Car"/>
          <w:rFonts w:ascii="Times New Roman" w:hAnsi="Times New Roman" w:cs="Times New Roman"/>
          <w:bCs/>
          <w:color w:val="auto"/>
          <w:sz w:val="28"/>
          <w:szCs w:val="28"/>
        </w:rPr>
        <w:t xml:space="preserve">de unidad de materia, y, por tanto, </w:t>
      </w:r>
      <w:r w:rsidRPr="00152C0F">
        <w:rPr>
          <w:rStyle w:val="Ttulo1Car"/>
          <w:rFonts w:ascii="Times New Roman" w:hAnsi="Times New Roman" w:cs="Times New Roman"/>
          <w:bCs/>
          <w:color w:val="auto"/>
          <w:sz w:val="28"/>
          <w:szCs w:val="28"/>
        </w:rPr>
        <w:t>son</w:t>
      </w:r>
      <w:r w:rsidRPr="00152C0F">
        <w:rPr>
          <w:rStyle w:val="Ttulo1Car"/>
          <w:rFonts w:ascii="Times New Roman" w:hAnsi="Times New Roman" w:cs="Times New Roman"/>
          <w:bCs/>
          <w:color w:val="auto"/>
          <w:sz w:val="28"/>
          <w:szCs w:val="28"/>
        </w:rPr>
        <w:t xml:space="preserve"> </w:t>
      </w:r>
      <w:r w:rsidRPr="00152C0F">
        <w:rPr>
          <w:rStyle w:val="Ttulo1Car"/>
          <w:rFonts w:ascii="Times New Roman" w:hAnsi="Times New Roman" w:cs="Times New Roman"/>
          <w:bCs/>
          <w:color w:val="auto"/>
          <w:sz w:val="28"/>
          <w:szCs w:val="28"/>
        </w:rPr>
        <w:t>in</w:t>
      </w:r>
      <w:r w:rsidRPr="00152C0F">
        <w:rPr>
          <w:rStyle w:val="Ttulo1Car"/>
          <w:rFonts w:ascii="Times New Roman" w:hAnsi="Times New Roman" w:cs="Times New Roman"/>
          <w:bCs/>
          <w:color w:val="auto"/>
          <w:sz w:val="28"/>
          <w:szCs w:val="28"/>
        </w:rPr>
        <w:t>constitucionales</w:t>
      </w:r>
    </w:p>
    <w:p w:rsidR="00322D34" w:rsidRPr="00152C0F" w:rsidRDefault="00152C0F" w:rsidP="00A553C9">
      <w:pPr>
        <w:shd w:val="clear" w:color="auto" w:fill="FFFFFF"/>
        <w:ind w:right="51"/>
        <w:jc w:val="both"/>
        <w:rPr>
          <w:rFonts w:ascii="Times New Roman" w:hAnsi="Times New Roman" w:cs="Times New Roman"/>
          <w:sz w:val="28"/>
          <w:szCs w:val="28"/>
        </w:rPr>
      </w:pPr>
    </w:p>
    <w:p w:rsidR="00B30FD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lang w:val="es-ES" w:eastAsia="es-ES"/>
        </w:rPr>
        <w:t xml:space="preserve">El principio </w:t>
      </w:r>
      <w:r w:rsidRPr="00152C0F">
        <w:rPr>
          <w:rFonts w:ascii="Times New Roman" w:hAnsi="Times New Roman" w:cs="Times New Roman"/>
          <w:sz w:val="28"/>
          <w:szCs w:val="28"/>
          <w:lang w:val="es-ES" w:eastAsia="es-ES"/>
        </w:rPr>
        <w:t xml:space="preserve">constitucional </w:t>
      </w:r>
      <w:r w:rsidRPr="00152C0F">
        <w:rPr>
          <w:rFonts w:ascii="Times New Roman" w:hAnsi="Times New Roman" w:cs="Times New Roman"/>
          <w:sz w:val="28"/>
          <w:szCs w:val="28"/>
          <w:lang w:val="es-ES" w:eastAsia="es-ES"/>
        </w:rPr>
        <w:t xml:space="preserve">de unidad de materia, </w:t>
      </w:r>
      <w:r w:rsidRPr="00152C0F">
        <w:rPr>
          <w:rFonts w:ascii="Times New Roman" w:hAnsi="Times New Roman" w:cs="Times New Roman"/>
          <w:sz w:val="28"/>
          <w:szCs w:val="28"/>
          <w:lang w:val="es-ES" w:eastAsia="es-ES"/>
        </w:rPr>
        <w:t xml:space="preserve">que se deriva de </w:t>
      </w:r>
      <w:r w:rsidRPr="00152C0F">
        <w:rPr>
          <w:rFonts w:ascii="Times New Roman" w:hAnsi="Times New Roman" w:cs="Times New Roman"/>
          <w:sz w:val="28"/>
          <w:szCs w:val="28"/>
          <w:lang w:val="es-ES" w:eastAsia="es-ES"/>
        </w:rPr>
        <w:t xml:space="preserve">los artículos 158 y 169 de la Constitución, exige que todas las disposiciones contenidas en una ley guarden una conexidad directa y específica con </w:t>
      </w:r>
      <w:r w:rsidRPr="00152C0F">
        <w:rPr>
          <w:rFonts w:ascii="Times New Roman" w:hAnsi="Times New Roman" w:cs="Times New Roman"/>
          <w:sz w:val="28"/>
          <w:szCs w:val="28"/>
          <w:lang w:val="es-ES" w:eastAsia="es-ES"/>
        </w:rPr>
        <w:t>la</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materia </w:t>
      </w:r>
      <w:r w:rsidRPr="00152C0F">
        <w:rPr>
          <w:rFonts w:ascii="Times New Roman" w:hAnsi="Times New Roman" w:cs="Times New Roman"/>
          <w:sz w:val="28"/>
          <w:szCs w:val="28"/>
          <w:lang w:val="es-ES" w:eastAsia="es-ES"/>
        </w:rPr>
        <w:t>objeto de regulación</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En relación con las disposiciones de la ley aprobatoria del plan nacional de desarrollo, la jurisprudencia constitucional ha </w:t>
      </w:r>
      <w:r w:rsidRPr="00152C0F">
        <w:rPr>
          <w:rFonts w:ascii="Times New Roman" w:hAnsi="Times New Roman" w:cs="Times New Roman"/>
          <w:sz w:val="28"/>
          <w:szCs w:val="28"/>
          <w:lang w:val="es-ES" w:eastAsia="es-ES"/>
        </w:rPr>
        <w:t>establecido</w:t>
      </w:r>
      <w:r w:rsidRPr="00152C0F">
        <w:rPr>
          <w:rFonts w:ascii="Times New Roman" w:hAnsi="Times New Roman" w:cs="Times New Roman"/>
          <w:sz w:val="28"/>
          <w:szCs w:val="28"/>
          <w:lang w:val="es-ES" w:eastAsia="es-ES"/>
        </w:rPr>
        <w:t xml:space="preserve"> una metodología </w:t>
      </w:r>
      <w:r w:rsidRPr="00152C0F">
        <w:rPr>
          <w:rFonts w:ascii="Times New Roman" w:hAnsi="Times New Roman" w:cs="Times New Roman"/>
          <w:sz w:val="28"/>
          <w:szCs w:val="28"/>
          <w:lang w:val="es-ES" w:eastAsia="es-ES"/>
        </w:rPr>
        <w:t xml:space="preserve">específica </w:t>
      </w:r>
      <w:r w:rsidRPr="00152C0F">
        <w:rPr>
          <w:rFonts w:ascii="Times New Roman" w:hAnsi="Times New Roman" w:cs="Times New Roman"/>
          <w:sz w:val="28"/>
          <w:szCs w:val="28"/>
          <w:lang w:val="es-ES" w:eastAsia="es-ES"/>
        </w:rPr>
        <w:t>de control</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cuyo estándar </w:t>
      </w:r>
      <w:r w:rsidRPr="00152C0F">
        <w:rPr>
          <w:rFonts w:ascii="Times New Roman" w:hAnsi="Times New Roman" w:cs="Times New Roman"/>
          <w:sz w:val="28"/>
          <w:szCs w:val="28"/>
          <w:lang w:val="es-ES" w:eastAsia="es-ES"/>
        </w:rPr>
        <w:t xml:space="preserve">es </w:t>
      </w:r>
      <w:r w:rsidRPr="00152C0F">
        <w:rPr>
          <w:rFonts w:ascii="Times New Roman" w:hAnsi="Times New Roman" w:cs="Times New Roman"/>
          <w:sz w:val="28"/>
          <w:szCs w:val="28"/>
          <w:lang w:val="es-ES" w:eastAsia="es-ES"/>
        </w:rPr>
        <w:t>más estricto</w:t>
      </w:r>
      <w:r w:rsidRPr="00152C0F">
        <w:rPr>
          <w:rFonts w:ascii="Times New Roman" w:hAnsi="Times New Roman" w:cs="Times New Roman"/>
          <w:sz w:val="28"/>
          <w:szCs w:val="28"/>
          <w:lang w:val="es-ES" w:eastAsia="es-ES"/>
        </w:rPr>
        <w:t>, en particular cuando se trata de</w:t>
      </w:r>
      <w:r w:rsidRPr="00152C0F">
        <w:rPr>
          <w:rFonts w:ascii="Times New Roman" w:hAnsi="Times New Roman" w:cs="Times New Roman"/>
          <w:sz w:val="28"/>
          <w:szCs w:val="28"/>
          <w:lang w:val="es-ES" w:eastAsia="es-ES"/>
        </w:rPr>
        <w:t xml:space="preserve"> medidas que intro</w:t>
      </w:r>
      <w:r w:rsidRPr="00152C0F">
        <w:rPr>
          <w:rFonts w:ascii="Times New Roman" w:hAnsi="Times New Roman" w:cs="Times New Roman"/>
          <w:sz w:val="28"/>
          <w:szCs w:val="28"/>
          <w:lang w:val="es-ES" w:eastAsia="es-ES"/>
        </w:rPr>
        <w:t xml:space="preserve">ducen </w:t>
      </w:r>
      <w:r w:rsidRPr="00152C0F">
        <w:rPr>
          <w:rStyle w:val="Ttulo1Car"/>
          <w:rFonts w:ascii="Times New Roman" w:hAnsi="Times New Roman" w:cs="Times New Roman"/>
          <w:b w:val="0"/>
          <w:bCs/>
          <w:color w:val="auto"/>
          <w:sz w:val="28"/>
          <w:szCs w:val="28"/>
        </w:rPr>
        <w:t xml:space="preserve">modificaciones </w:t>
      </w:r>
      <w:r w:rsidRPr="00152C0F">
        <w:rPr>
          <w:rStyle w:val="Ttulo1Car"/>
          <w:rFonts w:ascii="Times New Roman" w:hAnsi="Times New Roman" w:cs="Times New Roman"/>
          <w:b w:val="0"/>
          <w:bCs/>
          <w:color w:val="auto"/>
          <w:sz w:val="28"/>
          <w:szCs w:val="28"/>
        </w:rPr>
        <w:t xml:space="preserve">a la legislación </w:t>
      </w:r>
      <w:r w:rsidRPr="00152C0F">
        <w:rPr>
          <w:rStyle w:val="Ttulo1Car"/>
          <w:rFonts w:ascii="Times New Roman" w:hAnsi="Times New Roman" w:cs="Times New Roman"/>
          <w:b w:val="0"/>
          <w:bCs/>
          <w:color w:val="auto"/>
          <w:sz w:val="28"/>
          <w:szCs w:val="28"/>
        </w:rPr>
        <w:t>permanente</w:t>
      </w:r>
      <w:r w:rsidRPr="00152C0F">
        <w:rPr>
          <w:rStyle w:val="Ttulo1Car"/>
          <w:rFonts w:ascii="Times New Roman" w:hAnsi="Times New Roman" w:cs="Times New Roman"/>
          <w:b w:val="0"/>
          <w:bCs/>
          <w:color w:val="auto"/>
          <w:sz w:val="28"/>
          <w:szCs w:val="28"/>
        </w:rPr>
        <w:t xml:space="preserve"> o</w:t>
      </w:r>
      <w:r w:rsidRPr="00152C0F">
        <w:rPr>
          <w:rStyle w:val="Ttulo1Car"/>
          <w:rFonts w:ascii="Times New Roman" w:hAnsi="Times New Roman" w:cs="Times New Roman"/>
          <w:b w:val="0"/>
          <w:bCs/>
          <w:color w:val="auto"/>
          <w:sz w:val="28"/>
          <w:szCs w:val="28"/>
        </w:rPr>
        <w:t xml:space="preserve"> </w:t>
      </w:r>
      <w:r w:rsidRPr="00152C0F">
        <w:rPr>
          <w:rStyle w:val="Ttulo1Car"/>
          <w:rFonts w:ascii="Times New Roman" w:hAnsi="Times New Roman" w:cs="Times New Roman"/>
          <w:b w:val="0"/>
          <w:bCs/>
          <w:color w:val="auto"/>
          <w:sz w:val="28"/>
          <w:szCs w:val="28"/>
        </w:rPr>
        <w:t>cuya vigencia supera el respectivo periodo cuatrienal de gobierno.</w:t>
      </w:r>
    </w:p>
    <w:p w:rsidR="00B30FDB" w:rsidRPr="00152C0F" w:rsidRDefault="00152C0F" w:rsidP="00B30FDB">
      <w:pPr>
        <w:pStyle w:val="Prrafodelista"/>
        <w:ind w:left="0"/>
        <w:jc w:val="both"/>
        <w:rPr>
          <w:rFonts w:ascii="Times New Roman" w:hAnsi="Times New Roman" w:cs="Times New Roman"/>
          <w:sz w:val="28"/>
          <w:szCs w:val="28"/>
        </w:rPr>
      </w:pPr>
    </w:p>
    <w:p w:rsidR="00B8312D"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lang w:val="es-ES" w:eastAsia="es-ES"/>
        </w:rPr>
        <w:t>La compatibilidad de l</w:t>
      </w:r>
      <w:r w:rsidRPr="00152C0F">
        <w:rPr>
          <w:rFonts w:ascii="Times New Roman" w:hAnsi="Times New Roman" w:cs="Times New Roman"/>
          <w:sz w:val="28"/>
          <w:szCs w:val="28"/>
          <w:lang w:val="es-ES" w:eastAsia="es-ES"/>
        </w:rPr>
        <w:t>os artículos 211 y 212 de la Ley 2294 de 2023</w:t>
      </w:r>
      <w:r w:rsidRPr="00152C0F">
        <w:rPr>
          <w:rFonts w:ascii="Times New Roman" w:hAnsi="Times New Roman" w:cs="Times New Roman"/>
          <w:sz w:val="28"/>
          <w:szCs w:val="28"/>
          <w:lang w:val="es-ES" w:eastAsia="es-ES"/>
        </w:rPr>
        <w:t xml:space="preserve"> con el principio constitucional de unidad de materia debe ser </w:t>
      </w:r>
      <w:r w:rsidRPr="00152C0F">
        <w:rPr>
          <w:rFonts w:ascii="Times New Roman" w:hAnsi="Times New Roman" w:cs="Times New Roman"/>
          <w:sz w:val="28"/>
          <w:szCs w:val="28"/>
          <w:lang w:val="es-ES" w:eastAsia="es-ES"/>
        </w:rPr>
        <w:t xml:space="preserve">evaluada a partir de este estándar </w:t>
      </w:r>
      <w:r w:rsidRPr="00152C0F">
        <w:rPr>
          <w:rFonts w:ascii="Times New Roman" w:hAnsi="Times New Roman" w:cs="Times New Roman"/>
          <w:sz w:val="28"/>
          <w:szCs w:val="28"/>
          <w:lang w:val="es-ES" w:eastAsia="es-ES"/>
        </w:rPr>
        <w:t>de control</w:t>
      </w:r>
      <w:r w:rsidRPr="00152C0F">
        <w:rPr>
          <w:rFonts w:ascii="Times New Roman" w:hAnsi="Times New Roman" w:cs="Times New Roman"/>
          <w:sz w:val="28"/>
          <w:szCs w:val="28"/>
          <w:lang w:val="es-ES" w:eastAsia="es-ES"/>
        </w:rPr>
        <w:t xml:space="preserve">, dado que </w:t>
      </w:r>
      <w:r w:rsidRPr="00152C0F">
        <w:rPr>
          <w:rFonts w:ascii="Times New Roman" w:hAnsi="Times New Roman" w:cs="Times New Roman"/>
          <w:sz w:val="28"/>
          <w:szCs w:val="28"/>
          <w:lang w:val="es-ES" w:eastAsia="es-ES"/>
        </w:rPr>
        <w:t xml:space="preserve">modifican de manera </w:t>
      </w:r>
      <w:r w:rsidRPr="00152C0F">
        <w:rPr>
          <w:rFonts w:ascii="Times New Roman" w:hAnsi="Times New Roman" w:cs="Times New Roman"/>
          <w:sz w:val="28"/>
          <w:szCs w:val="28"/>
          <w:lang w:val="es-ES" w:eastAsia="es-ES"/>
        </w:rPr>
        <w:t>sustancial</w:t>
      </w:r>
      <w:r w:rsidRPr="00152C0F">
        <w:rPr>
          <w:rFonts w:ascii="Times New Roman" w:hAnsi="Times New Roman" w:cs="Times New Roman"/>
          <w:sz w:val="28"/>
          <w:szCs w:val="28"/>
          <w:lang w:val="es-ES" w:eastAsia="es-ES"/>
        </w:rPr>
        <w:t xml:space="preserve"> y permanente el régimen de extinción de dominio</w:t>
      </w:r>
      <w:r w:rsidRPr="00152C0F">
        <w:rPr>
          <w:rFonts w:ascii="Times New Roman" w:hAnsi="Times New Roman" w:cs="Times New Roman"/>
          <w:sz w:val="28"/>
          <w:szCs w:val="28"/>
          <w:lang w:val="es-ES" w:eastAsia="es-ES"/>
        </w:rPr>
        <w:t>,</w:t>
      </w:r>
      <w:r w:rsidRPr="00152C0F">
        <w:rPr>
          <w:rFonts w:ascii="Times New Roman" w:hAnsi="Times New Roman" w:cs="Times New Roman"/>
          <w:sz w:val="28"/>
          <w:szCs w:val="28"/>
          <w:lang w:val="es-ES" w:eastAsia="es-ES"/>
        </w:rPr>
        <w:t xml:space="preserve"> al establecer que los bienes administrados por la SAE no pued</w:t>
      </w:r>
      <w:r w:rsidRPr="00152C0F">
        <w:rPr>
          <w:rFonts w:ascii="Times New Roman" w:hAnsi="Times New Roman" w:cs="Times New Roman"/>
          <w:sz w:val="28"/>
          <w:szCs w:val="28"/>
          <w:lang w:val="es-ES" w:eastAsia="es-ES"/>
        </w:rPr>
        <w:t>a</w:t>
      </w:r>
      <w:r w:rsidRPr="00152C0F">
        <w:rPr>
          <w:rFonts w:ascii="Times New Roman" w:hAnsi="Times New Roman" w:cs="Times New Roman"/>
          <w:sz w:val="28"/>
          <w:szCs w:val="28"/>
          <w:lang w:val="es-ES" w:eastAsia="es-ES"/>
        </w:rPr>
        <w:t>n ser adquiridos por prescripción y que las medidas cautel</w:t>
      </w:r>
      <w:r w:rsidRPr="00152C0F">
        <w:rPr>
          <w:rFonts w:ascii="Times New Roman" w:hAnsi="Times New Roman" w:cs="Times New Roman"/>
          <w:sz w:val="28"/>
          <w:szCs w:val="28"/>
          <w:lang w:val="es-ES" w:eastAsia="es-ES"/>
        </w:rPr>
        <w:t xml:space="preserve">ares en los procesos de extinción de dominio se </w:t>
      </w:r>
      <w:r w:rsidRPr="00152C0F">
        <w:rPr>
          <w:rFonts w:ascii="Times New Roman" w:hAnsi="Times New Roman" w:cs="Times New Roman"/>
          <w:sz w:val="28"/>
          <w:szCs w:val="28"/>
          <w:lang w:val="es-ES" w:eastAsia="es-ES"/>
        </w:rPr>
        <w:t xml:space="preserve">mantengan </w:t>
      </w:r>
      <w:r w:rsidRPr="00152C0F">
        <w:rPr>
          <w:rFonts w:ascii="Times New Roman" w:hAnsi="Times New Roman" w:cs="Times New Roman"/>
          <w:sz w:val="28"/>
          <w:szCs w:val="28"/>
          <w:lang w:val="es-ES" w:eastAsia="es-ES"/>
        </w:rPr>
        <w:t xml:space="preserve">vigentes hasta </w:t>
      </w:r>
      <w:r w:rsidRPr="00152C0F">
        <w:rPr>
          <w:rFonts w:ascii="Times New Roman" w:hAnsi="Times New Roman" w:cs="Times New Roman"/>
          <w:sz w:val="28"/>
          <w:szCs w:val="28"/>
          <w:lang w:val="es-ES" w:eastAsia="es-ES"/>
        </w:rPr>
        <w:t xml:space="preserve">tanto </w:t>
      </w:r>
      <w:r w:rsidRPr="00152C0F">
        <w:rPr>
          <w:rFonts w:ascii="Times New Roman" w:hAnsi="Times New Roman" w:cs="Times New Roman"/>
          <w:sz w:val="28"/>
          <w:szCs w:val="28"/>
          <w:lang w:val="es-ES" w:eastAsia="es-ES"/>
        </w:rPr>
        <w:t xml:space="preserve">exista una decisión judicial o </w:t>
      </w:r>
      <w:r w:rsidRPr="00152C0F">
        <w:rPr>
          <w:rFonts w:ascii="Times New Roman" w:hAnsi="Times New Roman" w:cs="Times New Roman"/>
          <w:sz w:val="28"/>
          <w:szCs w:val="28"/>
          <w:lang w:val="es-ES" w:eastAsia="es-ES"/>
        </w:rPr>
        <w:t>sentencia ejecutoriada.</w:t>
      </w:r>
    </w:p>
    <w:p w:rsidR="00663F8D" w:rsidRPr="00152C0F" w:rsidRDefault="00152C0F" w:rsidP="00663F8D">
      <w:pPr>
        <w:pStyle w:val="Prrafodelista"/>
        <w:rPr>
          <w:rFonts w:ascii="Times New Roman" w:hAnsi="Times New Roman" w:cs="Times New Roman"/>
          <w:sz w:val="28"/>
          <w:szCs w:val="28"/>
        </w:rPr>
      </w:pPr>
    </w:p>
    <w:p w:rsidR="00C30AD0" w:rsidRPr="00152C0F" w:rsidRDefault="00152C0F" w:rsidP="00A17EA0">
      <w:pPr>
        <w:pStyle w:val="Prrafodelista"/>
        <w:numPr>
          <w:ilvl w:val="0"/>
          <w:numId w:val="2"/>
        </w:numPr>
        <w:ind w:left="0" w:firstLine="0"/>
        <w:jc w:val="both"/>
        <w:rPr>
          <w:rFonts w:ascii="Times New Roman" w:hAnsi="Times New Roman" w:cs="Times New Roman"/>
          <w:sz w:val="28"/>
          <w:szCs w:val="28"/>
          <w:lang w:val="es-ES"/>
        </w:rPr>
      </w:pPr>
      <w:r w:rsidRPr="00152C0F">
        <w:rPr>
          <w:rFonts w:ascii="Times New Roman" w:hAnsi="Times New Roman" w:cs="Times New Roman"/>
          <w:sz w:val="28"/>
          <w:szCs w:val="28"/>
        </w:rPr>
        <w:t xml:space="preserve">Para la Sala, como se </w:t>
      </w:r>
      <w:r w:rsidRPr="00152C0F">
        <w:rPr>
          <w:rFonts w:ascii="Times New Roman" w:hAnsi="Times New Roman" w:cs="Times New Roman"/>
          <w:sz w:val="28"/>
          <w:szCs w:val="28"/>
        </w:rPr>
        <w:t>explica</w:t>
      </w:r>
      <w:r w:rsidRPr="00152C0F">
        <w:rPr>
          <w:rFonts w:ascii="Times New Roman" w:hAnsi="Times New Roman" w:cs="Times New Roman"/>
          <w:sz w:val="28"/>
          <w:szCs w:val="28"/>
        </w:rPr>
        <w:t xml:space="preserve"> a continuación, </w:t>
      </w:r>
      <w:r w:rsidRPr="00152C0F">
        <w:rPr>
          <w:rFonts w:ascii="Times New Roman" w:hAnsi="Times New Roman" w:cs="Times New Roman"/>
          <w:sz w:val="28"/>
          <w:szCs w:val="28"/>
          <w:lang w:val="es-ES"/>
        </w:rPr>
        <w:t xml:space="preserve">estas disposiciones </w:t>
      </w:r>
      <w:r w:rsidRPr="00152C0F">
        <w:rPr>
          <w:rFonts w:ascii="Times New Roman" w:hAnsi="Times New Roman" w:cs="Times New Roman"/>
          <w:sz w:val="28"/>
          <w:szCs w:val="28"/>
          <w:lang w:val="es-ES"/>
        </w:rPr>
        <w:t>son</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inconstitucionales</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por violar el </w:t>
      </w:r>
      <w:r w:rsidRPr="00152C0F">
        <w:rPr>
          <w:rFonts w:ascii="Times New Roman" w:hAnsi="Times New Roman" w:cs="Times New Roman"/>
          <w:sz w:val="28"/>
          <w:szCs w:val="28"/>
          <w:lang w:val="es-ES"/>
        </w:rPr>
        <w:t xml:space="preserve">citado </w:t>
      </w:r>
      <w:r w:rsidRPr="00152C0F">
        <w:rPr>
          <w:rFonts w:ascii="Times New Roman" w:hAnsi="Times New Roman" w:cs="Times New Roman"/>
          <w:sz w:val="28"/>
          <w:szCs w:val="28"/>
          <w:lang w:val="es-ES"/>
        </w:rPr>
        <w:t>principio</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ya que</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si bien se trata de </w:t>
      </w:r>
      <w:r w:rsidRPr="00152C0F">
        <w:rPr>
          <w:rFonts w:ascii="Times New Roman" w:hAnsi="Times New Roman" w:cs="Times New Roman"/>
          <w:sz w:val="28"/>
          <w:szCs w:val="28"/>
          <w:lang w:val="es-ES" w:eastAsia="es-ES"/>
        </w:rPr>
        <w:t xml:space="preserve">disposiciones </w:t>
      </w:r>
      <w:r w:rsidRPr="00152C0F">
        <w:rPr>
          <w:rFonts w:ascii="Times New Roman" w:hAnsi="Times New Roman" w:cs="Times New Roman"/>
          <w:i/>
          <w:iCs/>
          <w:sz w:val="28"/>
          <w:szCs w:val="28"/>
          <w:lang w:val="es-ES" w:eastAsia="es-ES"/>
        </w:rPr>
        <w:t>formalmente</w:t>
      </w:r>
      <w:r w:rsidRPr="00152C0F">
        <w:rPr>
          <w:rFonts w:ascii="Times New Roman" w:hAnsi="Times New Roman" w:cs="Times New Roman"/>
          <w:sz w:val="28"/>
          <w:szCs w:val="28"/>
          <w:lang w:val="es-ES" w:eastAsia="es-ES"/>
        </w:rPr>
        <w:t xml:space="preserve"> instrumentales, no corresponden </w:t>
      </w:r>
      <w:r w:rsidRPr="00152C0F">
        <w:rPr>
          <w:rFonts w:ascii="Times New Roman" w:hAnsi="Times New Roman" w:cs="Times New Roman"/>
          <w:sz w:val="28"/>
          <w:szCs w:val="28"/>
          <w:lang w:val="es-ES" w:eastAsia="es-ES"/>
        </w:rPr>
        <w:t xml:space="preserve">en estricto sentido </w:t>
      </w:r>
      <w:r w:rsidRPr="00152C0F">
        <w:rPr>
          <w:rFonts w:ascii="Times New Roman" w:hAnsi="Times New Roman" w:cs="Times New Roman"/>
          <w:sz w:val="28"/>
          <w:szCs w:val="28"/>
          <w:lang w:val="es-ES" w:eastAsia="es-ES"/>
        </w:rPr>
        <w:t>a medidas instrumentales</w:t>
      </w:r>
      <w:r w:rsidRPr="00152C0F">
        <w:rPr>
          <w:rFonts w:ascii="Times New Roman" w:hAnsi="Times New Roman" w:cs="Times New Roman"/>
          <w:sz w:val="28"/>
          <w:szCs w:val="28"/>
          <w:lang w:val="es-ES" w:eastAsia="es-ES"/>
        </w:rPr>
        <w:t>,</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si se valora </w:t>
      </w:r>
      <w:r w:rsidRPr="00152C0F">
        <w:rPr>
          <w:rFonts w:ascii="Times New Roman" w:hAnsi="Times New Roman" w:cs="Times New Roman"/>
          <w:sz w:val="28"/>
          <w:szCs w:val="28"/>
          <w:lang w:val="es-ES" w:eastAsia="es-ES"/>
        </w:rPr>
        <w:t>su contenido</w:t>
      </w:r>
      <w:r w:rsidRPr="00152C0F">
        <w:rPr>
          <w:rFonts w:ascii="Times New Roman" w:hAnsi="Times New Roman" w:cs="Times New Roman"/>
          <w:sz w:val="28"/>
          <w:szCs w:val="28"/>
          <w:lang w:val="es-ES" w:eastAsia="es-ES"/>
        </w:rPr>
        <w:t xml:space="preserve"> sustantivo</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rPr>
        <w:t xml:space="preserve">introducen </w:t>
      </w:r>
      <w:r w:rsidRPr="00152C0F">
        <w:rPr>
          <w:rFonts w:ascii="Times New Roman" w:hAnsi="Times New Roman" w:cs="Times New Roman"/>
          <w:sz w:val="28"/>
          <w:szCs w:val="28"/>
          <w:lang w:val="es-ES"/>
        </w:rPr>
        <w:t xml:space="preserve">modificaciones </w:t>
      </w:r>
      <w:r w:rsidRPr="00152C0F">
        <w:rPr>
          <w:rFonts w:ascii="Times New Roman" w:hAnsi="Times New Roman" w:cs="Times New Roman"/>
          <w:sz w:val="28"/>
          <w:szCs w:val="28"/>
          <w:lang w:val="es-ES"/>
        </w:rPr>
        <w:t xml:space="preserve">estructurales y </w:t>
      </w:r>
      <w:r w:rsidRPr="00152C0F">
        <w:rPr>
          <w:rFonts w:ascii="Times New Roman" w:hAnsi="Times New Roman" w:cs="Times New Roman"/>
          <w:sz w:val="28"/>
          <w:szCs w:val="28"/>
          <w:lang w:val="es-ES"/>
        </w:rPr>
        <w:t xml:space="preserve">permanentes </w:t>
      </w:r>
      <w:r w:rsidRPr="00152C0F">
        <w:rPr>
          <w:rFonts w:ascii="Times New Roman" w:hAnsi="Times New Roman" w:cs="Times New Roman"/>
          <w:sz w:val="28"/>
          <w:szCs w:val="28"/>
          <w:lang w:val="es-ES"/>
        </w:rPr>
        <w:t>a</w:t>
      </w:r>
      <w:r w:rsidRPr="00152C0F">
        <w:rPr>
          <w:rFonts w:ascii="Times New Roman" w:hAnsi="Times New Roman" w:cs="Times New Roman"/>
          <w:sz w:val="28"/>
          <w:szCs w:val="28"/>
          <w:lang w:val="es-ES"/>
        </w:rPr>
        <w:t xml:space="preserve">l régimen de extinción de </w:t>
      </w:r>
      <w:r w:rsidRPr="00152C0F">
        <w:rPr>
          <w:rFonts w:ascii="Times New Roman" w:hAnsi="Times New Roman" w:cs="Times New Roman"/>
          <w:sz w:val="28"/>
          <w:szCs w:val="28"/>
          <w:lang w:val="es-ES"/>
        </w:rPr>
        <w:t>dominio</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sin que </w:t>
      </w:r>
      <w:r w:rsidRPr="00152C0F">
        <w:rPr>
          <w:rFonts w:ascii="Times New Roman" w:hAnsi="Times New Roman" w:cs="Times New Roman"/>
          <w:sz w:val="28"/>
          <w:szCs w:val="28"/>
          <w:lang w:val="es-ES"/>
        </w:rPr>
        <w:t>se pued</w:t>
      </w:r>
      <w:r w:rsidRPr="00152C0F">
        <w:rPr>
          <w:rFonts w:ascii="Times New Roman" w:hAnsi="Times New Roman" w:cs="Times New Roman"/>
          <w:sz w:val="28"/>
          <w:szCs w:val="28"/>
          <w:lang w:val="es-ES"/>
        </w:rPr>
        <w:t>e</w:t>
      </w:r>
      <w:r w:rsidRPr="00152C0F">
        <w:rPr>
          <w:rFonts w:ascii="Times New Roman" w:hAnsi="Times New Roman" w:cs="Times New Roman"/>
          <w:sz w:val="28"/>
          <w:szCs w:val="28"/>
          <w:lang w:val="es-ES"/>
        </w:rPr>
        <w:t xml:space="preserve"> acreditar </w:t>
      </w:r>
      <w:r w:rsidRPr="00152C0F">
        <w:rPr>
          <w:rFonts w:ascii="Times New Roman" w:hAnsi="Times New Roman" w:cs="Times New Roman"/>
          <w:sz w:val="28"/>
          <w:szCs w:val="28"/>
          <w:lang w:val="es-ES"/>
        </w:rPr>
        <w:t xml:space="preserve">una relación de conexidad directa e inmediata </w:t>
      </w:r>
      <w:r w:rsidRPr="00152C0F">
        <w:rPr>
          <w:rFonts w:ascii="Times New Roman" w:hAnsi="Times New Roman" w:cs="Times New Roman"/>
          <w:sz w:val="28"/>
          <w:szCs w:val="28"/>
        </w:rPr>
        <w:t>con las</w:t>
      </w:r>
      <w:r w:rsidRPr="00152C0F">
        <w:rPr>
          <w:rFonts w:ascii="Times New Roman" w:hAnsi="Times New Roman" w:cs="Times New Roman"/>
          <w:sz w:val="28"/>
          <w:szCs w:val="28"/>
        </w:rPr>
        <w:t xml:space="preserve"> estrategias y</w:t>
      </w:r>
      <w:r w:rsidRPr="00152C0F">
        <w:rPr>
          <w:rFonts w:ascii="Times New Roman" w:hAnsi="Times New Roman" w:cs="Times New Roman"/>
          <w:sz w:val="28"/>
          <w:szCs w:val="28"/>
        </w:rPr>
        <w:t xml:space="preserve"> políticas </w:t>
      </w:r>
      <w:r w:rsidRPr="00152C0F">
        <w:rPr>
          <w:rFonts w:ascii="Times New Roman" w:hAnsi="Times New Roman" w:cs="Times New Roman"/>
          <w:sz w:val="28"/>
          <w:szCs w:val="28"/>
        </w:rPr>
        <w:t>previstas en</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la parte general, </w:t>
      </w:r>
      <w:r w:rsidRPr="00152C0F">
        <w:rPr>
          <w:rFonts w:ascii="Times New Roman" w:hAnsi="Times New Roman" w:cs="Times New Roman"/>
          <w:sz w:val="28"/>
          <w:szCs w:val="28"/>
        </w:rPr>
        <w:t xml:space="preserve">ni </w:t>
      </w:r>
      <w:r w:rsidRPr="00152C0F">
        <w:rPr>
          <w:rFonts w:ascii="Times New Roman" w:hAnsi="Times New Roman" w:cs="Times New Roman"/>
          <w:sz w:val="28"/>
          <w:szCs w:val="28"/>
        </w:rPr>
        <w:t xml:space="preserve">con los programas y proyectos </w:t>
      </w:r>
      <w:r w:rsidRPr="00152C0F">
        <w:rPr>
          <w:rFonts w:ascii="Times New Roman" w:hAnsi="Times New Roman" w:cs="Times New Roman"/>
          <w:sz w:val="28"/>
          <w:szCs w:val="28"/>
        </w:rPr>
        <w:t>d</w:t>
      </w:r>
      <w:r w:rsidRPr="00152C0F">
        <w:rPr>
          <w:rFonts w:ascii="Times New Roman" w:hAnsi="Times New Roman" w:cs="Times New Roman"/>
          <w:sz w:val="28"/>
          <w:szCs w:val="28"/>
        </w:rPr>
        <w:t>el plan de inversiones</w:t>
      </w:r>
      <w:r w:rsidRPr="00152C0F">
        <w:rPr>
          <w:rFonts w:ascii="Times New Roman" w:hAnsi="Times New Roman" w:cs="Times New Roman"/>
          <w:sz w:val="28"/>
          <w:szCs w:val="28"/>
        </w:rPr>
        <w:t xml:space="preserve">, y, finalmente, </w:t>
      </w:r>
      <w:r w:rsidRPr="00152C0F">
        <w:rPr>
          <w:rFonts w:ascii="Times New Roman" w:hAnsi="Times New Roman" w:cs="Times New Roman"/>
          <w:sz w:val="28"/>
          <w:szCs w:val="28"/>
        </w:rPr>
        <w:t xml:space="preserve">no </w:t>
      </w:r>
      <w:r w:rsidRPr="00152C0F">
        <w:rPr>
          <w:rFonts w:ascii="Times New Roman" w:hAnsi="Times New Roman" w:cs="Times New Roman"/>
          <w:sz w:val="28"/>
          <w:szCs w:val="28"/>
        </w:rPr>
        <w:t xml:space="preserve">se trata </w:t>
      </w:r>
      <w:r w:rsidRPr="00152C0F">
        <w:rPr>
          <w:rFonts w:ascii="Times New Roman" w:hAnsi="Times New Roman" w:cs="Times New Roman"/>
          <w:sz w:val="28"/>
          <w:szCs w:val="28"/>
          <w:lang w:val="es-ES"/>
        </w:rPr>
        <w:t xml:space="preserve">de medios de planificación ni </w:t>
      </w:r>
      <w:r w:rsidRPr="00152C0F">
        <w:rPr>
          <w:rFonts w:ascii="Times New Roman" w:hAnsi="Times New Roman" w:cs="Times New Roman"/>
          <w:sz w:val="28"/>
          <w:szCs w:val="28"/>
          <w:lang w:val="es-ES"/>
        </w:rPr>
        <w:t xml:space="preserve">son </w:t>
      </w:r>
      <w:r w:rsidRPr="00152C0F">
        <w:rPr>
          <w:rFonts w:ascii="Times New Roman" w:hAnsi="Times New Roman" w:cs="Times New Roman"/>
          <w:sz w:val="28"/>
          <w:szCs w:val="28"/>
          <w:lang w:val="es-ES"/>
        </w:rPr>
        <w:t>indispensables para</w:t>
      </w:r>
      <w:r w:rsidRPr="00152C0F">
        <w:rPr>
          <w:rFonts w:ascii="Times New Roman" w:hAnsi="Times New Roman" w:cs="Times New Roman"/>
          <w:sz w:val="28"/>
          <w:szCs w:val="28"/>
          <w:lang w:val="es-ES"/>
        </w:rPr>
        <w:t xml:space="preserve"> impulsar</w:t>
      </w:r>
      <w:r w:rsidRPr="00152C0F">
        <w:rPr>
          <w:rFonts w:ascii="Times New Roman" w:hAnsi="Times New Roman" w:cs="Times New Roman"/>
          <w:sz w:val="28"/>
          <w:szCs w:val="28"/>
          <w:lang w:val="es-ES"/>
        </w:rPr>
        <w:t xml:space="preserve"> la ejecución del plan nacional de desarrollo</w:t>
      </w:r>
      <w:r w:rsidRPr="00152C0F">
        <w:rPr>
          <w:rFonts w:ascii="Times New Roman" w:hAnsi="Times New Roman" w:cs="Times New Roman"/>
          <w:sz w:val="28"/>
          <w:szCs w:val="28"/>
          <w:lang w:val="es-ES"/>
        </w:rPr>
        <w:t>.</w:t>
      </w:r>
    </w:p>
    <w:p w:rsidR="00627D5D" w:rsidRPr="00152C0F" w:rsidRDefault="00152C0F" w:rsidP="00503649">
      <w:pPr>
        <w:rPr>
          <w:rFonts w:ascii="Times New Roman" w:hAnsi="Times New Roman" w:cs="Times New Roman"/>
          <w:sz w:val="28"/>
          <w:szCs w:val="28"/>
          <w:lang w:val="es-ES"/>
        </w:rPr>
      </w:pPr>
    </w:p>
    <w:p w:rsidR="00B8312D" w:rsidRPr="00152C0F" w:rsidRDefault="00152C0F" w:rsidP="00A17EA0">
      <w:pPr>
        <w:pStyle w:val="Prrafodelista"/>
        <w:numPr>
          <w:ilvl w:val="0"/>
          <w:numId w:val="2"/>
        </w:numPr>
        <w:ind w:left="0" w:firstLine="0"/>
        <w:jc w:val="both"/>
        <w:rPr>
          <w:rFonts w:ascii="Times New Roman" w:hAnsi="Times New Roman" w:cs="Times New Roman"/>
          <w:sz w:val="28"/>
          <w:szCs w:val="28"/>
          <w:lang w:val="es-ES"/>
        </w:rPr>
      </w:pPr>
      <w:r w:rsidRPr="00152C0F">
        <w:rPr>
          <w:rFonts w:ascii="Times New Roman" w:hAnsi="Times New Roman" w:cs="Times New Roman"/>
          <w:sz w:val="28"/>
          <w:szCs w:val="28"/>
          <w:lang w:val="es-ES"/>
        </w:rPr>
        <w:t>P</w:t>
      </w:r>
      <w:r w:rsidRPr="00152C0F">
        <w:rPr>
          <w:rFonts w:ascii="Times New Roman" w:hAnsi="Times New Roman" w:cs="Times New Roman"/>
          <w:sz w:val="28"/>
          <w:szCs w:val="28"/>
        </w:rPr>
        <w:t xml:space="preserve">ara precaver la afectación desproporcionada que un efecto inmediato de la decisión </w:t>
      </w:r>
      <w:r w:rsidRPr="00152C0F">
        <w:rPr>
          <w:rFonts w:ascii="Times New Roman" w:hAnsi="Times New Roman" w:cs="Times New Roman"/>
          <w:sz w:val="28"/>
          <w:szCs w:val="28"/>
        </w:rPr>
        <w:t>podría tener</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sobre</w:t>
      </w:r>
      <w:r w:rsidRPr="00152C0F">
        <w:rPr>
          <w:rFonts w:ascii="Times New Roman" w:hAnsi="Times New Roman" w:cs="Times New Roman"/>
          <w:sz w:val="28"/>
          <w:szCs w:val="28"/>
        </w:rPr>
        <w:t xml:space="preserve"> los fines legítimos de la extinción de dominio, asociados a evitar que los bienes objeto de </w:t>
      </w:r>
      <w:r w:rsidRPr="00152C0F">
        <w:rPr>
          <w:rFonts w:ascii="Times New Roman" w:hAnsi="Times New Roman" w:cs="Times New Roman"/>
          <w:sz w:val="28"/>
          <w:szCs w:val="28"/>
        </w:rPr>
        <w:t xml:space="preserve">estos </w:t>
      </w:r>
      <w:r w:rsidRPr="00152C0F">
        <w:rPr>
          <w:rFonts w:ascii="Times New Roman" w:hAnsi="Times New Roman" w:cs="Times New Roman"/>
          <w:sz w:val="28"/>
          <w:szCs w:val="28"/>
        </w:rPr>
        <w:t xml:space="preserve">procesos </w:t>
      </w:r>
      <w:r w:rsidRPr="00152C0F">
        <w:rPr>
          <w:rFonts w:ascii="Times New Roman" w:hAnsi="Times New Roman" w:cs="Times New Roman"/>
          <w:sz w:val="28"/>
          <w:szCs w:val="28"/>
        </w:rPr>
        <w:t>prescriban</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la Sala modulará los efectos de la providencia y</w:t>
      </w:r>
      <w:r w:rsidRPr="00152C0F">
        <w:rPr>
          <w:rFonts w:ascii="Times New Roman" w:hAnsi="Times New Roman" w:cs="Times New Roman"/>
          <w:sz w:val="28"/>
          <w:szCs w:val="28"/>
        </w:rPr>
        <w:t>, por tanto,</w:t>
      </w:r>
      <w:r w:rsidRPr="00152C0F">
        <w:rPr>
          <w:rFonts w:ascii="Times New Roman" w:hAnsi="Times New Roman" w:cs="Times New Roman"/>
          <w:sz w:val="28"/>
          <w:szCs w:val="28"/>
        </w:rPr>
        <w:t xml:space="preserve"> diferirá sus efectos </w:t>
      </w:r>
      <w:r w:rsidRPr="00152C0F">
        <w:rPr>
          <w:rFonts w:ascii="Times New Roman" w:hAnsi="Times New Roman" w:cs="Times New Roman"/>
          <w:sz w:val="28"/>
          <w:szCs w:val="28"/>
        </w:rPr>
        <w:t xml:space="preserve">por el periodo restante de la actual legislatura, que </w:t>
      </w:r>
      <w:r w:rsidRPr="00152C0F">
        <w:rPr>
          <w:rFonts w:ascii="Times New Roman" w:hAnsi="Times New Roman" w:cs="Times New Roman"/>
          <w:sz w:val="28"/>
          <w:szCs w:val="28"/>
        </w:rPr>
        <w:t xml:space="preserve">culminará el 20 de junio de 2025, </w:t>
      </w:r>
      <w:r w:rsidRPr="00152C0F">
        <w:rPr>
          <w:rFonts w:ascii="Times New Roman" w:hAnsi="Times New Roman" w:cs="Times New Roman"/>
          <w:sz w:val="28"/>
          <w:szCs w:val="28"/>
        </w:rPr>
        <w:t xml:space="preserve">diferimiento fundamentalmente </w:t>
      </w:r>
      <w:r w:rsidRPr="00152C0F">
        <w:rPr>
          <w:rFonts w:ascii="Times New Roman" w:hAnsi="Times New Roman" w:cs="Times New Roman"/>
          <w:sz w:val="28"/>
          <w:szCs w:val="28"/>
        </w:rPr>
        <w:t xml:space="preserve">compatible con el carácter </w:t>
      </w:r>
      <w:r w:rsidRPr="00152C0F">
        <w:rPr>
          <w:rFonts w:ascii="Times New Roman" w:hAnsi="Times New Roman" w:cs="Times New Roman"/>
          <w:sz w:val="28"/>
          <w:szCs w:val="28"/>
        </w:rPr>
        <w:t xml:space="preserve">esencialmente </w:t>
      </w:r>
      <w:r w:rsidRPr="00152C0F">
        <w:rPr>
          <w:rFonts w:ascii="Times New Roman" w:hAnsi="Times New Roman" w:cs="Times New Roman"/>
          <w:sz w:val="28"/>
          <w:szCs w:val="28"/>
        </w:rPr>
        <w:t>temporal de las disposiciones de las leyes aprobatorias del plan nacional de desarrollo</w:t>
      </w:r>
      <w:r w:rsidRPr="00152C0F">
        <w:rPr>
          <w:rFonts w:ascii="Times New Roman" w:hAnsi="Times New Roman" w:cs="Times New Roman"/>
          <w:sz w:val="28"/>
          <w:szCs w:val="28"/>
        </w:rPr>
        <w:t xml:space="preserve">, durante el cual el gobierno y el legislador podrán tramitar mediante el procedimiento legislativo ordinario las </w:t>
      </w:r>
      <w:r w:rsidRPr="00152C0F">
        <w:rPr>
          <w:rFonts w:ascii="Times New Roman" w:hAnsi="Times New Roman" w:cs="Times New Roman"/>
          <w:sz w:val="28"/>
          <w:szCs w:val="28"/>
          <w:lang w:val="es-ES"/>
        </w:rPr>
        <w:t>reformas permanentes al régimen de extinción de dominio que consideren necesarias</w:t>
      </w:r>
      <w:r w:rsidRPr="00152C0F">
        <w:rPr>
          <w:rFonts w:ascii="Times New Roman" w:hAnsi="Times New Roman" w:cs="Times New Roman"/>
          <w:sz w:val="28"/>
          <w:szCs w:val="28"/>
        </w:rPr>
        <w:t>.</w:t>
      </w:r>
    </w:p>
    <w:p w:rsidR="001E3018" w:rsidRPr="00152C0F" w:rsidRDefault="00152C0F" w:rsidP="00B8312D">
      <w:pPr>
        <w:pStyle w:val="Prrafodelista"/>
        <w:ind w:left="0"/>
        <w:jc w:val="both"/>
        <w:rPr>
          <w:rFonts w:ascii="Times New Roman" w:hAnsi="Times New Roman" w:cs="Times New Roman"/>
          <w:sz w:val="28"/>
          <w:szCs w:val="28"/>
        </w:rPr>
      </w:pPr>
    </w:p>
    <w:p w:rsidR="0005338F" w:rsidRPr="00152C0F" w:rsidRDefault="00152C0F" w:rsidP="00A17EA0">
      <w:pPr>
        <w:pStyle w:val="Estilo1"/>
        <w:numPr>
          <w:ilvl w:val="1"/>
          <w:numId w:val="4"/>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Ubicación</w:t>
      </w:r>
      <w:r w:rsidRPr="00152C0F">
        <w:rPr>
          <w:rStyle w:val="Ttulo1Car"/>
          <w:rFonts w:ascii="Times New Roman" w:hAnsi="Times New Roman" w:cs="Times New Roman"/>
          <w:bCs/>
          <w:color w:val="auto"/>
          <w:sz w:val="28"/>
          <w:szCs w:val="28"/>
        </w:rPr>
        <w:t>,</w:t>
      </w:r>
      <w:r w:rsidRPr="00152C0F">
        <w:rPr>
          <w:rStyle w:val="Ttulo1Car"/>
          <w:rFonts w:ascii="Times New Roman" w:hAnsi="Times New Roman" w:cs="Times New Roman"/>
          <w:bCs/>
          <w:color w:val="auto"/>
          <w:sz w:val="28"/>
          <w:szCs w:val="28"/>
        </w:rPr>
        <w:t xml:space="preserve"> alcance y función </w:t>
      </w:r>
      <w:r w:rsidRPr="00152C0F">
        <w:rPr>
          <w:rStyle w:val="Ttulo1Car"/>
          <w:rFonts w:ascii="Times New Roman" w:hAnsi="Times New Roman" w:cs="Times New Roman"/>
          <w:bCs/>
          <w:i/>
          <w:iCs/>
          <w:color w:val="auto"/>
          <w:sz w:val="28"/>
          <w:szCs w:val="28"/>
        </w:rPr>
        <w:t xml:space="preserve">formalmente </w:t>
      </w:r>
      <w:r w:rsidRPr="00152C0F">
        <w:rPr>
          <w:rStyle w:val="Ttulo1Car"/>
          <w:rFonts w:ascii="Times New Roman" w:hAnsi="Times New Roman" w:cs="Times New Roman"/>
          <w:bCs/>
          <w:color w:val="auto"/>
          <w:sz w:val="28"/>
          <w:szCs w:val="28"/>
        </w:rPr>
        <w:t>instrumental de l</w:t>
      </w:r>
      <w:r w:rsidRPr="00152C0F">
        <w:rPr>
          <w:rStyle w:val="Ttulo1Car"/>
          <w:rFonts w:ascii="Times New Roman" w:hAnsi="Times New Roman" w:cs="Times New Roman"/>
          <w:bCs/>
          <w:color w:val="auto"/>
          <w:sz w:val="28"/>
          <w:szCs w:val="28"/>
        </w:rPr>
        <w:t xml:space="preserve">as </w:t>
      </w:r>
      <w:r w:rsidRPr="00152C0F">
        <w:rPr>
          <w:rStyle w:val="Ttulo1Car"/>
          <w:rFonts w:ascii="Times New Roman" w:hAnsi="Times New Roman" w:cs="Times New Roman"/>
          <w:bCs/>
          <w:color w:val="auto"/>
          <w:sz w:val="28"/>
          <w:szCs w:val="28"/>
        </w:rPr>
        <w:t xml:space="preserve">disposiciones </w:t>
      </w:r>
      <w:r w:rsidRPr="00152C0F">
        <w:rPr>
          <w:rStyle w:val="Ttulo1Car"/>
          <w:rFonts w:ascii="Times New Roman" w:hAnsi="Times New Roman" w:cs="Times New Roman"/>
          <w:bCs/>
          <w:color w:val="auto"/>
          <w:sz w:val="28"/>
          <w:szCs w:val="28"/>
        </w:rPr>
        <w:t>demandadas</w:t>
      </w:r>
    </w:p>
    <w:p w:rsidR="0005338F" w:rsidRPr="00152C0F" w:rsidRDefault="00152C0F" w:rsidP="0005338F">
      <w:pPr>
        <w:rPr>
          <w:rFonts w:ascii="Times New Roman" w:hAnsi="Times New Roman" w:cs="Times New Roman"/>
          <w:color w:val="000000" w:themeColor="text1"/>
          <w:sz w:val="28"/>
          <w:szCs w:val="28"/>
        </w:rPr>
      </w:pPr>
    </w:p>
    <w:p w:rsidR="00E6419A" w:rsidRPr="00152C0F" w:rsidRDefault="00152C0F" w:rsidP="00A17EA0">
      <w:pPr>
        <w:pStyle w:val="Prrafodelista"/>
        <w:numPr>
          <w:ilvl w:val="0"/>
          <w:numId w:val="2"/>
        </w:numPr>
        <w:ind w:left="0" w:firstLine="0"/>
        <w:jc w:val="both"/>
        <w:rPr>
          <w:rFonts w:ascii="Times New Roman" w:hAnsi="Times New Roman" w:cs="Times New Roman"/>
          <w:color w:val="000000" w:themeColor="text1"/>
          <w:sz w:val="28"/>
          <w:szCs w:val="28"/>
        </w:rPr>
      </w:pPr>
      <w:r w:rsidRPr="00152C0F">
        <w:rPr>
          <w:rFonts w:ascii="Times New Roman" w:hAnsi="Times New Roman" w:cs="Times New Roman"/>
          <w:sz w:val="28"/>
          <w:szCs w:val="28"/>
          <w:lang w:val="es-ES" w:eastAsia="es-ES"/>
        </w:rPr>
        <w:t>Los artículos 211 y 212 de la Ley 2294 de 2023 hacen parte de la Sección V, “</w:t>
      </w:r>
      <w:r w:rsidRPr="00152C0F">
        <w:rPr>
          <w:rFonts w:ascii="Times New Roman" w:hAnsi="Times New Roman" w:cs="Times New Roman"/>
          <w:bCs/>
          <w:sz w:val="28"/>
          <w:szCs w:val="28"/>
        </w:rPr>
        <w:t>justicia para el cambio social, democratización del Estado y garantía de derechos y libertades</w:t>
      </w:r>
      <w:r w:rsidRPr="00152C0F">
        <w:rPr>
          <w:rFonts w:ascii="Times New Roman" w:hAnsi="Times New Roman" w:cs="Times New Roman"/>
          <w:sz w:val="28"/>
          <w:szCs w:val="28"/>
          <w:lang w:val="es-ES" w:eastAsia="es-ES"/>
        </w:rPr>
        <w:t>”, del Capítulo III, “</w:t>
      </w:r>
      <w:r w:rsidRPr="00152C0F">
        <w:rPr>
          <w:rFonts w:ascii="Times New Roman" w:hAnsi="Times New Roman" w:cs="Times New Roman"/>
          <w:bCs/>
          <w:sz w:val="28"/>
          <w:szCs w:val="28"/>
        </w:rPr>
        <w:t>seguridad humana y justicia social</w:t>
      </w:r>
      <w:r w:rsidRPr="00152C0F">
        <w:rPr>
          <w:rFonts w:ascii="Times New Roman" w:hAnsi="Times New Roman" w:cs="Times New Roman"/>
          <w:sz w:val="28"/>
          <w:szCs w:val="28"/>
          <w:lang w:val="es-ES" w:eastAsia="es-ES"/>
        </w:rPr>
        <w:t>”, del Plan Nacional de Desarrollo 2022-2026, “Colombia Potencia Mundial de la Vida”</w:t>
      </w:r>
      <w:r w:rsidRPr="00152C0F">
        <w:rPr>
          <w:rFonts w:ascii="Times New Roman" w:hAnsi="Times New Roman" w:cs="Times New Roman"/>
          <w:color w:val="000000" w:themeColor="text1"/>
          <w:sz w:val="28"/>
          <w:szCs w:val="28"/>
        </w:rPr>
        <w:t xml:space="preserve">. </w:t>
      </w:r>
      <w:r w:rsidRPr="00152C0F">
        <w:rPr>
          <w:rFonts w:ascii="Times New Roman" w:hAnsi="Times New Roman" w:cs="Times New Roman"/>
          <w:sz w:val="28"/>
          <w:szCs w:val="28"/>
          <w:lang w:val="es-ES"/>
        </w:rPr>
        <w:t xml:space="preserve">Ambos adoptan medidas para la administración de los bienes incautados en procesos de extinción de dominio. El artículo 211 </w:t>
      </w:r>
      <w:r w:rsidRPr="00152C0F">
        <w:rPr>
          <w:rFonts w:ascii="Times New Roman" w:hAnsi="Times New Roman" w:cs="Times New Roman"/>
          <w:sz w:val="28"/>
          <w:szCs w:val="28"/>
          <w:lang w:val="es-ES"/>
        </w:rPr>
        <w:t>confiere a los bienes del FRISCO el carácter de</w:t>
      </w:r>
      <w:r w:rsidRPr="00152C0F">
        <w:rPr>
          <w:rFonts w:ascii="Times New Roman" w:hAnsi="Times New Roman" w:cs="Times New Roman"/>
          <w:sz w:val="28"/>
          <w:szCs w:val="28"/>
          <w:lang w:val="es-ES"/>
        </w:rPr>
        <w:t xml:space="preserve"> imprescriptibles, </w:t>
      </w:r>
      <w:r w:rsidRPr="00152C0F">
        <w:rPr>
          <w:rFonts w:ascii="Times New Roman" w:hAnsi="Times New Roman" w:cs="Times New Roman"/>
          <w:sz w:val="28"/>
          <w:szCs w:val="28"/>
        </w:rPr>
        <w:t xml:space="preserve">medida específicamente aplicable a aquellos afectados con medidas cautelares en </w:t>
      </w:r>
      <w:r w:rsidRPr="00152C0F">
        <w:rPr>
          <w:rFonts w:ascii="Times New Roman" w:hAnsi="Times New Roman" w:cs="Times New Roman"/>
          <w:sz w:val="28"/>
          <w:szCs w:val="28"/>
        </w:rPr>
        <w:t xml:space="preserve">los citados </w:t>
      </w:r>
      <w:r w:rsidRPr="00152C0F">
        <w:rPr>
          <w:rFonts w:ascii="Times New Roman" w:hAnsi="Times New Roman" w:cs="Times New Roman"/>
          <w:sz w:val="28"/>
          <w:szCs w:val="28"/>
        </w:rPr>
        <w:t>proceso</w:t>
      </w:r>
      <w:r w:rsidRPr="00152C0F">
        <w:rPr>
          <w:rFonts w:ascii="Times New Roman" w:hAnsi="Times New Roman" w:cs="Times New Roman"/>
          <w:sz w:val="28"/>
          <w:szCs w:val="28"/>
        </w:rPr>
        <w:t>s</w:t>
      </w:r>
      <w:r w:rsidRPr="00152C0F">
        <w:rPr>
          <w:rFonts w:ascii="Times New Roman" w:hAnsi="Times New Roman" w:cs="Times New Roman"/>
          <w:sz w:val="28"/>
          <w:szCs w:val="28"/>
        </w:rPr>
        <w:t>, como lo precisó el Departamento Nacional de Planeación</w:t>
      </w:r>
      <w:r w:rsidRPr="00152C0F">
        <w:rPr>
          <w:rFonts w:ascii="Times New Roman" w:hAnsi="Times New Roman" w:cs="Times New Roman"/>
          <w:sz w:val="28"/>
          <w:szCs w:val="28"/>
        </w:rPr>
        <w:t xml:space="preserve"> en su concepto.</w:t>
      </w:r>
      <w:r w:rsidRPr="00152C0F">
        <w:rPr>
          <w:rFonts w:ascii="Times New Roman" w:hAnsi="Times New Roman" w:cs="Times New Roman"/>
          <w:sz w:val="28"/>
          <w:szCs w:val="28"/>
        </w:rPr>
        <w:t xml:space="preserve"> El artículo 212, por su parte, </w:t>
      </w:r>
      <w:r w:rsidRPr="00152C0F">
        <w:rPr>
          <w:rFonts w:ascii="Times New Roman" w:hAnsi="Times New Roman" w:cs="Times New Roman"/>
          <w:sz w:val="28"/>
          <w:szCs w:val="28"/>
          <w:lang w:val="es-ES" w:eastAsia="es-ES"/>
        </w:rPr>
        <w:t>sujeta la vigencia de las medidas</w:t>
      </w:r>
      <w:r w:rsidRPr="00152C0F">
        <w:rPr>
          <w:rFonts w:ascii="Times New Roman" w:hAnsi="Times New Roman" w:cs="Times New Roman"/>
          <w:sz w:val="28"/>
          <w:szCs w:val="28"/>
          <w:lang w:val="es-ES" w:eastAsia="es-ES"/>
        </w:rPr>
        <w:t xml:space="preserve"> cautelares a una orden judicial de “cancelación” o a la expedición de la “sentencia ejecutoriada” que ponga fin al proceso de extinción del dominio.</w:t>
      </w:r>
    </w:p>
    <w:p w:rsidR="00E6419A" w:rsidRPr="00152C0F" w:rsidRDefault="00152C0F" w:rsidP="006F15E4">
      <w:pPr>
        <w:pStyle w:val="Prrafodelista"/>
        <w:ind w:left="0"/>
        <w:jc w:val="both"/>
        <w:rPr>
          <w:rFonts w:ascii="Times New Roman" w:hAnsi="Times New Roman" w:cs="Times New Roman"/>
          <w:color w:val="000000" w:themeColor="text1"/>
          <w:sz w:val="28"/>
          <w:szCs w:val="28"/>
        </w:rPr>
      </w:pPr>
    </w:p>
    <w:p w:rsidR="00637D2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Según se deriva de las intervenciones allegadas al proceso, </w:t>
      </w:r>
      <w:r w:rsidRPr="00152C0F">
        <w:rPr>
          <w:rFonts w:ascii="Times New Roman" w:hAnsi="Times New Roman" w:cs="Times New Roman"/>
          <w:sz w:val="28"/>
          <w:szCs w:val="28"/>
        </w:rPr>
        <w:t xml:space="preserve">el artículo 211 </w:t>
      </w:r>
      <w:r w:rsidRPr="00152C0F">
        <w:rPr>
          <w:rFonts w:ascii="Times New Roman" w:hAnsi="Times New Roman" w:cs="Times New Roman"/>
          <w:sz w:val="28"/>
          <w:szCs w:val="28"/>
        </w:rPr>
        <w:t xml:space="preserve">busca fines constitucionales </w:t>
      </w:r>
      <w:r w:rsidRPr="00152C0F">
        <w:rPr>
          <w:rFonts w:ascii="Times New Roman" w:hAnsi="Times New Roman" w:cs="Times New Roman"/>
          <w:sz w:val="28"/>
          <w:szCs w:val="28"/>
        </w:rPr>
        <w:t>importantes, asociados a “evitar que los bienes que se cuestionan puedan ser ocultados, negociados, gravados, distraídos, transferidos o puedan sufrir deterioro, extravío o destrucción; o con el propósito de cesar su uso o destinación ilícita” y a “salvagu</w:t>
      </w:r>
      <w:r w:rsidRPr="00152C0F">
        <w:rPr>
          <w:rFonts w:ascii="Times New Roman" w:hAnsi="Times New Roman" w:cs="Times New Roman"/>
          <w:sz w:val="28"/>
          <w:szCs w:val="28"/>
        </w:rPr>
        <w:t>ardar los derechos de terceros de buena fe exenta de culpa”</w:t>
      </w:r>
      <w:r w:rsidRPr="00152C0F">
        <w:rPr>
          <w:rStyle w:val="Refdenotaalpie"/>
          <w:rFonts w:ascii="Times New Roman" w:hAnsi="Times New Roman" w:cs="Times New Roman"/>
          <w:sz w:val="28"/>
          <w:szCs w:val="28"/>
        </w:rPr>
        <w:footnoteReference w:id="96"/>
      </w:r>
      <w:r w:rsidRPr="00152C0F">
        <w:rPr>
          <w:rFonts w:ascii="Times New Roman" w:hAnsi="Times New Roman" w:cs="Times New Roman"/>
          <w:sz w:val="28"/>
          <w:szCs w:val="28"/>
        </w:rPr>
        <w:t>. Igualmente, según precisaron los intervinientes, se trata de un instrumento relevante que evita disputas sobre la titularidad de los bienes objeto del proceso y garantiza su disponibilidad conti</w:t>
      </w:r>
      <w:r w:rsidRPr="00152C0F">
        <w:rPr>
          <w:rFonts w:ascii="Times New Roman" w:hAnsi="Times New Roman" w:cs="Times New Roman"/>
          <w:sz w:val="28"/>
          <w:szCs w:val="28"/>
        </w:rPr>
        <w:t xml:space="preserve">nua para las destinaciones provisionales y </w:t>
      </w:r>
      <w:r w:rsidRPr="00152C0F">
        <w:rPr>
          <w:rFonts w:ascii="Times New Roman" w:hAnsi="Times New Roman" w:cs="Times New Roman"/>
          <w:sz w:val="28"/>
          <w:szCs w:val="28"/>
        </w:rPr>
        <w:t xml:space="preserve">definitivas </w:t>
      </w:r>
      <w:r w:rsidRPr="00152C0F">
        <w:rPr>
          <w:rFonts w:ascii="Times New Roman" w:hAnsi="Times New Roman" w:cs="Times New Roman"/>
          <w:sz w:val="28"/>
          <w:szCs w:val="28"/>
        </w:rPr>
        <w:t>que les asigna la ley</w:t>
      </w:r>
      <w:r w:rsidRPr="00152C0F">
        <w:rPr>
          <w:rStyle w:val="Refdenotaalpie"/>
          <w:rFonts w:ascii="Times New Roman" w:hAnsi="Times New Roman" w:cs="Times New Roman"/>
          <w:sz w:val="28"/>
          <w:szCs w:val="28"/>
        </w:rPr>
        <w:footnoteReference w:id="97"/>
      </w:r>
      <w:r w:rsidRPr="00152C0F">
        <w:rPr>
          <w:rFonts w:ascii="Times New Roman" w:hAnsi="Times New Roman" w:cs="Times New Roman"/>
          <w:sz w:val="28"/>
          <w:szCs w:val="28"/>
        </w:rPr>
        <w:t>, de que tratan los artículos 208 a 210 de la Ley 2294 de 2023</w:t>
      </w:r>
      <w:r w:rsidRPr="00152C0F">
        <w:rPr>
          <w:rStyle w:val="Refdenotaalpie"/>
          <w:rFonts w:ascii="Times New Roman" w:hAnsi="Times New Roman" w:cs="Times New Roman"/>
          <w:sz w:val="28"/>
          <w:szCs w:val="28"/>
        </w:rPr>
        <w:footnoteReference w:id="98"/>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Los artículos en cita disponen, </w:t>
      </w:r>
      <w:r w:rsidRPr="00152C0F">
        <w:rPr>
          <w:rFonts w:ascii="Times New Roman" w:hAnsi="Times New Roman" w:cs="Times New Roman"/>
          <w:i/>
          <w:iCs/>
          <w:sz w:val="28"/>
          <w:szCs w:val="28"/>
        </w:rPr>
        <w:t>in extenso</w:t>
      </w:r>
      <w:r w:rsidRPr="00152C0F">
        <w:rPr>
          <w:rFonts w:ascii="Times New Roman" w:hAnsi="Times New Roman" w:cs="Times New Roman"/>
          <w:sz w:val="28"/>
          <w:szCs w:val="28"/>
        </w:rPr>
        <w:t>, lo siguiente:</w:t>
      </w:r>
    </w:p>
    <w:p w:rsidR="005C5CE9" w:rsidRPr="00152C0F" w:rsidRDefault="00152C0F" w:rsidP="005C5CE9">
      <w:pPr>
        <w:rPr>
          <w:rFonts w:ascii="Times New Roman" w:hAnsi="Times New Roman" w:cs="Times New Roman"/>
          <w:sz w:val="28"/>
          <w:szCs w:val="28"/>
        </w:rPr>
      </w:pPr>
    </w:p>
    <w:p w:rsidR="003101C1" w:rsidRPr="00152C0F" w:rsidRDefault="00152C0F" w:rsidP="008876DC">
      <w:pPr>
        <w:ind w:left="567" w:right="618"/>
        <w:jc w:val="both"/>
        <w:rPr>
          <w:rFonts w:ascii="Times New Roman" w:hAnsi="Times New Roman" w:cs="Times New Roman"/>
          <w:sz w:val="28"/>
          <w:szCs w:val="24"/>
          <w:lang w:val="es-ES"/>
        </w:rPr>
      </w:pPr>
      <w:r w:rsidRPr="00152C0F">
        <w:rPr>
          <w:rFonts w:ascii="Times New Roman" w:hAnsi="Times New Roman" w:cs="Times New Roman"/>
          <w:sz w:val="28"/>
          <w:szCs w:val="24"/>
        </w:rPr>
        <w:t>“</w:t>
      </w:r>
      <w:r w:rsidRPr="00152C0F">
        <w:rPr>
          <w:rFonts w:ascii="Times New Roman" w:hAnsi="Times New Roman" w:cs="Times New Roman"/>
          <w:sz w:val="28"/>
          <w:szCs w:val="24"/>
          <w:lang w:val="es-ES"/>
        </w:rPr>
        <w:t>Artículo 208. Destinaciones específicas. El administrador del Fondo para la Rehabilitación, Inversión Social y Lucha contra el Crimen Organizado (Frisco) podrá transferir a título gratuito los bienes muebles e inmuebles sobre los que se declare la extinció</w:t>
      </w:r>
      <w:r w:rsidRPr="00152C0F">
        <w:rPr>
          <w:rFonts w:ascii="Times New Roman" w:hAnsi="Times New Roman" w:cs="Times New Roman"/>
          <w:sz w:val="28"/>
          <w:szCs w:val="24"/>
          <w:lang w:val="es-ES"/>
        </w:rPr>
        <w:t>n de dominio, en las siguientes destinaciones específicas: || 1. Cuando se requieran para el mejoramiento de su infraestructura y/o desarrollo de proyectos de interés social a favor de las instituciones de educación pública del sistema educativo colombiano</w:t>
      </w:r>
      <w:r w:rsidRPr="00152C0F">
        <w:rPr>
          <w:rFonts w:ascii="Times New Roman" w:hAnsi="Times New Roman" w:cs="Times New Roman"/>
          <w:sz w:val="28"/>
          <w:szCs w:val="24"/>
          <w:lang w:val="es-ES"/>
        </w:rPr>
        <w:t xml:space="preserve"> en todos sus subsistemas o niveles y establecimientos públicos facultados para aprobar e impartir programas que se enmarcan en la Educación para el Trabajo y el Desarrollo Humano. || 2. Cuando se requieran para ejercer el mejoramiento de la infraestructur</w:t>
      </w:r>
      <w:r w:rsidRPr="00152C0F">
        <w:rPr>
          <w:rFonts w:ascii="Times New Roman" w:hAnsi="Times New Roman" w:cs="Times New Roman"/>
          <w:sz w:val="28"/>
          <w:szCs w:val="24"/>
          <w:lang w:val="es-ES"/>
        </w:rPr>
        <w:t>a para la atención básica en materia de salud y/o el desarrollo de proyectos de interés social a favor de las entidades que el Gobierno nacional le indique o a las entidades públicas encargadas del Sistema de Seguridad Social en Salud. || 3. A favor de ent</w:t>
      </w:r>
      <w:r w:rsidRPr="00152C0F">
        <w:rPr>
          <w:rFonts w:ascii="Times New Roman" w:hAnsi="Times New Roman" w:cs="Times New Roman"/>
          <w:sz w:val="28"/>
          <w:szCs w:val="24"/>
          <w:lang w:val="es-ES"/>
        </w:rPr>
        <w:t>idades públicas o entidades sin ánimo de lucro cuando sea requerido para implementación de acuerdos de paz para la ejecución de proyectos productivos en el marco de la Paz Total, para lo cual el administrador del Frisco estará facultado para realizar y ges</w:t>
      </w:r>
      <w:r w:rsidRPr="00152C0F">
        <w:rPr>
          <w:rFonts w:ascii="Times New Roman" w:hAnsi="Times New Roman" w:cs="Times New Roman"/>
          <w:sz w:val="28"/>
          <w:szCs w:val="24"/>
          <w:lang w:val="es-ES"/>
        </w:rPr>
        <w:t>tionar las inversiones necesarias con miras a que dicho bien pueda ser saneado tanto jurídica como materialmente y destinado de manera definitiva conforme a la metodología de administración de los bienes del Frisco. || 4. Para garantizar el derecho a la vi</w:t>
      </w:r>
      <w:r w:rsidRPr="00152C0F">
        <w:rPr>
          <w:rFonts w:ascii="Times New Roman" w:hAnsi="Times New Roman" w:cs="Times New Roman"/>
          <w:sz w:val="28"/>
          <w:szCs w:val="24"/>
          <w:lang w:val="es-ES"/>
        </w:rPr>
        <w:t xml:space="preserve">vienda digna de los colombianos en condiciones socioeconómicas vulnerables, pertenecientes a los grupos Sisbén A, B y C. Para lo cual el Ministerio de Vivienda, Ciudad y Territorio junto con el administrador del Frisco definirán la metodología que permita </w:t>
      </w:r>
      <w:r w:rsidRPr="00152C0F">
        <w:rPr>
          <w:rFonts w:ascii="Times New Roman" w:hAnsi="Times New Roman" w:cs="Times New Roman"/>
          <w:sz w:val="28"/>
          <w:szCs w:val="24"/>
          <w:lang w:val="es-ES"/>
        </w:rPr>
        <w:t>que dicho bien pueda ser saneado tanto jurídica como materialmente y destinado al uso de vivienda. || 5. Las entidades territoriales podrán solicitar la asignación de bienes administrados por el Frisco que puedan ser utilizados para la reubicación de casas</w:t>
      </w:r>
      <w:r w:rsidRPr="00152C0F">
        <w:rPr>
          <w:rFonts w:ascii="Times New Roman" w:hAnsi="Times New Roman" w:cs="Times New Roman"/>
          <w:sz w:val="28"/>
          <w:szCs w:val="24"/>
          <w:lang w:val="es-ES"/>
        </w:rPr>
        <w:t xml:space="preserve"> de justicia y centros de detención para penas cortas”. </w:t>
      </w:r>
    </w:p>
    <w:p w:rsidR="003101C1" w:rsidRPr="00152C0F" w:rsidRDefault="00152C0F" w:rsidP="008876DC">
      <w:pPr>
        <w:ind w:left="567" w:right="618"/>
        <w:jc w:val="both"/>
        <w:rPr>
          <w:rFonts w:ascii="Times New Roman" w:hAnsi="Times New Roman" w:cs="Times New Roman"/>
          <w:sz w:val="28"/>
          <w:szCs w:val="24"/>
          <w:lang w:val="es-ES"/>
        </w:rPr>
      </w:pPr>
    </w:p>
    <w:p w:rsidR="008876DC" w:rsidRPr="00152C0F" w:rsidRDefault="00152C0F" w:rsidP="008876DC">
      <w:pPr>
        <w:ind w:left="567" w:right="618"/>
        <w:jc w:val="both"/>
        <w:rPr>
          <w:rFonts w:ascii="Times New Roman" w:hAnsi="Times New Roman" w:cs="Times New Roman"/>
          <w:sz w:val="28"/>
          <w:szCs w:val="24"/>
          <w:lang w:val="es-ES"/>
        </w:rPr>
      </w:pPr>
      <w:r w:rsidRPr="00152C0F">
        <w:rPr>
          <w:rFonts w:ascii="Times New Roman" w:hAnsi="Times New Roman" w:cs="Times New Roman"/>
          <w:sz w:val="28"/>
          <w:szCs w:val="24"/>
          <w:lang w:val="es-ES"/>
        </w:rPr>
        <w:t>“Artículo 209. Modifíquese el inciso cuarto del artículo 96 de la Ley 1708 de 2014, el cual quedará así: || Artículo 96. Destinación provisional. || (...) || Declarada la extinción de dominio respec</w:t>
      </w:r>
      <w:r w:rsidRPr="00152C0F">
        <w:rPr>
          <w:rFonts w:ascii="Times New Roman" w:hAnsi="Times New Roman" w:cs="Times New Roman"/>
          <w:sz w:val="28"/>
          <w:szCs w:val="24"/>
          <w:lang w:val="es-ES"/>
        </w:rPr>
        <w:t xml:space="preserve">to de activos entregados en destinación provisional, dichos bienes podrán ser destinados definitivamente a título gratuito a la entidad pública que lo ha tenido como destinatario provisional, conforme lo dispuesto en la metodología de administración”. </w:t>
      </w:r>
    </w:p>
    <w:p w:rsidR="008876DC" w:rsidRPr="00152C0F" w:rsidRDefault="00152C0F" w:rsidP="008876DC">
      <w:pPr>
        <w:ind w:left="567" w:right="618"/>
        <w:jc w:val="both"/>
        <w:rPr>
          <w:rFonts w:ascii="Times New Roman" w:hAnsi="Times New Roman" w:cs="Times New Roman"/>
          <w:sz w:val="28"/>
          <w:szCs w:val="24"/>
          <w:lang w:val="es-ES"/>
        </w:rPr>
      </w:pPr>
    </w:p>
    <w:p w:rsidR="008876DC" w:rsidRPr="00152C0F" w:rsidRDefault="00152C0F" w:rsidP="008876DC">
      <w:pPr>
        <w:ind w:left="567" w:right="618"/>
        <w:jc w:val="both"/>
        <w:rPr>
          <w:rFonts w:ascii="Times New Roman" w:hAnsi="Times New Roman" w:cs="Times New Roman"/>
          <w:sz w:val="28"/>
          <w:szCs w:val="24"/>
        </w:rPr>
      </w:pPr>
      <w:r w:rsidRPr="00152C0F">
        <w:rPr>
          <w:rFonts w:ascii="Times New Roman" w:hAnsi="Times New Roman" w:cs="Times New Roman"/>
          <w:sz w:val="28"/>
          <w:szCs w:val="24"/>
          <w:lang w:val="es-ES"/>
        </w:rPr>
        <w:t>“A</w:t>
      </w:r>
      <w:r w:rsidRPr="00152C0F">
        <w:rPr>
          <w:rFonts w:ascii="Times New Roman" w:hAnsi="Times New Roman" w:cs="Times New Roman"/>
          <w:sz w:val="28"/>
          <w:szCs w:val="24"/>
          <w:lang w:val="es-ES"/>
        </w:rPr>
        <w:t>rtículo 210. Modifíquese el artículo 91 de la Ley 1708 de 2014, el cual quedará así: || Artículo 91. Administración y destinación. Los bienes sobre los que se declare la extinción de dominio, descontando aquellos destinados para el pago gradual y progresiv</w:t>
      </w:r>
      <w:r w:rsidRPr="00152C0F">
        <w:rPr>
          <w:rFonts w:ascii="Times New Roman" w:hAnsi="Times New Roman" w:cs="Times New Roman"/>
          <w:sz w:val="28"/>
          <w:szCs w:val="24"/>
          <w:lang w:val="es-ES"/>
        </w:rPr>
        <w:t>o de los pasivos de dicho Fondo, los recursos que sean indispensables para el funcionamiento de la entidad encargada de la administración de los bienes, y las destinaciones específicas previstas en la ley y aquellas secciones del inventario de bienes a car</w:t>
      </w:r>
      <w:r w:rsidRPr="00152C0F">
        <w:rPr>
          <w:rFonts w:ascii="Times New Roman" w:hAnsi="Times New Roman" w:cs="Times New Roman"/>
          <w:sz w:val="28"/>
          <w:szCs w:val="24"/>
          <w:lang w:val="es-ES"/>
        </w:rPr>
        <w:t>go de la Sociedad de Activos Especiales S. A.S. (SAE) que sean considerados estratégicos para los propósitos de política pública del Gobierno nacional, se utilizarán a favor del Estado y serán destinados así: en un veinticinco por ciento (25%) a la Rama Ju</w:t>
      </w:r>
      <w:r w:rsidRPr="00152C0F">
        <w:rPr>
          <w:rFonts w:ascii="Times New Roman" w:hAnsi="Times New Roman" w:cs="Times New Roman"/>
          <w:sz w:val="28"/>
          <w:szCs w:val="24"/>
          <w:lang w:val="es-ES"/>
        </w:rPr>
        <w:t>dicial, en un veinticinco por ciento (25%) a la Fiscalía General de la Nación, en un diez por ciento ( 10%) a la Policía Judicial de la Policía Nacional para el fortalecimiento de su función investigativa, en un cinco por ciento (5%) para la Defensoría del</w:t>
      </w:r>
      <w:r w:rsidRPr="00152C0F">
        <w:rPr>
          <w:rFonts w:ascii="Times New Roman" w:hAnsi="Times New Roman" w:cs="Times New Roman"/>
          <w:sz w:val="28"/>
          <w:szCs w:val="24"/>
          <w:lang w:val="es-ES"/>
        </w:rPr>
        <w:t xml:space="preserve"> Pueblo para el fortalecimiento de la defensa pública en los procesos de extinción de dominio y el treinta y cinco por ciento (35%) restante para el Gobierno nacional, quien reglamentará la distribución de este último porcentaje, teniendo como prioridad la</w:t>
      </w:r>
      <w:r w:rsidRPr="00152C0F">
        <w:rPr>
          <w:rFonts w:ascii="Times New Roman" w:hAnsi="Times New Roman" w:cs="Times New Roman"/>
          <w:sz w:val="28"/>
          <w:szCs w:val="24"/>
          <w:lang w:val="es-ES"/>
        </w:rPr>
        <w:t xml:space="preserve"> reparación de las víctimas. || El Gobierno nacional podrá disponer para sus propósitos de política pública, del inventario de activos administrados por la Sociedad de Activos Especiales S. A.S. (SAE), siempre que hayan sido establecidos por el administrad</w:t>
      </w:r>
      <w:r w:rsidRPr="00152C0F">
        <w:rPr>
          <w:rFonts w:ascii="Times New Roman" w:hAnsi="Times New Roman" w:cs="Times New Roman"/>
          <w:sz w:val="28"/>
          <w:szCs w:val="24"/>
          <w:lang w:val="es-ES"/>
        </w:rPr>
        <w:t>or como de carácter estratégico. La administración de estos activos deberá propender por la democratización de su acceso y atender primordialmente a los criterios de función social y ecológica de la propiedad, de acuerdo con el artículo 58 de la Constituci</w:t>
      </w:r>
      <w:r w:rsidRPr="00152C0F">
        <w:rPr>
          <w:rFonts w:ascii="Times New Roman" w:hAnsi="Times New Roman" w:cs="Times New Roman"/>
          <w:sz w:val="28"/>
          <w:szCs w:val="24"/>
          <w:lang w:val="es-ES"/>
        </w:rPr>
        <w:t>ón Política de Colombia. […]”.</w:t>
      </w:r>
    </w:p>
    <w:p w:rsidR="008876DC" w:rsidRPr="00152C0F" w:rsidRDefault="00152C0F" w:rsidP="005C5CE9">
      <w:pPr>
        <w:rPr>
          <w:rFonts w:ascii="Times New Roman" w:hAnsi="Times New Roman" w:cs="Times New Roman"/>
          <w:sz w:val="28"/>
          <w:szCs w:val="28"/>
        </w:rPr>
      </w:pPr>
    </w:p>
    <w:p w:rsidR="005C5CE9"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En un sentido semejante, s</w:t>
      </w:r>
      <w:r w:rsidRPr="00152C0F">
        <w:rPr>
          <w:rFonts w:ascii="Times New Roman" w:hAnsi="Times New Roman" w:cs="Times New Roman"/>
          <w:sz w:val="28"/>
          <w:szCs w:val="28"/>
        </w:rPr>
        <w:t xml:space="preserve">egún indicaron las entidades estatales que allegaron sus conceptos al trámite de constitucionalidad, el artículo 212, al igual que el 211, busca </w:t>
      </w:r>
      <w:r w:rsidRPr="00152C0F">
        <w:rPr>
          <w:rFonts w:ascii="Times New Roman" w:hAnsi="Times New Roman" w:cs="Times New Roman"/>
          <w:sz w:val="28"/>
          <w:szCs w:val="28"/>
          <w:lang w:val="es-ES"/>
        </w:rPr>
        <w:t>evitar que los bienes objeto de extinción de dominio sean ocultados, gravados, enajenados o destruidos mientras se resuelve su situación jurídica, lo cual asegura su disponibilidad para los fines del proceso de extinción de dominio de que tratan, en especi</w:t>
      </w:r>
      <w:r w:rsidRPr="00152C0F">
        <w:rPr>
          <w:rFonts w:ascii="Times New Roman" w:hAnsi="Times New Roman" w:cs="Times New Roman"/>
          <w:sz w:val="28"/>
          <w:szCs w:val="28"/>
          <w:lang w:val="es-ES"/>
        </w:rPr>
        <w:t xml:space="preserve">al, los artículos </w:t>
      </w:r>
      <w:r w:rsidRPr="00152C0F">
        <w:rPr>
          <w:rFonts w:ascii="Times New Roman" w:hAnsi="Times New Roman" w:cs="Times New Roman"/>
          <w:sz w:val="28"/>
          <w:szCs w:val="28"/>
        </w:rPr>
        <w:t>208 a 210 de la Ley 2294 de 2023, antes citados</w:t>
      </w:r>
      <w:r w:rsidRPr="00152C0F">
        <w:rPr>
          <w:rFonts w:ascii="Times New Roman" w:hAnsi="Times New Roman" w:cs="Times New Roman"/>
          <w:sz w:val="28"/>
          <w:szCs w:val="28"/>
          <w:lang w:val="es-ES"/>
        </w:rPr>
        <w:t xml:space="preserve">. Igualmente, precisaron que la medida </w:t>
      </w:r>
      <w:r w:rsidRPr="00152C0F">
        <w:rPr>
          <w:rFonts w:ascii="Times New Roman" w:hAnsi="Times New Roman" w:cs="Times New Roman"/>
          <w:sz w:val="28"/>
          <w:szCs w:val="28"/>
        </w:rPr>
        <w:t>evita “que el bien objeto del proceso de extinción de dominio no quede en administración del Estado durante el mismo, como garantía de disponibilidad de</w:t>
      </w:r>
      <w:r w:rsidRPr="00152C0F">
        <w:rPr>
          <w:rFonts w:ascii="Times New Roman" w:hAnsi="Times New Roman" w:cs="Times New Roman"/>
          <w:sz w:val="28"/>
          <w:szCs w:val="28"/>
        </w:rPr>
        <w:t>l mismo para ser entregado al Estado una vez se declare la extinción del dominio del mismo”</w:t>
      </w:r>
      <w:r w:rsidRPr="00152C0F">
        <w:rPr>
          <w:rStyle w:val="Refdenotaalpie"/>
          <w:rFonts w:ascii="Times New Roman" w:hAnsi="Times New Roman" w:cs="Times New Roman"/>
          <w:sz w:val="28"/>
          <w:szCs w:val="28"/>
        </w:rPr>
        <w:footnoteReference w:id="99"/>
      </w:r>
      <w:r w:rsidRPr="00152C0F">
        <w:rPr>
          <w:rFonts w:ascii="Times New Roman" w:hAnsi="Times New Roman" w:cs="Times New Roman"/>
          <w:sz w:val="28"/>
          <w:szCs w:val="28"/>
        </w:rPr>
        <w:t>.</w:t>
      </w:r>
    </w:p>
    <w:p w:rsidR="00997F52" w:rsidRPr="00152C0F" w:rsidRDefault="00152C0F" w:rsidP="006F15E4">
      <w:pPr>
        <w:pStyle w:val="Prrafodelista"/>
        <w:ind w:left="0"/>
        <w:jc w:val="both"/>
        <w:rPr>
          <w:rFonts w:ascii="Times New Roman" w:hAnsi="Times New Roman" w:cs="Times New Roman"/>
          <w:color w:val="000000" w:themeColor="text1"/>
          <w:sz w:val="28"/>
          <w:szCs w:val="28"/>
        </w:rPr>
      </w:pPr>
    </w:p>
    <w:p w:rsidR="00D402E8" w:rsidRPr="00152C0F" w:rsidRDefault="00152C0F" w:rsidP="00A17EA0">
      <w:pPr>
        <w:pStyle w:val="Prrafodelista"/>
        <w:numPr>
          <w:ilvl w:val="0"/>
          <w:numId w:val="2"/>
        </w:numPr>
        <w:ind w:left="0" w:firstLine="0"/>
        <w:jc w:val="both"/>
        <w:rPr>
          <w:rFonts w:ascii="Times New Roman" w:hAnsi="Times New Roman" w:cs="Times New Roman"/>
          <w:color w:val="000000" w:themeColor="text1"/>
          <w:sz w:val="28"/>
          <w:szCs w:val="28"/>
        </w:rPr>
      </w:pPr>
      <w:r w:rsidRPr="00152C0F">
        <w:rPr>
          <w:rFonts w:ascii="Times New Roman" w:hAnsi="Times New Roman" w:cs="Times New Roman"/>
          <w:sz w:val="28"/>
          <w:szCs w:val="28"/>
          <w:lang w:eastAsia="es-ES"/>
        </w:rPr>
        <w:t xml:space="preserve">Así las cosas, </w:t>
      </w:r>
      <w:r w:rsidRPr="00152C0F">
        <w:rPr>
          <w:rFonts w:ascii="Times New Roman" w:hAnsi="Times New Roman" w:cs="Times New Roman"/>
          <w:sz w:val="28"/>
          <w:szCs w:val="28"/>
          <w:lang w:val="es-ES" w:eastAsia="es-ES"/>
        </w:rPr>
        <w:t>s</w:t>
      </w:r>
      <w:r w:rsidRPr="00152C0F">
        <w:rPr>
          <w:rFonts w:ascii="Times New Roman" w:hAnsi="Times New Roman" w:cs="Times New Roman"/>
          <w:sz w:val="28"/>
          <w:szCs w:val="28"/>
          <w:lang w:val="es-ES" w:eastAsia="es-ES"/>
        </w:rPr>
        <w:t xml:space="preserve">e trata de </w:t>
      </w:r>
      <w:r w:rsidRPr="00152C0F">
        <w:rPr>
          <w:rFonts w:ascii="Times New Roman" w:hAnsi="Times New Roman" w:cs="Times New Roman"/>
          <w:sz w:val="28"/>
          <w:szCs w:val="28"/>
          <w:lang w:val="es-ES" w:eastAsia="es-ES"/>
        </w:rPr>
        <w:t xml:space="preserve">disposiciones </w:t>
      </w:r>
      <w:r w:rsidRPr="00152C0F">
        <w:rPr>
          <w:rFonts w:ascii="Times New Roman" w:hAnsi="Times New Roman" w:cs="Times New Roman"/>
          <w:i/>
          <w:iCs/>
          <w:sz w:val="28"/>
          <w:szCs w:val="28"/>
          <w:lang w:val="es-ES" w:eastAsia="es-ES"/>
        </w:rPr>
        <w:t>formalmente</w:t>
      </w:r>
      <w:r w:rsidRPr="00152C0F">
        <w:rPr>
          <w:rFonts w:ascii="Times New Roman" w:hAnsi="Times New Roman" w:cs="Times New Roman"/>
          <w:sz w:val="28"/>
          <w:szCs w:val="28"/>
          <w:lang w:val="es-ES" w:eastAsia="es-ES"/>
        </w:rPr>
        <w:t xml:space="preserve"> instrumental</w:t>
      </w:r>
      <w:r w:rsidRPr="00152C0F">
        <w:rPr>
          <w:rFonts w:ascii="Times New Roman" w:hAnsi="Times New Roman" w:cs="Times New Roman"/>
          <w:sz w:val="28"/>
          <w:szCs w:val="28"/>
          <w:lang w:val="es-ES" w:eastAsia="es-ES"/>
        </w:rPr>
        <w:t>es</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ya que se encuentran </w:t>
      </w:r>
      <w:r w:rsidRPr="00152C0F">
        <w:rPr>
          <w:rFonts w:ascii="Times New Roman" w:hAnsi="Times New Roman" w:cs="Times New Roman"/>
          <w:sz w:val="28"/>
          <w:szCs w:val="28"/>
          <w:lang w:val="es-ES" w:eastAsia="es-ES"/>
        </w:rPr>
        <w:t>ubicad</w:t>
      </w:r>
      <w:r w:rsidRPr="00152C0F">
        <w:rPr>
          <w:rFonts w:ascii="Times New Roman" w:hAnsi="Times New Roman" w:cs="Times New Roman"/>
          <w:sz w:val="28"/>
          <w:szCs w:val="28"/>
          <w:lang w:val="es-ES" w:eastAsia="es-ES"/>
        </w:rPr>
        <w:t>a</w:t>
      </w:r>
      <w:r w:rsidRPr="00152C0F">
        <w:rPr>
          <w:rFonts w:ascii="Times New Roman" w:hAnsi="Times New Roman" w:cs="Times New Roman"/>
          <w:sz w:val="28"/>
          <w:szCs w:val="28"/>
          <w:lang w:val="es-ES" w:eastAsia="es-ES"/>
        </w:rPr>
        <w:t>s</w:t>
      </w:r>
      <w:r w:rsidRPr="00152C0F">
        <w:rPr>
          <w:rFonts w:ascii="Times New Roman" w:hAnsi="Times New Roman" w:cs="Times New Roman"/>
          <w:sz w:val="28"/>
          <w:szCs w:val="28"/>
          <w:lang w:val="es-ES" w:eastAsia="es-ES"/>
        </w:rPr>
        <w:t xml:space="preserve"> en los mecanismos de ejecución del plan y no en su parte general. </w:t>
      </w:r>
      <w:r w:rsidRPr="00152C0F">
        <w:rPr>
          <w:rFonts w:ascii="Times New Roman" w:hAnsi="Times New Roman" w:cs="Times New Roman"/>
          <w:sz w:val="28"/>
          <w:szCs w:val="28"/>
          <w:lang w:val="es-ES" w:eastAsia="es-ES"/>
        </w:rPr>
        <w:t xml:space="preserve">Ahora bien, como se precisa en </w:t>
      </w:r>
      <w:r w:rsidRPr="00152C0F">
        <w:rPr>
          <w:rFonts w:ascii="Times New Roman" w:hAnsi="Times New Roman" w:cs="Times New Roman"/>
          <w:sz w:val="28"/>
          <w:szCs w:val="28"/>
          <w:lang w:val="es-ES" w:eastAsia="es-ES"/>
        </w:rPr>
        <w:t xml:space="preserve">los </w:t>
      </w:r>
      <w:r w:rsidRPr="00152C0F">
        <w:rPr>
          <w:rFonts w:ascii="Times New Roman" w:hAnsi="Times New Roman" w:cs="Times New Roman"/>
          <w:sz w:val="28"/>
          <w:szCs w:val="28"/>
          <w:lang w:val="es-ES" w:eastAsia="es-ES"/>
        </w:rPr>
        <w:t>título</w:t>
      </w:r>
      <w:r w:rsidRPr="00152C0F">
        <w:rPr>
          <w:rFonts w:ascii="Times New Roman" w:hAnsi="Times New Roman" w:cs="Times New Roman"/>
          <w:sz w:val="28"/>
          <w:szCs w:val="28"/>
          <w:lang w:val="es-ES" w:eastAsia="es-ES"/>
        </w:rPr>
        <w:t>s</w:t>
      </w:r>
      <w:r w:rsidRPr="00152C0F">
        <w:rPr>
          <w:rFonts w:ascii="Times New Roman" w:hAnsi="Times New Roman" w:cs="Times New Roman"/>
          <w:sz w:val="28"/>
          <w:szCs w:val="28"/>
          <w:lang w:val="es-ES" w:eastAsia="es-ES"/>
        </w:rPr>
        <w:t xml:space="preserve"> 7.3 </w:t>
      </w:r>
      <w:r w:rsidRPr="00152C0F">
        <w:rPr>
          <w:rFonts w:ascii="Times New Roman" w:hAnsi="Times New Roman" w:cs="Times New Roman"/>
          <w:sz w:val="28"/>
          <w:szCs w:val="28"/>
          <w:lang w:val="es-ES" w:eastAsia="es-ES"/>
        </w:rPr>
        <w:t xml:space="preserve">y 7.4 </w:t>
      </w:r>
      <w:r w:rsidRPr="00152C0F">
        <w:rPr>
          <w:rFonts w:ascii="Times New Roman" w:hAnsi="Times New Roman" w:cs="Times New Roman"/>
          <w:i/>
          <w:iCs/>
          <w:sz w:val="28"/>
          <w:szCs w:val="28"/>
          <w:lang w:val="es-ES" w:eastAsia="es-ES"/>
        </w:rPr>
        <w:t>infra</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no </w:t>
      </w:r>
      <w:r w:rsidRPr="00152C0F">
        <w:rPr>
          <w:rFonts w:ascii="Times New Roman" w:hAnsi="Times New Roman" w:cs="Times New Roman"/>
          <w:sz w:val="28"/>
          <w:szCs w:val="28"/>
          <w:lang w:val="es-ES" w:eastAsia="es-ES"/>
        </w:rPr>
        <w:t xml:space="preserve">corresponden a </w:t>
      </w:r>
      <w:r w:rsidRPr="00152C0F">
        <w:rPr>
          <w:rFonts w:ascii="Times New Roman" w:hAnsi="Times New Roman" w:cs="Times New Roman"/>
          <w:sz w:val="28"/>
          <w:szCs w:val="28"/>
          <w:lang w:val="es-ES" w:eastAsia="es-ES"/>
        </w:rPr>
        <w:t>medidas instrumentales de cara a su contenido</w:t>
      </w:r>
      <w:r w:rsidRPr="00152C0F">
        <w:rPr>
          <w:rFonts w:ascii="Times New Roman" w:hAnsi="Times New Roman" w:cs="Times New Roman"/>
          <w:sz w:val="28"/>
          <w:szCs w:val="28"/>
          <w:lang w:val="es-ES" w:eastAsia="es-ES"/>
        </w:rPr>
        <w:t>, esto es, medidas materialmente instrumentales</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ya que, </w:t>
      </w:r>
      <w:r w:rsidRPr="00152C0F">
        <w:rPr>
          <w:rFonts w:ascii="Times New Roman" w:hAnsi="Times New Roman" w:cs="Times New Roman"/>
          <w:sz w:val="28"/>
          <w:szCs w:val="28"/>
          <w:lang w:val="es-ES" w:eastAsia="es-ES"/>
        </w:rPr>
        <w:t xml:space="preserve">en sentido estricto, </w:t>
      </w:r>
      <w:r w:rsidRPr="00152C0F">
        <w:rPr>
          <w:rFonts w:ascii="Times New Roman" w:hAnsi="Times New Roman" w:cs="Times New Roman"/>
          <w:sz w:val="28"/>
          <w:szCs w:val="28"/>
          <w:lang w:val="es-ES" w:eastAsia="es-ES"/>
        </w:rPr>
        <w:t xml:space="preserve">no son </w:t>
      </w:r>
      <w:r w:rsidRPr="00152C0F">
        <w:rPr>
          <w:rFonts w:ascii="Times New Roman" w:hAnsi="Times New Roman" w:cs="Times New Roman"/>
          <w:sz w:val="28"/>
          <w:szCs w:val="28"/>
          <w:lang w:val="es-ES" w:eastAsia="es-ES"/>
        </w:rPr>
        <w:t>medios</w:t>
      </w:r>
      <w:r w:rsidRPr="00152C0F">
        <w:rPr>
          <w:rFonts w:ascii="Times New Roman" w:hAnsi="Times New Roman" w:cs="Times New Roman"/>
          <w:sz w:val="28"/>
          <w:szCs w:val="28"/>
          <w:lang w:val="es-ES" w:eastAsia="es-ES"/>
        </w:rPr>
        <w:t xml:space="preserve"> de planificación</w:t>
      </w:r>
      <w:r w:rsidRPr="00152C0F">
        <w:rPr>
          <w:rFonts w:ascii="Times New Roman" w:hAnsi="Times New Roman" w:cs="Times New Roman"/>
          <w:sz w:val="28"/>
          <w:szCs w:val="28"/>
          <w:lang w:val="es-ES" w:eastAsia="es-ES"/>
        </w:rPr>
        <w:t xml:space="preserve"> ni son </w:t>
      </w:r>
      <w:r w:rsidRPr="00152C0F">
        <w:rPr>
          <w:rFonts w:ascii="Times New Roman" w:hAnsi="Times New Roman" w:cs="Times New Roman"/>
          <w:sz w:val="28"/>
          <w:szCs w:val="28"/>
          <w:lang w:val="es-ES" w:eastAsia="es-ES"/>
        </w:rPr>
        <w:t>necesarios</w:t>
      </w:r>
      <w:r w:rsidRPr="00152C0F">
        <w:rPr>
          <w:rFonts w:ascii="Times New Roman" w:hAnsi="Times New Roman" w:cs="Times New Roman"/>
          <w:sz w:val="28"/>
          <w:szCs w:val="28"/>
          <w:lang w:val="es-ES" w:eastAsia="es-ES"/>
        </w:rPr>
        <w:t xml:space="preserve"> para</w:t>
      </w:r>
      <w:r w:rsidRPr="00152C0F">
        <w:rPr>
          <w:rFonts w:ascii="Times New Roman" w:hAnsi="Times New Roman" w:cs="Times New Roman"/>
          <w:sz w:val="28"/>
          <w:szCs w:val="28"/>
          <w:lang w:val="es-ES" w:eastAsia="es-ES"/>
        </w:rPr>
        <w:t xml:space="preserve"> impulsar</w:t>
      </w:r>
      <w:r w:rsidRPr="00152C0F">
        <w:rPr>
          <w:rFonts w:ascii="Times New Roman" w:hAnsi="Times New Roman" w:cs="Times New Roman"/>
          <w:sz w:val="28"/>
          <w:szCs w:val="28"/>
          <w:lang w:val="es-ES" w:eastAsia="es-ES"/>
        </w:rPr>
        <w:t xml:space="preserve"> la ejecución del plan nacional de desarrollo</w:t>
      </w:r>
      <w:r w:rsidRPr="00152C0F">
        <w:rPr>
          <w:rFonts w:ascii="Times New Roman" w:hAnsi="Times New Roman" w:cs="Times New Roman"/>
          <w:sz w:val="28"/>
          <w:szCs w:val="28"/>
          <w:lang w:val="es-ES" w:eastAsia="es-ES"/>
        </w:rPr>
        <w:t>.</w:t>
      </w:r>
    </w:p>
    <w:p w:rsidR="0017423F" w:rsidRPr="00152C0F" w:rsidRDefault="00152C0F" w:rsidP="00B8312D">
      <w:pPr>
        <w:pStyle w:val="Prrafodelista"/>
        <w:ind w:left="0"/>
        <w:jc w:val="both"/>
        <w:rPr>
          <w:rFonts w:ascii="Times New Roman" w:hAnsi="Times New Roman" w:cs="Times New Roman"/>
          <w:sz w:val="28"/>
          <w:szCs w:val="28"/>
        </w:rPr>
      </w:pPr>
    </w:p>
    <w:p w:rsidR="007759CB" w:rsidRPr="00152C0F" w:rsidRDefault="00152C0F" w:rsidP="00A17EA0">
      <w:pPr>
        <w:pStyle w:val="Estilo1"/>
        <w:numPr>
          <w:ilvl w:val="1"/>
          <w:numId w:val="4"/>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La</w:t>
      </w:r>
      <w:r w:rsidRPr="00152C0F">
        <w:rPr>
          <w:rStyle w:val="Ttulo1Car"/>
          <w:rFonts w:ascii="Times New Roman" w:hAnsi="Times New Roman" w:cs="Times New Roman"/>
          <w:bCs/>
          <w:color w:val="auto"/>
          <w:sz w:val="28"/>
          <w:szCs w:val="28"/>
        </w:rPr>
        <w:t>s</w:t>
      </w:r>
      <w:r w:rsidRPr="00152C0F">
        <w:rPr>
          <w:rStyle w:val="Ttulo1Car"/>
          <w:rFonts w:ascii="Times New Roman" w:hAnsi="Times New Roman" w:cs="Times New Roman"/>
          <w:bCs/>
          <w:color w:val="auto"/>
          <w:sz w:val="28"/>
          <w:szCs w:val="28"/>
        </w:rPr>
        <w:t xml:space="preserve"> disposici</w:t>
      </w:r>
      <w:r w:rsidRPr="00152C0F">
        <w:rPr>
          <w:rStyle w:val="Ttulo1Car"/>
          <w:rFonts w:ascii="Times New Roman" w:hAnsi="Times New Roman" w:cs="Times New Roman"/>
          <w:bCs/>
          <w:color w:val="auto"/>
          <w:sz w:val="28"/>
          <w:szCs w:val="28"/>
        </w:rPr>
        <w:t>ones</w:t>
      </w:r>
      <w:r w:rsidRPr="00152C0F">
        <w:rPr>
          <w:rStyle w:val="Ttulo1Car"/>
          <w:rFonts w:ascii="Times New Roman" w:hAnsi="Times New Roman" w:cs="Times New Roman"/>
          <w:bCs/>
          <w:color w:val="auto"/>
          <w:sz w:val="28"/>
          <w:szCs w:val="28"/>
        </w:rPr>
        <w:t xml:space="preserve"> demandada</w:t>
      </w:r>
      <w:r w:rsidRPr="00152C0F">
        <w:rPr>
          <w:rStyle w:val="Ttulo1Car"/>
          <w:rFonts w:ascii="Times New Roman" w:hAnsi="Times New Roman" w:cs="Times New Roman"/>
          <w:bCs/>
          <w:color w:val="auto"/>
          <w:sz w:val="28"/>
          <w:szCs w:val="28"/>
        </w:rPr>
        <w:t>s</w:t>
      </w:r>
      <w:r w:rsidRPr="00152C0F">
        <w:rPr>
          <w:rStyle w:val="Ttulo1Car"/>
          <w:rFonts w:ascii="Times New Roman" w:hAnsi="Times New Roman" w:cs="Times New Roman"/>
          <w:bCs/>
          <w:color w:val="auto"/>
          <w:sz w:val="28"/>
          <w:szCs w:val="28"/>
        </w:rPr>
        <w:t xml:space="preserve"> </w:t>
      </w:r>
      <w:r w:rsidRPr="00152C0F">
        <w:rPr>
          <w:rFonts w:ascii="Times New Roman" w:eastAsia="Cambria" w:hAnsi="Times New Roman" w:cs="Times New Roman"/>
          <w:b/>
        </w:rPr>
        <w:t>modifica</w:t>
      </w:r>
      <w:r w:rsidRPr="00152C0F">
        <w:rPr>
          <w:rFonts w:ascii="Times New Roman" w:eastAsia="Cambria" w:hAnsi="Times New Roman" w:cs="Times New Roman"/>
          <w:b/>
        </w:rPr>
        <w:t>n</w:t>
      </w:r>
      <w:r w:rsidRPr="00152C0F">
        <w:rPr>
          <w:rFonts w:ascii="Times New Roman" w:eastAsia="Cambria" w:hAnsi="Times New Roman" w:cs="Times New Roman"/>
          <w:b/>
        </w:rPr>
        <w:t xml:space="preserve"> de manera permanente </w:t>
      </w:r>
      <w:r w:rsidRPr="00152C0F">
        <w:rPr>
          <w:rFonts w:ascii="Times New Roman" w:eastAsia="Cambria" w:hAnsi="Times New Roman" w:cs="Times New Roman"/>
          <w:b/>
        </w:rPr>
        <w:t xml:space="preserve">y estructural </w:t>
      </w:r>
      <w:r w:rsidRPr="00152C0F">
        <w:rPr>
          <w:rFonts w:ascii="Times New Roman" w:eastAsia="Cambria" w:hAnsi="Times New Roman" w:cs="Times New Roman"/>
          <w:b/>
        </w:rPr>
        <w:t xml:space="preserve">el régimen jurídico </w:t>
      </w:r>
      <w:r w:rsidRPr="00152C0F">
        <w:rPr>
          <w:rFonts w:ascii="Times New Roman" w:eastAsia="Cambria" w:hAnsi="Times New Roman" w:cs="Times New Roman"/>
          <w:b/>
        </w:rPr>
        <w:t>que regula e</w:t>
      </w:r>
      <w:r w:rsidRPr="00152C0F">
        <w:rPr>
          <w:rFonts w:ascii="Times New Roman" w:eastAsia="Cambria" w:hAnsi="Times New Roman" w:cs="Times New Roman"/>
          <w:b/>
        </w:rPr>
        <w:t xml:space="preserve">l proceso judicial </w:t>
      </w:r>
      <w:r w:rsidRPr="00152C0F">
        <w:rPr>
          <w:rFonts w:ascii="Times New Roman" w:eastAsia="Cambria" w:hAnsi="Times New Roman" w:cs="Times New Roman"/>
          <w:b/>
        </w:rPr>
        <w:t>de extinción del dominio</w:t>
      </w:r>
    </w:p>
    <w:p w:rsidR="007759CB" w:rsidRPr="00152C0F" w:rsidRDefault="00152C0F" w:rsidP="007759CB">
      <w:pPr>
        <w:rPr>
          <w:rFonts w:ascii="Times New Roman" w:eastAsia="Cambria" w:hAnsi="Times New Roman" w:cs="Times New Roman"/>
          <w:bCs/>
          <w:sz w:val="28"/>
          <w:szCs w:val="28"/>
        </w:rPr>
      </w:pPr>
    </w:p>
    <w:p w:rsidR="00F340F2"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A pesar de</w:t>
      </w:r>
      <w:r w:rsidRPr="00152C0F">
        <w:rPr>
          <w:rFonts w:ascii="Times New Roman" w:hAnsi="Times New Roman" w:cs="Times New Roman"/>
          <w:sz w:val="28"/>
          <w:szCs w:val="28"/>
        </w:rPr>
        <w:t xml:space="preserve">l carácter esencialmente temporal </w:t>
      </w:r>
      <w:r w:rsidRPr="00152C0F">
        <w:rPr>
          <w:rFonts w:ascii="Times New Roman" w:hAnsi="Times New Roman" w:cs="Times New Roman"/>
          <w:sz w:val="28"/>
          <w:szCs w:val="28"/>
        </w:rPr>
        <w:t xml:space="preserve">y planificador </w:t>
      </w:r>
      <w:r w:rsidRPr="00152C0F">
        <w:rPr>
          <w:rFonts w:ascii="Times New Roman" w:hAnsi="Times New Roman" w:cs="Times New Roman"/>
          <w:sz w:val="28"/>
          <w:szCs w:val="28"/>
        </w:rPr>
        <w:t xml:space="preserve">de las disposiciones de las leyes </w:t>
      </w:r>
      <w:r w:rsidRPr="00152C0F">
        <w:rPr>
          <w:rFonts w:ascii="Times New Roman" w:hAnsi="Times New Roman" w:cs="Times New Roman"/>
          <w:sz w:val="28"/>
          <w:szCs w:val="28"/>
        </w:rPr>
        <w:t>aprobatoria</w:t>
      </w:r>
      <w:r w:rsidRPr="00152C0F">
        <w:rPr>
          <w:rFonts w:ascii="Times New Roman" w:hAnsi="Times New Roman" w:cs="Times New Roman"/>
          <w:sz w:val="28"/>
          <w:szCs w:val="28"/>
        </w:rPr>
        <w:t>s</w:t>
      </w:r>
      <w:r w:rsidRPr="00152C0F">
        <w:rPr>
          <w:rFonts w:ascii="Times New Roman" w:hAnsi="Times New Roman" w:cs="Times New Roman"/>
          <w:sz w:val="28"/>
          <w:szCs w:val="28"/>
        </w:rPr>
        <w:t xml:space="preserve"> del p</w:t>
      </w:r>
      <w:r w:rsidRPr="00152C0F">
        <w:rPr>
          <w:rFonts w:ascii="Times New Roman" w:hAnsi="Times New Roman" w:cs="Times New Roman"/>
          <w:sz w:val="28"/>
          <w:szCs w:val="28"/>
        </w:rPr>
        <w:t>lan nacional de desarrollo</w:t>
      </w:r>
      <w:r w:rsidRPr="00152C0F">
        <w:rPr>
          <w:rStyle w:val="Refdenotaalpie"/>
          <w:rFonts w:ascii="Times New Roman" w:hAnsi="Times New Roman" w:cs="Times New Roman"/>
          <w:sz w:val="28"/>
          <w:szCs w:val="28"/>
        </w:rPr>
        <w:footnoteReference w:id="100"/>
      </w:r>
      <w:r w:rsidRPr="00152C0F">
        <w:rPr>
          <w:rFonts w:ascii="Times New Roman" w:hAnsi="Times New Roman" w:cs="Times New Roman"/>
          <w:sz w:val="28"/>
          <w:szCs w:val="28"/>
        </w:rPr>
        <w:t>, l</w:t>
      </w:r>
      <w:r w:rsidRPr="00152C0F">
        <w:rPr>
          <w:rFonts w:ascii="Times New Roman" w:hAnsi="Times New Roman" w:cs="Times New Roman"/>
          <w:sz w:val="28"/>
          <w:szCs w:val="28"/>
        </w:rPr>
        <w:t xml:space="preserve">os artículos 211 y 212 de la Ley 2294 de 2023 introducen modificaciones permanentes </w:t>
      </w:r>
      <w:r w:rsidRPr="00152C0F">
        <w:rPr>
          <w:rFonts w:ascii="Times New Roman" w:hAnsi="Times New Roman" w:cs="Times New Roman"/>
          <w:sz w:val="28"/>
          <w:szCs w:val="28"/>
        </w:rPr>
        <w:t>y est</w:t>
      </w:r>
      <w:r w:rsidRPr="00152C0F">
        <w:rPr>
          <w:rFonts w:ascii="Times New Roman" w:hAnsi="Times New Roman" w:cs="Times New Roman"/>
          <w:sz w:val="28"/>
          <w:szCs w:val="28"/>
        </w:rPr>
        <w:t xml:space="preserve">ructurales </w:t>
      </w:r>
      <w:r w:rsidRPr="00152C0F">
        <w:rPr>
          <w:rFonts w:ascii="Times New Roman" w:hAnsi="Times New Roman" w:cs="Times New Roman"/>
          <w:sz w:val="28"/>
          <w:szCs w:val="28"/>
        </w:rPr>
        <w:t xml:space="preserve">al régimen jurídico de </w:t>
      </w:r>
      <w:r w:rsidRPr="00152C0F">
        <w:rPr>
          <w:rFonts w:ascii="Times New Roman" w:hAnsi="Times New Roman" w:cs="Times New Roman"/>
          <w:sz w:val="28"/>
          <w:szCs w:val="28"/>
        </w:rPr>
        <w:t xml:space="preserve">la </w:t>
      </w:r>
      <w:r w:rsidRPr="00152C0F">
        <w:rPr>
          <w:rFonts w:ascii="Times New Roman" w:hAnsi="Times New Roman" w:cs="Times New Roman"/>
          <w:sz w:val="28"/>
          <w:szCs w:val="28"/>
        </w:rPr>
        <w:t>extinción de dominio.</w:t>
      </w:r>
    </w:p>
    <w:p w:rsidR="00F340F2" w:rsidRPr="00152C0F" w:rsidRDefault="00152C0F" w:rsidP="00F340F2">
      <w:pPr>
        <w:pStyle w:val="Prrafodelista"/>
        <w:ind w:left="0"/>
        <w:jc w:val="both"/>
        <w:rPr>
          <w:rFonts w:ascii="Times New Roman" w:hAnsi="Times New Roman" w:cs="Times New Roman"/>
          <w:sz w:val="28"/>
          <w:szCs w:val="28"/>
        </w:rPr>
      </w:pPr>
    </w:p>
    <w:p w:rsidR="006C5584"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El </w:t>
      </w:r>
      <w:r w:rsidRPr="00152C0F">
        <w:rPr>
          <w:rFonts w:ascii="Times New Roman" w:hAnsi="Times New Roman" w:cs="Times New Roman"/>
          <w:sz w:val="28"/>
          <w:szCs w:val="28"/>
        </w:rPr>
        <w:t xml:space="preserve">primero </w:t>
      </w:r>
      <w:r w:rsidRPr="00152C0F">
        <w:rPr>
          <w:rFonts w:ascii="Times New Roman" w:hAnsi="Times New Roman" w:cs="Times New Roman"/>
          <w:sz w:val="28"/>
          <w:szCs w:val="28"/>
        </w:rPr>
        <w:t>establece la imprescriptibilidad de los bienes del FRISCO</w:t>
      </w:r>
      <w:r w:rsidRPr="00152C0F">
        <w:rPr>
          <w:rFonts w:ascii="Times New Roman" w:hAnsi="Times New Roman" w:cs="Times New Roman"/>
          <w:sz w:val="28"/>
          <w:szCs w:val="28"/>
        </w:rPr>
        <w:t xml:space="preserve">, medida específicamente aplicable a aquellos </w:t>
      </w:r>
      <w:r w:rsidRPr="00152C0F">
        <w:rPr>
          <w:rFonts w:ascii="Times New Roman" w:hAnsi="Times New Roman" w:cs="Times New Roman"/>
          <w:sz w:val="28"/>
          <w:szCs w:val="28"/>
        </w:rPr>
        <w:t>“afectados con medidas cautelares en proceso de extinción de dominio”</w:t>
      </w:r>
      <w:r w:rsidRPr="00152C0F">
        <w:rPr>
          <w:rStyle w:val="Refdenotaalpie"/>
          <w:rFonts w:ascii="Times New Roman" w:hAnsi="Times New Roman" w:cs="Times New Roman"/>
          <w:sz w:val="28"/>
          <w:szCs w:val="28"/>
        </w:rPr>
        <w:footnoteReference w:id="101"/>
      </w:r>
      <w:r w:rsidRPr="00152C0F">
        <w:rPr>
          <w:rFonts w:ascii="Times New Roman" w:hAnsi="Times New Roman" w:cs="Times New Roman"/>
          <w:sz w:val="28"/>
          <w:szCs w:val="28"/>
        </w:rPr>
        <w:t xml:space="preserve">, de los </w:t>
      </w:r>
      <w:r w:rsidRPr="00152C0F">
        <w:rPr>
          <w:rFonts w:ascii="Times New Roman" w:hAnsi="Times New Roman" w:cs="Times New Roman"/>
          <w:sz w:val="28"/>
          <w:szCs w:val="28"/>
        </w:rPr>
        <w:t>cuales no se predicaba tal protección</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Esta </w:t>
      </w:r>
      <w:r w:rsidRPr="00152C0F">
        <w:rPr>
          <w:rFonts w:ascii="Times New Roman" w:hAnsi="Times New Roman" w:cs="Times New Roman"/>
          <w:sz w:val="28"/>
          <w:szCs w:val="28"/>
        </w:rPr>
        <w:t>(</w:t>
      </w:r>
      <w:r w:rsidRPr="00152C0F">
        <w:rPr>
          <w:rFonts w:ascii="Times New Roman" w:hAnsi="Times New Roman" w:cs="Times New Roman"/>
          <w:sz w:val="28"/>
          <w:szCs w:val="28"/>
        </w:rPr>
        <w:t>la imprescriptibilidad de los bienes del FRISCO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únicamente amparaba a aquellos </w:t>
      </w:r>
      <w:r w:rsidRPr="00152C0F">
        <w:rPr>
          <w:rFonts w:ascii="Times New Roman" w:hAnsi="Times New Roman" w:cs="Times New Roman"/>
          <w:sz w:val="28"/>
          <w:szCs w:val="28"/>
        </w:rPr>
        <w:t xml:space="preserve">bienes </w:t>
      </w:r>
      <w:r w:rsidRPr="00152C0F">
        <w:rPr>
          <w:rFonts w:ascii="Times New Roman" w:hAnsi="Times New Roman" w:cs="Times New Roman"/>
          <w:sz w:val="28"/>
          <w:szCs w:val="28"/>
        </w:rPr>
        <w:t xml:space="preserve">respecto de los cuales </w:t>
      </w:r>
      <w:r w:rsidRPr="00152C0F">
        <w:rPr>
          <w:rFonts w:ascii="Times New Roman" w:hAnsi="Times New Roman" w:cs="Times New Roman"/>
          <w:sz w:val="28"/>
          <w:szCs w:val="28"/>
        </w:rPr>
        <w:t xml:space="preserve">se </w:t>
      </w:r>
      <w:r w:rsidRPr="00152C0F">
        <w:rPr>
          <w:rFonts w:ascii="Times New Roman" w:hAnsi="Times New Roman" w:cs="Times New Roman"/>
          <w:sz w:val="28"/>
          <w:szCs w:val="28"/>
        </w:rPr>
        <w:t xml:space="preserve">había declarado la extinción del </w:t>
      </w:r>
      <w:r w:rsidRPr="00152C0F">
        <w:rPr>
          <w:rFonts w:ascii="Times New Roman" w:hAnsi="Times New Roman" w:cs="Times New Roman"/>
          <w:sz w:val="28"/>
          <w:szCs w:val="28"/>
        </w:rPr>
        <w:t>dominio</w:t>
      </w:r>
      <w:r w:rsidRPr="00152C0F">
        <w:rPr>
          <w:rFonts w:ascii="Times New Roman" w:hAnsi="Times New Roman" w:cs="Times New Roman"/>
          <w:sz w:val="28"/>
          <w:szCs w:val="28"/>
        </w:rPr>
        <w:t xml:space="preserve">, al pasar </w:t>
      </w:r>
      <w:r w:rsidRPr="00152C0F">
        <w:rPr>
          <w:rFonts w:ascii="Times New Roman" w:hAnsi="Times New Roman" w:cs="Times New Roman"/>
          <w:sz w:val="28"/>
          <w:szCs w:val="28"/>
        </w:rPr>
        <w:t xml:space="preserve">a la </w:t>
      </w:r>
      <w:r w:rsidRPr="00152C0F">
        <w:rPr>
          <w:rFonts w:ascii="Times New Roman" w:hAnsi="Times New Roman" w:cs="Times New Roman"/>
          <w:sz w:val="28"/>
          <w:szCs w:val="28"/>
        </w:rPr>
        <w:t xml:space="preserve">titularidad </w:t>
      </w:r>
      <w:r w:rsidRPr="00152C0F">
        <w:rPr>
          <w:rFonts w:ascii="Times New Roman" w:hAnsi="Times New Roman" w:cs="Times New Roman"/>
          <w:sz w:val="28"/>
          <w:szCs w:val="28"/>
        </w:rPr>
        <w:t>del</w:t>
      </w:r>
      <w:r w:rsidRPr="00152C0F">
        <w:rPr>
          <w:rFonts w:ascii="Times New Roman" w:hAnsi="Times New Roman" w:cs="Times New Roman"/>
          <w:sz w:val="28"/>
          <w:szCs w:val="28"/>
        </w:rPr>
        <w:t xml:space="preserve"> Estado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en los términos del </w:t>
      </w:r>
      <w:r w:rsidRPr="00152C0F">
        <w:rPr>
          <w:rFonts w:ascii="Times New Roman" w:hAnsi="Times New Roman" w:cs="Times New Roman"/>
          <w:sz w:val="28"/>
          <w:szCs w:val="28"/>
        </w:rPr>
        <w:t>artículo 15 de la Ley 1708 de 2014</w:t>
      </w:r>
      <w:r w:rsidRPr="00152C0F">
        <w:rPr>
          <w:rStyle w:val="Refdenotaalpie"/>
          <w:rFonts w:ascii="Times New Roman" w:hAnsi="Times New Roman" w:cs="Times New Roman"/>
          <w:sz w:val="28"/>
          <w:szCs w:val="28"/>
        </w:rPr>
        <w:footnoteReference w:id="102"/>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cuyos bienes se protegen por </w:t>
      </w:r>
      <w:r w:rsidRPr="00152C0F">
        <w:rPr>
          <w:rFonts w:ascii="Times New Roman" w:hAnsi="Times New Roman" w:cs="Times New Roman"/>
          <w:sz w:val="28"/>
          <w:szCs w:val="28"/>
        </w:rPr>
        <w:t xml:space="preserve">dicha </w:t>
      </w:r>
      <w:r w:rsidRPr="00152C0F">
        <w:rPr>
          <w:rFonts w:ascii="Times New Roman" w:hAnsi="Times New Roman" w:cs="Times New Roman"/>
          <w:sz w:val="28"/>
          <w:szCs w:val="28"/>
        </w:rPr>
        <w:t>garantía</w:t>
      </w:r>
      <w:r w:rsidRPr="00152C0F">
        <w:rPr>
          <w:rFonts w:ascii="Times New Roman" w:hAnsi="Times New Roman" w:cs="Times New Roman"/>
          <w:sz w:val="28"/>
          <w:szCs w:val="28"/>
        </w:rPr>
        <w:t xml:space="preserve"> en los términos del </w:t>
      </w:r>
      <w:r w:rsidRPr="00152C0F">
        <w:rPr>
          <w:rFonts w:ascii="Times New Roman" w:hAnsi="Times New Roman" w:cs="Times New Roman"/>
          <w:sz w:val="28"/>
          <w:szCs w:val="28"/>
        </w:rPr>
        <w:t xml:space="preserve">artículo </w:t>
      </w:r>
      <w:r w:rsidRPr="00152C0F">
        <w:rPr>
          <w:rFonts w:ascii="Times New Roman" w:hAnsi="Times New Roman" w:cs="Times New Roman"/>
          <w:sz w:val="28"/>
          <w:szCs w:val="28"/>
        </w:rPr>
        <w:t>63 de la Constitución</w:t>
      </w:r>
      <w:r w:rsidRPr="00152C0F">
        <w:rPr>
          <w:rStyle w:val="Refdenotaalpie"/>
          <w:rFonts w:ascii="Times New Roman" w:hAnsi="Times New Roman" w:cs="Times New Roman"/>
          <w:sz w:val="28"/>
          <w:szCs w:val="28"/>
        </w:rPr>
        <w:footnoteReference w:id="103"/>
      </w:r>
      <w:r w:rsidRPr="00152C0F">
        <w:rPr>
          <w:rFonts w:ascii="Times New Roman" w:hAnsi="Times New Roman" w:cs="Times New Roman"/>
          <w:sz w:val="28"/>
          <w:szCs w:val="28"/>
        </w:rPr>
        <w:t xml:space="preserve"> y</w:t>
      </w:r>
      <w:r w:rsidRPr="00152C0F">
        <w:rPr>
          <w:rFonts w:ascii="Times New Roman" w:hAnsi="Times New Roman" w:cs="Times New Roman"/>
          <w:sz w:val="28"/>
          <w:szCs w:val="28"/>
        </w:rPr>
        <w:t xml:space="preserve">, entre otros, </w:t>
      </w:r>
      <w:r w:rsidRPr="00152C0F">
        <w:rPr>
          <w:rFonts w:ascii="Times New Roman" w:hAnsi="Times New Roman" w:cs="Times New Roman"/>
          <w:sz w:val="28"/>
          <w:szCs w:val="28"/>
        </w:rPr>
        <w:t xml:space="preserve">por </w:t>
      </w:r>
      <w:r w:rsidRPr="00152C0F">
        <w:rPr>
          <w:rFonts w:ascii="Times New Roman" w:hAnsi="Times New Roman" w:cs="Times New Roman"/>
          <w:sz w:val="28"/>
          <w:szCs w:val="28"/>
        </w:rPr>
        <w:t>los artículo</w:t>
      </w:r>
      <w:r w:rsidRPr="00152C0F">
        <w:rPr>
          <w:rFonts w:ascii="Times New Roman" w:hAnsi="Times New Roman" w:cs="Times New Roman"/>
          <w:sz w:val="28"/>
          <w:szCs w:val="28"/>
        </w:rPr>
        <w:t>s</w:t>
      </w:r>
      <w:r w:rsidRPr="00152C0F">
        <w:rPr>
          <w:rFonts w:ascii="Times New Roman" w:hAnsi="Times New Roman" w:cs="Times New Roman"/>
          <w:sz w:val="28"/>
          <w:szCs w:val="28"/>
        </w:rPr>
        <w:t xml:space="preserve"> 42 de la Ley </w:t>
      </w:r>
      <w:r w:rsidRPr="00152C0F">
        <w:rPr>
          <w:rFonts w:ascii="Times New Roman" w:hAnsi="Times New Roman" w:cs="Times New Roman"/>
          <w:sz w:val="28"/>
          <w:szCs w:val="28"/>
        </w:rPr>
        <w:t>1537 de 2012</w:t>
      </w:r>
      <w:r w:rsidRPr="00152C0F">
        <w:rPr>
          <w:rStyle w:val="Refdenotaalpie"/>
          <w:rFonts w:ascii="Times New Roman" w:hAnsi="Times New Roman" w:cs="Times New Roman"/>
          <w:sz w:val="28"/>
          <w:szCs w:val="28"/>
        </w:rPr>
        <w:footnoteReference w:id="104"/>
      </w:r>
      <w:r w:rsidRPr="00152C0F">
        <w:rPr>
          <w:rFonts w:ascii="Times New Roman" w:hAnsi="Times New Roman" w:cs="Times New Roman"/>
          <w:sz w:val="28"/>
          <w:szCs w:val="28"/>
        </w:rPr>
        <w:t xml:space="preserve"> y </w:t>
      </w:r>
      <w:r w:rsidRPr="00152C0F">
        <w:rPr>
          <w:rFonts w:ascii="Times New Roman" w:hAnsi="Times New Roman" w:cs="Times New Roman"/>
          <w:sz w:val="28"/>
          <w:szCs w:val="28"/>
        </w:rPr>
        <w:t>375</w:t>
      </w:r>
      <w:r w:rsidRPr="00152C0F">
        <w:rPr>
          <w:rFonts w:ascii="Times New Roman" w:hAnsi="Times New Roman" w:cs="Times New Roman"/>
          <w:sz w:val="28"/>
          <w:szCs w:val="28"/>
        </w:rPr>
        <w:t xml:space="preserve"> de</w:t>
      </w:r>
      <w:r w:rsidRPr="00152C0F">
        <w:rPr>
          <w:rFonts w:ascii="Times New Roman" w:hAnsi="Times New Roman" w:cs="Times New Roman"/>
          <w:sz w:val="28"/>
          <w:szCs w:val="28"/>
        </w:rPr>
        <w:t>l Código General del Proceso (</w:t>
      </w:r>
      <w:r w:rsidRPr="00152C0F">
        <w:rPr>
          <w:rFonts w:ascii="Times New Roman" w:hAnsi="Times New Roman" w:cs="Times New Roman"/>
          <w:sz w:val="28"/>
          <w:szCs w:val="28"/>
        </w:rPr>
        <w:t>Ley</w:t>
      </w:r>
      <w:r w:rsidRPr="00152C0F">
        <w:rPr>
          <w:rFonts w:ascii="Times New Roman" w:hAnsi="Times New Roman" w:cs="Times New Roman"/>
          <w:sz w:val="28"/>
          <w:szCs w:val="28"/>
        </w:rPr>
        <w:t xml:space="preserve"> 15</w:t>
      </w:r>
      <w:r w:rsidRPr="00152C0F">
        <w:rPr>
          <w:rFonts w:ascii="Times New Roman" w:hAnsi="Times New Roman" w:cs="Times New Roman"/>
          <w:sz w:val="28"/>
          <w:szCs w:val="28"/>
        </w:rPr>
        <w:t>64</w:t>
      </w:r>
      <w:r w:rsidRPr="00152C0F">
        <w:rPr>
          <w:rFonts w:ascii="Times New Roman" w:hAnsi="Times New Roman" w:cs="Times New Roman"/>
          <w:sz w:val="28"/>
          <w:szCs w:val="28"/>
        </w:rPr>
        <w:t xml:space="preserve"> de 2012</w:t>
      </w:r>
      <w:r w:rsidRPr="00152C0F">
        <w:rPr>
          <w:rStyle w:val="Refdenotaalpie"/>
          <w:rFonts w:ascii="Times New Roman" w:hAnsi="Times New Roman" w:cs="Times New Roman"/>
          <w:sz w:val="28"/>
          <w:szCs w:val="28"/>
        </w:rPr>
        <w:footnoteReference w:id="105"/>
      </w:r>
      <w:r w:rsidRPr="00152C0F">
        <w:rPr>
          <w:rFonts w:ascii="Times New Roman" w:hAnsi="Times New Roman" w:cs="Times New Roman"/>
          <w:sz w:val="28"/>
          <w:szCs w:val="28"/>
        </w:rPr>
        <w:t>)</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A pesar de que en el proceso de extinción del dominio se podían decretar medidas cautelares</w:t>
      </w:r>
      <w:r w:rsidRPr="00152C0F">
        <w:rPr>
          <w:rFonts w:ascii="Times New Roman" w:hAnsi="Times New Roman" w:cs="Times New Roman"/>
          <w:sz w:val="28"/>
          <w:szCs w:val="28"/>
        </w:rPr>
        <w:t xml:space="preserve"> sobre los bienes objeto del proceso</w:t>
      </w:r>
      <w:r w:rsidRPr="00152C0F">
        <w:rPr>
          <w:rFonts w:ascii="Times New Roman" w:hAnsi="Times New Roman" w:cs="Times New Roman"/>
          <w:sz w:val="28"/>
          <w:szCs w:val="28"/>
        </w:rPr>
        <w:t xml:space="preserve">, ninguna de estas </w:t>
      </w:r>
      <w:r w:rsidRPr="00152C0F">
        <w:rPr>
          <w:rFonts w:ascii="Times New Roman" w:hAnsi="Times New Roman" w:cs="Times New Roman"/>
          <w:sz w:val="28"/>
          <w:szCs w:val="28"/>
        </w:rPr>
        <w:t xml:space="preserve">aseguraba su imprescriptibilidad, </w:t>
      </w:r>
      <w:r w:rsidRPr="00152C0F">
        <w:rPr>
          <w:rFonts w:ascii="Times New Roman" w:hAnsi="Times New Roman" w:cs="Times New Roman"/>
          <w:sz w:val="28"/>
          <w:szCs w:val="28"/>
        </w:rPr>
        <w:t xml:space="preserve">ya que su </w:t>
      </w:r>
      <w:r w:rsidRPr="00152C0F">
        <w:rPr>
          <w:rFonts w:ascii="Times New Roman" w:hAnsi="Times New Roman" w:cs="Times New Roman"/>
          <w:sz w:val="28"/>
          <w:szCs w:val="28"/>
        </w:rPr>
        <w:t xml:space="preserve">decreto no </w:t>
      </w:r>
      <w:r w:rsidRPr="00152C0F">
        <w:rPr>
          <w:rFonts w:ascii="Times New Roman" w:hAnsi="Times New Roman" w:cs="Times New Roman"/>
          <w:sz w:val="28"/>
          <w:szCs w:val="28"/>
        </w:rPr>
        <w:t>cambiaba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su naturaleza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a la de un bien de dominio </w:t>
      </w:r>
      <w:r w:rsidRPr="00152C0F">
        <w:rPr>
          <w:rFonts w:ascii="Times New Roman" w:hAnsi="Times New Roman" w:cs="Times New Roman"/>
          <w:sz w:val="28"/>
          <w:szCs w:val="28"/>
        </w:rPr>
        <w:t>público</w:t>
      </w:r>
      <w:r w:rsidRPr="00152C0F">
        <w:rPr>
          <w:rFonts w:ascii="Times New Roman" w:hAnsi="Times New Roman" w:cs="Times New Roman"/>
          <w:sz w:val="28"/>
          <w:szCs w:val="28"/>
        </w:rPr>
        <w:t>.</w:t>
      </w:r>
    </w:p>
    <w:p w:rsidR="00C26C32" w:rsidRPr="00152C0F" w:rsidRDefault="00152C0F" w:rsidP="00C26C32">
      <w:pPr>
        <w:pStyle w:val="Prrafodelista"/>
        <w:rPr>
          <w:rFonts w:ascii="Times New Roman" w:hAnsi="Times New Roman" w:cs="Times New Roman"/>
          <w:sz w:val="28"/>
          <w:szCs w:val="28"/>
        </w:rPr>
      </w:pPr>
    </w:p>
    <w:p w:rsidR="0041605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A partir de esta caracterización, </w:t>
      </w:r>
      <w:r w:rsidRPr="00152C0F">
        <w:rPr>
          <w:rFonts w:ascii="Times New Roman" w:hAnsi="Times New Roman" w:cs="Times New Roman"/>
          <w:sz w:val="28"/>
          <w:szCs w:val="28"/>
        </w:rPr>
        <w:t xml:space="preserve">la medida que contiene el artículo 211 acusado es </w:t>
      </w:r>
      <w:r w:rsidRPr="00152C0F">
        <w:rPr>
          <w:rFonts w:ascii="Times New Roman" w:hAnsi="Times New Roman" w:cs="Times New Roman"/>
          <w:sz w:val="28"/>
          <w:szCs w:val="28"/>
        </w:rPr>
        <w:t xml:space="preserve">permanente, </w:t>
      </w:r>
      <w:r w:rsidRPr="00152C0F">
        <w:rPr>
          <w:rFonts w:ascii="Times New Roman" w:hAnsi="Times New Roman" w:cs="Times New Roman"/>
          <w:sz w:val="28"/>
          <w:szCs w:val="28"/>
        </w:rPr>
        <w:t>y</w:t>
      </w:r>
      <w:r w:rsidRPr="00152C0F">
        <w:rPr>
          <w:rFonts w:ascii="Times New Roman" w:hAnsi="Times New Roman" w:cs="Times New Roman"/>
          <w:sz w:val="28"/>
          <w:szCs w:val="28"/>
        </w:rPr>
        <w:t xml:space="preserve">a que su vigencia no </w:t>
      </w:r>
      <w:r w:rsidRPr="00152C0F">
        <w:rPr>
          <w:rFonts w:ascii="Times New Roman" w:hAnsi="Times New Roman" w:cs="Times New Roman"/>
          <w:sz w:val="28"/>
          <w:szCs w:val="28"/>
        </w:rPr>
        <w:t xml:space="preserve">se </w:t>
      </w:r>
      <w:r w:rsidRPr="00152C0F">
        <w:rPr>
          <w:rFonts w:ascii="Times New Roman" w:hAnsi="Times New Roman" w:cs="Times New Roman"/>
          <w:sz w:val="28"/>
          <w:szCs w:val="28"/>
        </w:rPr>
        <w:t xml:space="preserve">supedita a la </w:t>
      </w:r>
      <w:r w:rsidRPr="00152C0F">
        <w:rPr>
          <w:rFonts w:ascii="Times New Roman" w:hAnsi="Times New Roman" w:cs="Times New Roman"/>
          <w:sz w:val="28"/>
          <w:szCs w:val="28"/>
        </w:rPr>
        <w:t xml:space="preserve">del periodo cuatrienal para el cual </w:t>
      </w:r>
      <w:r w:rsidRPr="00152C0F">
        <w:rPr>
          <w:rFonts w:ascii="Times New Roman" w:hAnsi="Times New Roman" w:cs="Times New Roman"/>
          <w:sz w:val="28"/>
          <w:szCs w:val="28"/>
        </w:rPr>
        <w:t xml:space="preserve">se </w:t>
      </w:r>
      <w:r w:rsidRPr="00152C0F">
        <w:rPr>
          <w:rFonts w:ascii="Times New Roman" w:hAnsi="Times New Roman" w:cs="Times New Roman"/>
          <w:sz w:val="28"/>
          <w:szCs w:val="28"/>
        </w:rPr>
        <w:t xml:space="preserve">adopta el </w:t>
      </w:r>
      <w:r w:rsidRPr="00152C0F">
        <w:rPr>
          <w:rFonts w:ascii="Times New Roman" w:hAnsi="Times New Roman" w:cs="Times New Roman"/>
          <w:sz w:val="28"/>
          <w:szCs w:val="28"/>
          <w:lang w:val="es-ES"/>
        </w:rPr>
        <w:t xml:space="preserve">Plan Nacional de Desarrollo </w:t>
      </w:r>
      <w:r w:rsidRPr="00152C0F">
        <w:rPr>
          <w:rFonts w:ascii="Times New Roman" w:hAnsi="Times New Roman" w:cs="Times New Roman"/>
          <w:sz w:val="28"/>
          <w:szCs w:val="28"/>
        </w:rPr>
        <w:t>2022-2026, “Colombia Potencia Mundial de la Vida”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Corresponde, </w:t>
      </w:r>
      <w:r w:rsidRPr="00152C0F">
        <w:rPr>
          <w:rFonts w:ascii="Times New Roman" w:hAnsi="Times New Roman" w:cs="Times New Roman"/>
          <w:sz w:val="28"/>
          <w:szCs w:val="28"/>
        </w:rPr>
        <w:t xml:space="preserve">además, </w:t>
      </w:r>
      <w:r w:rsidRPr="00152C0F">
        <w:rPr>
          <w:rFonts w:ascii="Times New Roman" w:hAnsi="Times New Roman" w:cs="Times New Roman"/>
          <w:sz w:val="28"/>
          <w:szCs w:val="28"/>
        </w:rPr>
        <w:t xml:space="preserve">a </w:t>
      </w:r>
      <w:r w:rsidRPr="00152C0F">
        <w:rPr>
          <w:rFonts w:ascii="Times New Roman" w:hAnsi="Times New Roman" w:cs="Times New Roman"/>
          <w:sz w:val="28"/>
          <w:szCs w:val="28"/>
        </w:rPr>
        <w:t>una modificación estructural del proceso judicial de</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extinción del dominio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puesto que la garantía de imprescriptibilidad únicamente amparaba a los</w:t>
      </w:r>
      <w:r w:rsidRPr="00152C0F">
        <w:rPr>
          <w:rFonts w:ascii="Times New Roman" w:hAnsi="Times New Roman" w:cs="Times New Roman"/>
          <w:sz w:val="28"/>
          <w:szCs w:val="28"/>
        </w:rPr>
        <w:t xml:space="preserve"> bienes del Estado, esto es, a </w:t>
      </w:r>
      <w:r w:rsidRPr="00152C0F">
        <w:rPr>
          <w:rFonts w:ascii="Times New Roman" w:hAnsi="Times New Roman" w:cs="Times New Roman"/>
          <w:sz w:val="28"/>
          <w:szCs w:val="28"/>
        </w:rPr>
        <w:t>aque</w:t>
      </w:r>
      <w:r w:rsidRPr="00152C0F">
        <w:rPr>
          <w:rFonts w:ascii="Times New Roman" w:hAnsi="Times New Roman" w:cs="Times New Roman"/>
          <w:sz w:val="28"/>
          <w:szCs w:val="28"/>
        </w:rPr>
        <w:t xml:space="preserve">llos </w:t>
      </w:r>
      <w:r w:rsidRPr="00152C0F">
        <w:rPr>
          <w:rFonts w:ascii="Times New Roman" w:hAnsi="Times New Roman" w:cs="Times New Roman"/>
          <w:sz w:val="28"/>
          <w:szCs w:val="28"/>
        </w:rPr>
        <w:t xml:space="preserve">respecto de los cuales se decretaba </w:t>
      </w:r>
      <w:r w:rsidRPr="00152C0F">
        <w:rPr>
          <w:rFonts w:ascii="Times New Roman" w:hAnsi="Times New Roman" w:cs="Times New Roman"/>
          <w:sz w:val="28"/>
          <w:szCs w:val="28"/>
        </w:rPr>
        <w:t>la medida</w:t>
      </w:r>
      <w:r w:rsidRPr="00152C0F">
        <w:rPr>
          <w:rFonts w:ascii="Times New Roman" w:hAnsi="Times New Roman" w:cs="Times New Roman"/>
          <w:sz w:val="28"/>
          <w:szCs w:val="28"/>
        </w:rPr>
        <w:t>. A</w:t>
      </w:r>
      <w:r w:rsidRPr="00152C0F">
        <w:rPr>
          <w:rFonts w:ascii="Times New Roman" w:hAnsi="Times New Roman" w:cs="Times New Roman"/>
          <w:sz w:val="28"/>
          <w:szCs w:val="28"/>
        </w:rPr>
        <w:t xml:space="preserve"> partir de la vigencia de la disposición demandada esta garantía se </w:t>
      </w:r>
      <w:r w:rsidRPr="00152C0F">
        <w:rPr>
          <w:rFonts w:ascii="Times New Roman" w:hAnsi="Times New Roman" w:cs="Times New Roman"/>
          <w:sz w:val="28"/>
          <w:szCs w:val="28"/>
        </w:rPr>
        <w:t>extiende</w:t>
      </w:r>
      <w:r w:rsidRPr="00152C0F">
        <w:rPr>
          <w:rFonts w:ascii="Times New Roman" w:hAnsi="Times New Roman" w:cs="Times New Roman"/>
          <w:sz w:val="28"/>
          <w:szCs w:val="28"/>
        </w:rPr>
        <w:t xml:space="preserve"> a todos </w:t>
      </w:r>
      <w:r w:rsidRPr="00152C0F">
        <w:rPr>
          <w:rFonts w:ascii="Times New Roman" w:hAnsi="Times New Roman" w:cs="Times New Roman"/>
          <w:sz w:val="28"/>
          <w:szCs w:val="28"/>
        </w:rPr>
        <w:t xml:space="preserve">los </w:t>
      </w:r>
      <w:r w:rsidRPr="00152C0F">
        <w:rPr>
          <w:rFonts w:ascii="Times New Roman" w:hAnsi="Times New Roman" w:cs="Times New Roman"/>
          <w:sz w:val="28"/>
          <w:szCs w:val="28"/>
        </w:rPr>
        <w:t xml:space="preserve">bienes </w:t>
      </w:r>
      <w:r w:rsidRPr="00152C0F">
        <w:rPr>
          <w:rFonts w:ascii="Times New Roman" w:hAnsi="Times New Roman" w:cs="Times New Roman"/>
          <w:sz w:val="28"/>
          <w:szCs w:val="28"/>
        </w:rPr>
        <w:t>objeto de una medida cautelar en los citados procesos.</w:t>
      </w:r>
    </w:p>
    <w:p w:rsidR="00A64B32" w:rsidRPr="00152C0F" w:rsidRDefault="00152C0F" w:rsidP="00A64B32">
      <w:pPr>
        <w:pStyle w:val="Prrafodelista"/>
        <w:ind w:left="0"/>
        <w:jc w:val="both"/>
        <w:rPr>
          <w:rFonts w:ascii="Times New Roman" w:hAnsi="Times New Roman" w:cs="Times New Roman"/>
          <w:sz w:val="28"/>
          <w:szCs w:val="28"/>
        </w:rPr>
      </w:pPr>
    </w:p>
    <w:p w:rsidR="002E57C6"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La segunda disposición</w:t>
      </w:r>
      <w:r w:rsidRPr="00152C0F">
        <w:rPr>
          <w:rFonts w:ascii="Times New Roman" w:hAnsi="Times New Roman" w:cs="Times New Roman"/>
          <w:sz w:val="28"/>
          <w:szCs w:val="28"/>
        </w:rPr>
        <w:t xml:space="preserve"> demandada</w:t>
      </w:r>
      <w:r w:rsidRPr="00152C0F">
        <w:rPr>
          <w:rFonts w:ascii="Times New Roman" w:hAnsi="Times New Roman" w:cs="Times New Roman"/>
          <w:sz w:val="28"/>
          <w:szCs w:val="28"/>
        </w:rPr>
        <w:t xml:space="preserve"> </w:t>
      </w:r>
      <w:r w:rsidRPr="00152C0F">
        <w:rPr>
          <w:rFonts w:ascii="Times New Roman" w:hAnsi="Times New Roman" w:cs="Times New Roman"/>
          <w:sz w:val="28"/>
          <w:szCs w:val="28"/>
          <w:lang w:val="es-ES" w:eastAsia="es-ES"/>
        </w:rPr>
        <w:t>sujeta la vigencia</w:t>
      </w:r>
      <w:r w:rsidRPr="00152C0F">
        <w:rPr>
          <w:rFonts w:ascii="Times New Roman" w:hAnsi="Times New Roman" w:cs="Times New Roman"/>
          <w:sz w:val="28"/>
          <w:szCs w:val="28"/>
          <w:lang w:val="es-ES" w:eastAsia="es-ES"/>
        </w:rPr>
        <w:t xml:space="preserve"> de las medidas cautelares a decisión judicial</w:t>
      </w:r>
      <w:r w:rsidRPr="00152C0F">
        <w:rPr>
          <w:rFonts w:ascii="Times New Roman" w:hAnsi="Times New Roman" w:cs="Times New Roman"/>
          <w:sz w:val="28"/>
          <w:szCs w:val="28"/>
          <w:lang w:val="es-ES" w:eastAsia="es-ES"/>
        </w:rPr>
        <w:t>; en específico, a una orden judicial de “cancelación</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 xml:space="preserve">de la medida </w:t>
      </w:r>
      <w:r w:rsidRPr="00152C0F">
        <w:rPr>
          <w:rFonts w:ascii="Times New Roman" w:hAnsi="Times New Roman" w:cs="Times New Roman"/>
          <w:sz w:val="28"/>
          <w:szCs w:val="28"/>
          <w:lang w:val="es-ES" w:eastAsia="es-ES"/>
        </w:rPr>
        <w:t>o a la expedición de la “sentencia ejecutoriada” que ponga fin al proceso</w:t>
      </w:r>
      <w:r w:rsidRPr="00152C0F">
        <w:rPr>
          <w:rFonts w:ascii="Times New Roman" w:hAnsi="Times New Roman" w:cs="Times New Roman"/>
          <w:sz w:val="28"/>
          <w:szCs w:val="28"/>
          <w:lang w:val="es-ES" w:eastAsia="es-ES"/>
        </w:rPr>
        <w:t xml:space="preserve"> de extinción del dominio</w:t>
      </w:r>
      <w:r w:rsidRPr="00152C0F">
        <w:rPr>
          <w:rFonts w:ascii="Times New Roman" w:hAnsi="Times New Roman" w:cs="Times New Roman"/>
          <w:sz w:val="28"/>
          <w:szCs w:val="28"/>
          <w:lang w:val="es-ES" w:eastAsia="es-ES"/>
        </w:rPr>
        <w:t>.</w:t>
      </w:r>
      <w:r w:rsidRPr="00152C0F">
        <w:rPr>
          <w:rFonts w:ascii="Times New Roman" w:hAnsi="Times New Roman" w:cs="Times New Roman"/>
          <w:sz w:val="28"/>
          <w:szCs w:val="28"/>
          <w:lang w:val="es-ES" w:eastAsia="es-ES"/>
        </w:rPr>
        <w:t xml:space="preserve"> Por tanto, elimina la discusión </w:t>
      </w:r>
      <w:r w:rsidRPr="00152C0F">
        <w:rPr>
          <w:rFonts w:ascii="Times New Roman" w:hAnsi="Times New Roman" w:cs="Times New Roman"/>
          <w:sz w:val="28"/>
          <w:szCs w:val="28"/>
          <w:lang w:val="es-ES" w:eastAsia="es-ES"/>
        </w:rPr>
        <w:t>administra</w:t>
      </w:r>
      <w:r w:rsidRPr="00152C0F">
        <w:rPr>
          <w:rFonts w:ascii="Times New Roman" w:hAnsi="Times New Roman" w:cs="Times New Roman"/>
          <w:sz w:val="28"/>
          <w:szCs w:val="28"/>
          <w:lang w:val="es-ES" w:eastAsia="es-ES"/>
        </w:rPr>
        <w:t xml:space="preserve">tiva y judicial que se presentaba acerca de si </w:t>
      </w:r>
      <w:r w:rsidRPr="00152C0F">
        <w:rPr>
          <w:rFonts w:ascii="Times New Roman" w:hAnsi="Times New Roman" w:cs="Times New Roman"/>
          <w:sz w:val="28"/>
          <w:szCs w:val="28"/>
          <w:lang w:val="es-ES" w:eastAsia="es-ES"/>
        </w:rPr>
        <w:t>tales medidas tenían una vigencia transitoria o no, como lo precis</w:t>
      </w:r>
      <w:r w:rsidRPr="00152C0F">
        <w:rPr>
          <w:rFonts w:ascii="Times New Roman" w:hAnsi="Times New Roman" w:cs="Times New Roman"/>
          <w:sz w:val="28"/>
          <w:szCs w:val="28"/>
          <w:lang w:val="es-ES" w:eastAsia="es-ES"/>
        </w:rPr>
        <w:t>aron el demandante y</w:t>
      </w:r>
      <w:r w:rsidRPr="00152C0F">
        <w:rPr>
          <w:rFonts w:ascii="Times New Roman" w:hAnsi="Times New Roman" w:cs="Times New Roman"/>
          <w:sz w:val="28"/>
          <w:szCs w:val="28"/>
          <w:lang w:val="es-ES" w:eastAsia="es-ES"/>
        </w:rPr>
        <w:t xml:space="preserve"> la </w:t>
      </w:r>
      <w:r w:rsidRPr="00152C0F">
        <w:rPr>
          <w:rFonts w:ascii="Times New Roman" w:hAnsi="Times New Roman" w:cs="Times New Roman"/>
          <w:sz w:val="28"/>
          <w:szCs w:val="28"/>
          <w:lang w:val="es-ES_tradnl"/>
        </w:rPr>
        <w:t>Superintendencia de Notariado y Registro</w:t>
      </w:r>
      <w:r w:rsidRPr="00152C0F">
        <w:rPr>
          <w:rFonts w:ascii="Times New Roman" w:hAnsi="Times New Roman" w:cs="Times New Roman"/>
          <w:sz w:val="28"/>
          <w:szCs w:val="28"/>
          <w:lang w:val="es-ES_tradnl"/>
        </w:rPr>
        <w:t xml:space="preserve">, y que podía derivarse de una posible interpretación del </w:t>
      </w:r>
      <w:r w:rsidRPr="00152C0F">
        <w:rPr>
          <w:rFonts w:ascii="Times New Roman" w:hAnsi="Times New Roman" w:cs="Times New Roman"/>
          <w:sz w:val="28"/>
          <w:szCs w:val="28"/>
        </w:rPr>
        <w:t>artículo 64 de</w:t>
      </w:r>
      <w:r w:rsidRPr="00152C0F">
        <w:rPr>
          <w:rFonts w:ascii="Times New Roman" w:hAnsi="Times New Roman" w:cs="Times New Roman"/>
          <w:sz w:val="28"/>
          <w:szCs w:val="28"/>
        </w:rPr>
        <w:t xml:space="preserve">l </w:t>
      </w:r>
      <w:r w:rsidRPr="00152C0F">
        <w:rPr>
          <w:rFonts w:ascii="Times New Roman" w:hAnsi="Times New Roman" w:cs="Times New Roman"/>
          <w:sz w:val="28"/>
          <w:szCs w:val="28"/>
        </w:rPr>
        <w:t>Estatuto de Registro de Instrumentos Públicos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w:t>
      </w:r>
      <w:r w:rsidRPr="00152C0F">
        <w:rPr>
          <w:rFonts w:ascii="Times New Roman" w:hAnsi="Times New Roman" w:cs="Times New Roman"/>
          <w:sz w:val="28"/>
          <w:szCs w:val="28"/>
        </w:rPr>
        <w:t>Ley 1579 de 2012</w:t>
      </w:r>
      <w:r w:rsidRPr="00152C0F">
        <w:rPr>
          <w:rFonts w:ascii="Times New Roman" w:hAnsi="Times New Roman" w:cs="Times New Roman"/>
          <w:sz w:val="28"/>
          <w:szCs w:val="28"/>
        </w:rPr>
        <w:t>)</w:t>
      </w:r>
      <w:r w:rsidRPr="00152C0F">
        <w:rPr>
          <w:rStyle w:val="Refdenotaalpie"/>
          <w:rFonts w:ascii="Times New Roman" w:hAnsi="Times New Roman" w:cs="Times New Roman"/>
          <w:sz w:val="28"/>
          <w:szCs w:val="28"/>
        </w:rPr>
        <w:footnoteReference w:id="106"/>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p>
    <w:p w:rsidR="00CA7A9A" w:rsidRPr="00152C0F" w:rsidRDefault="00152C0F" w:rsidP="00BF7D29">
      <w:pPr>
        <w:rPr>
          <w:rFonts w:ascii="Times New Roman" w:hAnsi="Times New Roman" w:cs="Times New Roman"/>
          <w:sz w:val="28"/>
          <w:szCs w:val="28"/>
        </w:rPr>
      </w:pPr>
    </w:p>
    <w:p w:rsidR="002734AE"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Al igual que se </w:t>
      </w:r>
      <w:r w:rsidRPr="00152C0F">
        <w:rPr>
          <w:rFonts w:ascii="Times New Roman" w:hAnsi="Times New Roman" w:cs="Times New Roman"/>
          <w:sz w:val="28"/>
          <w:szCs w:val="28"/>
        </w:rPr>
        <w:t xml:space="preserve">indicó respecto del artículo 211, </w:t>
      </w:r>
      <w:r w:rsidRPr="00152C0F">
        <w:rPr>
          <w:rFonts w:ascii="Times New Roman" w:hAnsi="Times New Roman" w:cs="Times New Roman"/>
          <w:sz w:val="28"/>
          <w:szCs w:val="28"/>
        </w:rPr>
        <w:t xml:space="preserve">la medida que contiene el artículo </w:t>
      </w:r>
      <w:r w:rsidRPr="00152C0F">
        <w:rPr>
          <w:rFonts w:ascii="Times New Roman" w:hAnsi="Times New Roman" w:cs="Times New Roman"/>
          <w:sz w:val="28"/>
          <w:szCs w:val="28"/>
        </w:rPr>
        <w:t xml:space="preserve">212 </w:t>
      </w:r>
      <w:r w:rsidRPr="00152C0F">
        <w:rPr>
          <w:rFonts w:ascii="Times New Roman" w:hAnsi="Times New Roman" w:cs="Times New Roman"/>
          <w:sz w:val="28"/>
          <w:szCs w:val="28"/>
        </w:rPr>
        <w:t xml:space="preserve">es permanente, ya que su vigencia no </w:t>
      </w:r>
      <w:r w:rsidRPr="00152C0F">
        <w:rPr>
          <w:rFonts w:ascii="Times New Roman" w:hAnsi="Times New Roman" w:cs="Times New Roman"/>
          <w:sz w:val="28"/>
          <w:szCs w:val="28"/>
        </w:rPr>
        <w:t xml:space="preserve">se </w:t>
      </w:r>
      <w:r w:rsidRPr="00152C0F">
        <w:rPr>
          <w:rFonts w:ascii="Times New Roman" w:hAnsi="Times New Roman" w:cs="Times New Roman"/>
          <w:sz w:val="28"/>
          <w:szCs w:val="28"/>
        </w:rPr>
        <w:t xml:space="preserve">supedita a la del periodo cuatrienal para el cual se adopta el </w:t>
      </w:r>
      <w:r w:rsidRPr="00152C0F">
        <w:rPr>
          <w:rFonts w:ascii="Times New Roman" w:hAnsi="Times New Roman" w:cs="Times New Roman"/>
          <w:sz w:val="28"/>
          <w:szCs w:val="28"/>
        </w:rPr>
        <w:t>plan nacional de desarrollo</w:t>
      </w:r>
      <w:r w:rsidRPr="00152C0F">
        <w:rPr>
          <w:rFonts w:ascii="Times New Roman" w:hAnsi="Times New Roman" w:cs="Times New Roman"/>
          <w:sz w:val="28"/>
          <w:szCs w:val="28"/>
        </w:rPr>
        <w:t xml:space="preserve">. Corresponde, </w:t>
      </w:r>
      <w:r w:rsidRPr="00152C0F">
        <w:rPr>
          <w:rFonts w:ascii="Times New Roman" w:hAnsi="Times New Roman" w:cs="Times New Roman"/>
          <w:sz w:val="28"/>
          <w:szCs w:val="28"/>
        </w:rPr>
        <w:t>también</w:t>
      </w:r>
      <w:r w:rsidRPr="00152C0F">
        <w:rPr>
          <w:rFonts w:ascii="Times New Roman" w:hAnsi="Times New Roman" w:cs="Times New Roman"/>
          <w:sz w:val="28"/>
          <w:szCs w:val="28"/>
        </w:rPr>
        <w:t xml:space="preserve">, a una modificación estructural del proceso judicial de extinción de dominio, </w:t>
      </w:r>
      <w:r w:rsidRPr="00152C0F">
        <w:rPr>
          <w:rFonts w:ascii="Times New Roman" w:hAnsi="Times New Roman" w:cs="Times New Roman"/>
          <w:sz w:val="28"/>
          <w:szCs w:val="28"/>
        </w:rPr>
        <w:t>ya</w:t>
      </w:r>
      <w:r w:rsidRPr="00152C0F">
        <w:rPr>
          <w:rFonts w:ascii="Times New Roman" w:hAnsi="Times New Roman" w:cs="Times New Roman"/>
          <w:sz w:val="28"/>
          <w:szCs w:val="28"/>
        </w:rPr>
        <w:t xml:space="preserve"> que</w:t>
      </w:r>
      <w:r w:rsidRPr="00152C0F">
        <w:rPr>
          <w:rFonts w:ascii="Times New Roman" w:hAnsi="Times New Roman" w:cs="Times New Roman"/>
          <w:sz w:val="28"/>
          <w:szCs w:val="28"/>
        </w:rPr>
        <w:t xml:space="preserve"> resuelve definitivamente una </w:t>
      </w:r>
      <w:r w:rsidRPr="00152C0F">
        <w:rPr>
          <w:rFonts w:ascii="Times New Roman" w:hAnsi="Times New Roman" w:cs="Times New Roman"/>
          <w:sz w:val="28"/>
          <w:szCs w:val="28"/>
        </w:rPr>
        <w:t>controversia</w:t>
      </w:r>
      <w:r w:rsidRPr="00152C0F">
        <w:rPr>
          <w:rFonts w:ascii="Times New Roman" w:hAnsi="Times New Roman" w:cs="Times New Roman"/>
          <w:sz w:val="28"/>
          <w:szCs w:val="28"/>
        </w:rPr>
        <w:t xml:space="preserve"> interpretativa a</w:t>
      </w:r>
      <w:r w:rsidRPr="00152C0F">
        <w:rPr>
          <w:rFonts w:ascii="Times New Roman" w:hAnsi="Times New Roman" w:cs="Times New Roman"/>
          <w:sz w:val="28"/>
          <w:szCs w:val="28"/>
        </w:rPr>
        <w:t xml:space="preserve">cerca de la aplicación o no a este tipo de medidas </w:t>
      </w:r>
      <w:r w:rsidRPr="00152C0F">
        <w:rPr>
          <w:rFonts w:ascii="Times New Roman" w:hAnsi="Times New Roman" w:cs="Times New Roman"/>
          <w:sz w:val="28"/>
          <w:szCs w:val="28"/>
        </w:rPr>
        <w:t xml:space="preserve">de lo dispuesto por el artículo 64 </w:t>
      </w:r>
      <w:r w:rsidRPr="00152C0F">
        <w:rPr>
          <w:rFonts w:ascii="Times New Roman" w:hAnsi="Times New Roman" w:cs="Times New Roman"/>
          <w:sz w:val="28"/>
          <w:szCs w:val="28"/>
        </w:rPr>
        <w:t>del Estatuto de Registro de Instrumentos Públicos</w:t>
      </w:r>
      <w:r w:rsidRPr="00152C0F">
        <w:rPr>
          <w:rFonts w:ascii="Times New Roman" w:hAnsi="Times New Roman" w:cs="Times New Roman"/>
          <w:sz w:val="28"/>
          <w:szCs w:val="28"/>
        </w:rPr>
        <w:t>. D</w:t>
      </w:r>
      <w:r w:rsidRPr="00152C0F">
        <w:rPr>
          <w:rFonts w:ascii="Times New Roman" w:hAnsi="Times New Roman" w:cs="Times New Roman"/>
          <w:sz w:val="28"/>
          <w:szCs w:val="28"/>
        </w:rPr>
        <w:t xml:space="preserve">e considerarse aplicable a las medidas cautelares ordenadas en </w:t>
      </w:r>
      <w:r w:rsidRPr="00152C0F">
        <w:rPr>
          <w:rFonts w:ascii="Times New Roman" w:hAnsi="Times New Roman" w:cs="Times New Roman"/>
          <w:sz w:val="28"/>
          <w:szCs w:val="28"/>
        </w:rPr>
        <w:t xml:space="preserve">estos procesos, </w:t>
      </w:r>
      <w:r w:rsidRPr="00152C0F">
        <w:rPr>
          <w:rFonts w:ascii="Times New Roman" w:hAnsi="Times New Roman" w:cs="Times New Roman"/>
          <w:sz w:val="28"/>
          <w:szCs w:val="28"/>
        </w:rPr>
        <w:t>tendrían una vigencia máxima de diez añ</w:t>
      </w:r>
      <w:r w:rsidRPr="00152C0F">
        <w:rPr>
          <w:rFonts w:ascii="Times New Roman" w:hAnsi="Times New Roman" w:cs="Times New Roman"/>
          <w:sz w:val="28"/>
          <w:szCs w:val="28"/>
        </w:rPr>
        <w:t>os, prorrogable hasta por la mitad del término y en máximo dos ocasiones, luego de lo cual</w:t>
      </w:r>
      <w:r w:rsidRPr="00152C0F">
        <w:rPr>
          <w:rFonts w:ascii="Times New Roman" w:hAnsi="Times New Roman" w:cs="Times New Roman"/>
          <w:sz w:val="28"/>
          <w:szCs w:val="28"/>
        </w:rPr>
        <w:t xml:space="preserve">, previa solicitud </w:t>
      </w:r>
      <w:r w:rsidRPr="00152C0F">
        <w:rPr>
          <w:rFonts w:ascii="Times New Roman" w:hAnsi="Times New Roman" w:cs="Times New Roman"/>
          <w:sz w:val="28"/>
          <w:szCs w:val="28"/>
        </w:rPr>
        <w:t xml:space="preserve">del titular del derecho real de dominio </w:t>
      </w:r>
      <w:r w:rsidRPr="00152C0F">
        <w:rPr>
          <w:rFonts w:ascii="Times New Roman" w:hAnsi="Times New Roman" w:cs="Times New Roman"/>
          <w:sz w:val="28"/>
          <w:szCs w:val="28"/>
          <w:lang w:val="es-ES"/>
        </w:rPr>
        <w:t>o de quien demuestre un interés legítimo en el inmueble</w:t>
      </w:r>
      <w:r w:rsidRPr="00152C0F">
        <w:rPr>
          <w:rFonts w:ascii="Times New Roman" w:hAnsi="Times New Roman" w:cs="Times New Roman"/>
          <w:sz w:val="28"/>
          <w:szCs w:val="28"/>
        </w:rPr>
        <w:t xml:space="preserve">, el registrador </w:t>
      </w:r>
      <w:r w:rsidRPr="00152C0F">
        <w:rPr>
          <w:rFonts w:ascii="Times New Roman" w:hAnsi="Times New Roman" w:cs="Times New Roman"/>
          <w:sz w:val="28"/>
          <w:szCs w:val="28"/>
        </w:rPr>
        <w:t xml:space="preserve">puede </w:t>
      </w:r>
      <w:r w:rsidRPr="00152C0F">
        <w:rPr>
          <w:rFonts w:ascii="Times New Roman" w:hAnsi="Times New Roman" w:cs="Times New Roman"/>
          <w:sz w:val="28"/>
          <w:szCs w:val="28"/>
        </w:rPr>
        <w:t>cancelar el registro mediante</w:t>
      </w:r>
      <w:r w:rsidRPr="00152C0F">
        <w:rPr>
          <w:rFonts w:ascii="Times New Roman" w:hAnsi="Times New Roman" w:cs="Times New Roman"/>
          <w:sz w:val="28"/>
          <w:szCs w:val="28"/>
        </w:rPr>
        <w:t xml:space="preserve"> “</w:t>
      </w:r>
      <w:r w:rsidRPr="00152C0F">
        <w:rPr>
          <w:rFonts w:ascii="Times New Roman" w:hAnsi="Times New Roman" w:cs="Times New Roman"/>
          <w:sz w:val="28"/>
          <w:szCs w:val="28"/>
          <w:lang w:val="es-ES"/>
        </w:rPr>
        <w:t>acto administrativo debidamente motivado de cúmplase, contra el cual no procederá recurso alguno”</w:t>
      </w:r>
      <w:r w:rsidRPr="00152C0F">
        <w:rPr>
          <w:rFonts w:ascii="Times New Roman" w:hAnsi="Times New Roman" w:cs="Times New Roman"/>
          <w:sz w:val="28"/>
          <w:szCs w:val="28"/>
          <w:lang w:val="es-ES"/>
        </w:rPr>
        <w:t>.</w:t>
      </w:r>
    </w:p>
    <w:p w:rsidR="00CA7A9A" w:rsidRPr="00152C0F" w:rsidRDefault="00152C0F" w:rsidP="00F43F90">
      <w:pPr>
        <w:rPr>
          <w:rFonts w:ascii="Times New Roman" w:hAnsi="Times New Roman" w:cs="Times New Roman"/>
          <w:sz w:val="28"/>
          <w:szCs w:val="28"/>
        </w:rPr>
      </w:pPr>
    </w:p>
    <w:p w:rsidR="00F519B0" w:rsidRPr="00152C0F" w:rsidRDefault="00152C0F" w:rsidP="00F519B0">
      <w:pPr>
        <w:pStyle w:val="Estilo1"/>
        <w:numPr>
          <w:ilvl w:val="1"/>
          <w:numId w:val="4"/>
        </w:numPr>
        <w:ind w:left="0" w:firstLine="0"/>
        <w:outlineLvl w:val="0"/>
        <w:rPr>
          <w:rStyle w:val="Ttulo1Car"/>
          <w:rFonts w:ascii="Times New Roman" w:hAnsi="Times New Roman" w:cs="Times New Roman"/>
          <w:bCs/>
          <w:color w:val="auto"/>
          <w:sz w:val="28"/>
          <w:szCs w:val="28"/>
        </w:rPr>
      </w:pPr>
      <w:r w:rsidRPr="00152C0F">
        <w:rPr>
          <w:rFonts w:ascii="Times New Roman" w:hAnsi="Times New Roman" w:cs="Times New Roman"/>
          <w:b/>
          <w:bCs/>
        </w:rPr>
        <w:t xml:space="preserve">No es posible </w:t>
      </w:r>
      <w:r w:rsidRPr="00152C0F">
        <w:rPr>
          <w:rFonts w:ascii="Times New Roman" w:hAnsi="Times New Roman" w:cs="Times New Roman"/>
          <w:b/>
          <w:bCs/>
        </w:rPr>
        <w:t xml:space="preserve">evidenciar una relación de conexidad </w:t>
      </w:r>
      <w:r w:rsidRPr="00152C0F">
        <w:rPr>
          <w:rFonts w:ascii="Times New Roman" w:hAnsi="Times New Roman" w:cs="Times New Roman"/>
          <w:b/>
          <w:bCs/>
          <w:lang w:val="es-ES"/>
        </w:rPr>
        <w:t xml:space="preserve">directa e inmediata </w:t>
      </w:r>
      <w:r w:rsidRPr="00152C0F">
        <w:rPr>
          <w:rFonts w:ascii="Times New Roman" w:hAnsi="Times New Roman" w:cs="Times New Roman"/>
          <w:b/>
          <w:bCs/>
          <w:lang w:val="es-ES"/>
        </w:rPr>
        <w:t xml:space="preserve">entre las medidas que adoptan las disposiciones demandadas </w:t>
      </w:r>
      <w:r w:rsidRPr="00152C0F">
        <w:rPr>
          <w:rFonts w:ascii="Times New Roman" w:hAnsi="Times New Roman" w:cs="Times New Roman"/>
          <w:b/>
          <w:bCs/>
          <w:lang w:val="es-ES"/>
        </w:rPr>
        <w:t>con las políticas y estr</w:t>
      </w:r>
      <w:r w:rsidRPr="00152C0F">
        <w:rPr>
          <w:rFonts w:ascii="Times New Roman" w:hAnsi="Times New Roman" w:cs="Times New Roman"/>
          <w:b/>
          <w:bCs/>
          <w:lang w:val="es-ES"/>
        </w:rPr>
        <w:t>ategias de la parte general</w:t>
      </w:r>
      <w:r w:rsidRPr="00152C0F">
        <w:rPr>
          <w:rFonts w:ascii="Times New Roman" w:hAnsi="Times New Roman" w:cs="Times New Roman"/>
          <w:b/>
          <w:bCs/>
          <w:lang w:val="es-ES"/>
        </w:rPr>
        <w:t xml:space="preserve"> ni </w:t>
      </w:r>
      <w:r w:rsidRPr="00152C0F">
        <w:rPr>
          <w:rFonts w:ascii="Times New Roman" w:hAnsi="Times New Roman" w:cs="Times New Roman"/>
          <w:b/>
          <w:bCs/>
          <w:lang w:val="es-ES"/>
        </w:rPr>
        <w:t>con los programas y proyectos del plan de inversiones</w:t>
      </w:r>
    </w:p>
    <w:p w:rsidR="00F519B0" w:rsidRPr="00152C0F" w:rsidRDefault="00152C0F" w:rsidP="00F519B0">
      <w:pPr>
        <w:rPr>
          <w:rFonts w:ascii="Times New Roman" w:eastAsia="Cambria" w:hAnsi="Times New Roman" w:cs="Times New Roman"/>
          <w:bCs/>
          <w:sz w:val="28"/>
          <w:szCs w:val="28"/>
        </w:rPr>
      </w:pPr>
    </w:p>
    <w:p w:rsidR="000145E3" w:rsidRPr="00152C0F" w:rsidRDefault="00152C0F" w:rsidP="000145E3">
      <w:pPr>
        <w:pStyle w:val="Prrafodelista"/>
        <w:numPr>
          <w:ilvl w:val="0"/>
          <w:numId w:val="2"/>
        </w:numPr>
        <w:ind w:left="0" w:firstLine="0"/>
        <w:jc w:val="both"/>
        <w:rPr>
          <w:rFonts w:ascii="Times New Roman" w:hAnsi="Times New Roman" w:cs="Times New Roman"/>
          <w:sz w:val="28"/>
          <w:szCs w:val="28"/>
          <w:lang w:val="es-ES"/>
        </w:rPr>
      </w:pPr>
      <w:r w:rsidRPr="00152C0F">
        <w:rPr>
          <w:rFonts w:ascii="Times New Roman" w:hAnsi="Times New Roman" w:cs="Times New Roman"/>
          <w:sz w:val="28"/>
          <w:szCs w:val="28"/>
        </w:rPr>
        <w:t>S</w:t>
      </w:r>
      <w:r w:rsidRPr="00152C0F">
        <w:rPr>
          <w:rFonts w:ascii="Times New Roman" w:hAnsi="Times New Roman" w:cs="Times New Roman"/>
          <w:sz w:val="28"/>
          <w:szCs w:val="28"/>
        </w:rPr>
        <w:t xml:space="preserve">egún </w:t>
      </w:r>
      <w:r w:rsidRPr="00152C0F">
        <w:rPr>
          <w:rFonts w:ascii="Times New Roman" w:hAnsi="Times New Roman" w:cs="Times New Roman"/>
          <w:sz w:val="28"/>
          <w:szCs w:val="28"/>
          <w:lang w:val="es-ES"/>
        </w:rPr>
        <w:t xml:space="preserve">la jurisprudencia a que se hizo referencia </w:t>
      </w:r>
      <w:r w:rsidRPr="00152C0F">
        <w:rPr>
          <w:rFonts w:ascii="Times New Roman" w:hAnsi="Times New Roman" w:cs="Times New Roman"/>
          <w:sz w:val="28"/>
          <w:szCs w:val="28"/>
        </w:rPr>
        <w:t xml:space="preserve">en el título 6.3 </w:t>
      </w:r>
      <w:r w:rsidRPr="00152C0F">
        <w:rPr>
          <w:rFonts w:ascii="Times New Roman" w:hAnsi="Times New Roman" w:cs="Times New Roman"/>
          <w:i/>
          <w:iCs/>
          <w:sz w:val="28"/>
          <w:szCs w:val="28"/>
        </w:rPr>
        <w:t>supra</w:t>
      </w:r>
      <w:r w:rsidRPr="00152C0F">
        <w:rPr>
          <w:rFonts w:ascii="Times New Roman" w:hAnsi="Times New Roman" w:cs="Times New Roman"/>
          <w:sz w:val="28"/>
          <w:szCs w:val="28"/>
          <w:lang w:val="es-ES"/>
        </w:rPr>
        <w:t xml:space="preserve">, para que una disposición de la ley del plan nacional de desarrollo sea compatible con el principio de unidad de materia debe acreditarse una relación de conexidad estrecha, directa e inmediata </w:t>
      </w:r>
      <w:r w:rsidRPr="00152C0F">
        <w:rPr>
          <w:rFonts w:ascii="Times New Roman" w:hAnsi="Times New Roman" w:cs="Times New Roman"/>
          <w:sz w:val="28"/>
          <w:szCs w:val="28"/>
        </w:rPr>
        <w:t>con las políticas y estrategias que guiarán la acción del gob</w:t>
      </w:r>
      <w:r w:rsidRPr="00152C0F">
        <w:rPr>
          <w:rFonts w:ascii="Times New Roman" w:hAnsi="Times New Roman" w:cs="Times New Roman"/>
          <w:sz w:val="28"/>
          <w:szCs w:val="28"/>
        </w:rPr>
        <w:t xml:space="preserve">ierno para alcanzar en el </w:t>
      </w:r>
      <w:r w:rsidRPr="00152C0F">
        <w:rPr>
          <w:rFonts w:ascii="Times New Roman" w:hAnsi="Times New Roman" w:cs="Times New Roman"/>
          <w:sz w:val="28"/>
          <w:szCs w:val="28"/>
        </w:rPr>
        <w:t xml:space="preserve">respectivo </w:t>
      </w:r>
      <w:r w:rsidRPr="00152C0F">
        <w:rPr>
          <w:rFonts w:ascii="Times New Roman" w:hAnsi="Times New Roman" w:cs="Times New Roman"/>
          <w:sz w:val="28"/>
          <w:szCs w:val="28"/>
        </w:rPr>
        <w:t>cuatrienio los objetivos y metas de la acción estatal de mediano y largo plazo señalados en la parte general, o con los programas y proyectos señalados en el plan de inversiones</w:t>
      </w:r>
      <w:r w:rsidRPr="00152C0F">
        <w:rPr>
          <w:rFonts w:ascii="Times New Roman" w:hAnsi="Times New Roman" w:cs="Times New Roman"/>
          <w:sz w:val="28"/>
          <w:szCs w:val="28"/>
          <w:lang w:val="es-ES"/>
        </w:rPr>
        <w:t>.</w:t>
      </w:r>
    </w:p>
    <w:p w:rsidR="000145E3" w:rsidRPr="00152C0F" w:rsidRDefault="00152C0F" w:rsidP="000145E3">
      <w:pPr>
        <w:pStyle w:val="Prrafodelista"/>
        <w:rPr>
          <w:rFonts w:ascii="Times New Roman" w:hAnsi="Times New Roman" w:cs="Times New Roman"/>
          <w:sz w:val="28"/>
          <w:szCs w:val="28"/>
          <w:lang w:val="es-ES"/>
        </w:rPr>
      </w:pPr>
    </w:p>
    <w:p w:rsidR="002E72CD" w:rsidRPr="00152C0F" w:rsidRDefault="00152C0F" w:rsidP="000034A3">
      <w:pPr>
        <w:pStyle w:val="Prrafodelista"/>
        <w:numPr>
          <w:ilvl w:val="0"/>
          <w:numId w:val="2"/>
        </w:numPr>
        <w:ind w:left="0" w:firstLine="0"/>
        <w:jc w:val="both"/>
        <w:rPr>
          <w:rFonts w:ascii="Times New Roman" w:hAnsi="Times New Roman" w:cs="Times New Roman"/>
          <w:sz w:val="28"/>
          <w:szCs w:val="28"/>
          <w:lang w:val="es-ES"/>
        </w:rPr>
      </w:pPr>
      <w:r w:rsidRPr="00152C0F">
        <w:rPr>
          <w:rFonts w:ascii="Times New Roman" w:hAnsi="Times New Roman" w:cs="Times New Roman"/>
          <w:sz w:val="28"/>
          <w:szCs w:val="28"/>
          <w:lang w:val="es-ES"/>
        </w:rPr>
        <w:t>En el caso de los artículos 211 y 212 d</w:t>
      </w:r>
      <w:r w:rsidRPr="00152C0F">
        <w:rPr>
          <w:rFonts w:ascii="Times New Roman" w:hAnsi="Times New Roman" w:cs="Times New Roman"/>
          <w:sz w:val="28"/>
          <w:szCs w:val="28"/>
          <w:lang w:val="es-ES"/>
        </w:rPr>
        <w:t>e la Ley 2294 de 2023 no se evidencia esta conexión o relación de conexidad</w:t>
      </w:r>
      <w:r w:rsidRPr="00152C0F">
        <w:rPr>
          <w:rFonts w:ascii="Times New Roman" w:hAnsi="Times New Roman" w:cs="Times New Roman"/>
          <w:sz w:val="28"/>
          <w:szCs w:val="28"/>
          <w:lang w:val="es-ES"/>
        </w:rPr>
        <w:t>. D</w:t>
      </w:r>
      <w:r w:rsidRPr="00152C0F">
        <w:rPr>
          <w:rFonts w:ascii="Times New Roman" w:hAnsi="Times New Roman" w:cs="Times New Roman"/>
          <w:sz w:val="28"/>
          <w:szCs w:val="28"/>
          <w:lang w:val="es-ES"/>
        </w:rPr>
        <w:t xml:space="preserve">e un lado, </w:t>
      </w:r>
      <w:r w:rsidRPr="00152C0F">
        <w:rPr>
          <w:rFonts w:ascii="Times New Roman" w:hAnsi="Times New Roman" w:cs="Times New Roman"/>
          <w:sz w:val="28"/>
          <w:szCs w:val="28"/>
        </w:rPr>
        <w:t xml:space="preserve">el vínculo entre el contenido normativo de estas disposiciones y </w:t>
      </w:r>
      <w:r w:rsidRPr="00152C0F">
        <w:rPr>
          <w:rFonts w:ascii="Times New Roman" w:hAnsi="Times New Roman" w:cs="Times New Roman"/>
          <w:sz w:val="28"/>
          <w:szCs w:val="28"/>
        </w:rPr>
        <w:t xml:space="preserve">las políticas y estrategias de la parte general </w:t>
      </w:r>
      <w:r w:rsidRPr="00152C0F">
        <w:rPr>
          <w:rFonts w:ascii="Times New Roman" w:hAnsi="Times New Roman" w:cs="Times New Roman"/>
          <w:sz w:val="28"/>
          <w:szCs w:val="28"/>
        </w:rPr>
        <w:t xml:space="preserve">del plan </w:t>
      </w:r>
      <w:r w:rsidRPr="00152C0F">
        <w:rPr>
          <w:rFonts w:ascii="Times New Roman" w:hAnsi="Times New Roman" w:cs="Times New Roman"/>
          <w:sz w:val="28"/>
          <w:szCs w:val="28"/>
        </w:rPr>
        <w:t xml:space="preserve">es </w:t>
      </w:r>
      <w:r w:rsidRPr="00152C0F">
        <w:rPr>
          <w:rFonts w:ascii="Times New Roman" w:hAnsi="Times New Roman" w:cs="Times New Roman"/>
          <w:sz w:val="28"/>
          <w:szCs w:val="28"/>
        </w:rPr>
        <w:t xml:space="preserve">apenas </w:t>
      </w:r>
      <w:r w:rsidRPr="00152C0F">
        <w:rPr>
          <w:rFonts w:ascii="Times New Roman" w:hAnsi="Times New Roman" w:cs="Times New Roman"/>
          <w:sz w:val="28"/>
          <w:szCs w:val="28"/>
        </w:rPr>
        <w:t>mediato e indirecto</w:t>
      </w:r>
      <w:r w:rsidRPr="00152C0F">
        <w:rPr>
          <w:rFonts w:ascii="Times New Roman" w:hAnsi="Times New Roman" w:cs="Times New Roman"/>
          <w:sz w:val="28"/>
          <w:szCs w:val="28"/>
        </w:rPr>
        <w:t xml:space="preserve">, por cuanto </w:t>
      </w:r>
      <w:r w:rsidRPr="00152C0F">
        <w:rPr>
          <w:rFonts w:ascii="Times New Roman" w:hAnsi="Times New Roman" w:cs="Times New Roman"/>
          <w:sz w:val="28"/>
          <w:szCs w:val="28"/>
          <w:lang w:val="es-ES"/>
        </w:rPr>
        <w:t>las</w:t>
      </w:r>
      <w:r w:rsidRPr="00152C0F">
        <w:rPr>
          <w:rFonts w:ascii="Times New Roman" w:hAnsi="Times New Roman" w:cs="Times New Roman"/>
          <w:sz w:val="28"/>
          <w:szCs w:val="28"/>
          <w:lang w:val="es-ES"/>
        </w:rPr>
        <w:t xml:space="preserve"> medidas que adoptan no generan un impacto verificable e inmediato en </w:t>
      </w:r>
      <w:r w:rsidRPr="00152C0F">
        <w:rPr>
          <w:rFonts w:ascii="Times New Roman" w:hAnsi="Times New Roman" w:cs="Times New Roman"/>
          <w:sz w:val="28"/>
          <w:szCs w:val="28"/>
          <w:lang w:val="es-ES"/>
        </w:rPr>
        <w:t xml:space="preserve">su </w:t>
      </w:r>
      <w:r w:rsidRPr="00152C0F">
        <w:rPr>
          <w:rFonts w:ascii="Times New Roman" w:hAnsi="Times New Roman" w:cs="Times New Roman"/>
          <w:sz w:val="28"/>
          <w:szCs w:val="28"/>
          <w:lang w:val="es-ES"/>
        </w:rPr>
        <w:t>materialización</w:t>
      </w:r>
      <w:r w:rsidRPr="00152C0F">
        <w:rPr>
          <w:rFonts w:ascii="Times New Roman" w:hAnsi="Times New Roman" w:cs="Times New Roman"/>
          <w:sz w:val="28"/>
          <w:szCs w:val="28"/>
        </w:rPr>
        <w:t>. D</w:t>
      </w:r>
      <w:r w:rsidRPr="00152C0F">
        <w:rPr>
          <w:rFonts w:ascii="Times New Roman" w:hAnsi="Times New Roman" w:cs="Times New Roman"/>
          <w:sz w:val="28"/>
          <w:szCs w:val="28"/>
        </w:rPr>
        <w:t xml:space="preserve">e otro lado, el citado vínculo respecto de </w:t>
      </w:r>
      <w:r w:rsidRPr="00152C0F">
        <w:rPr>
          <w:rFonts w:ascii="Times New Roman" w:hAnsi="Times New Roman" w:cs="Times New Roman"/>
          <w:sz w:val="28"/>
          <w:szCs w:val="28"/>
        </w:rPr>
        <w:t xml:space="preserve">los programas y proyectos del plan </w:t>
      </w:r>
      <w:r w:rsidRPr="00152C0F">
        <w:rPr>
          <w:rFonts w:ascii="Times New Roman" w:hAnsi="Times New Roman" w:cs="Times New Roman"/>
          <w:sz w:val="28"/>
          <w:szCs w:val="28"/>
        </w:rPr>
        <w:t xml:space="preserve">plurianual </w:t>
      </w:r>
      <w:r w:rsidRPr="00152C0F">
        <w:rPr>
          <w:rFonts w:ascii="Times New Roman" w:hAnsi="Times New Roman" w:cs="Times New Roman"/>
          <w:sz w:val="28"/>
          <w:szCs w:val="28"/>
        </w:rPr>
        <w:t xml:space="preserve">de inversiones es </w:t>
      </w:r>
      <w:r w:rsidRPr="00152C0F">
        <w:rPr>
          <w:rFonts w:ascii="Times New Roman" w:hAnsi="Times New Roman" w:cs="Times New Roman"/>
          <w:sz w:val="28"/>
          <w:szCs w:val="28"/>
          <w:lang w:val="es-ES"/>
        </w:rPr>
        <w:t>meramente formal</w:t>
      </w:r>
      <w:r w:rsidRPr="00152C0F">
        <w:rPr>
          <w:rFonts w:ascii="Times New Roman" w:hAnsi="Times New Roman" w:cs="Times New Roman"/>
          <w:sz w:val="28"/>
          <w:szCs w:val="28"/>
          <w:lang w:val="es-ES"/>
        </w:rPr>
        <w:t xml:space="preserve"> e indirect</w:t>
      </w:r>
      <w:r w:rsidRPr="00152C0F">
        <w:rPr>
          <w:rFonts w:ascii="Times New Roman" w:hAnsi="Times New Roman" w:cs="Times New Roman"/>
          <w:sz w:val="28"/>
          <w:szCs w:val="28"/>
          <w:lang w:val="es-ES"/>
        </w:rPr>
        <w:t>o</w:t>
      </w:r>
      <w:r w:rsidRPr="00152C0F">
        <w:rPr>
          <w:rFonts w:ascii="Times New Roman" w:hAnsi="Times New Roman" w:cs="Times New Roman"/>
          <w:sz w:val="28"/>
          <w:szCs w:val="28"/>
          <w:lang w:val="es-ES"/>
        </w:rPr>
        <w:t>, ya que</w:t>
      </w:r>
      <w:r w:rsidRPr="00152C0F">
        <w:rPr>
          <w:rFonts w:ascii="Times New Roman" w:hAnsi="Times New Roman" w:cs="Times New Roman"/>
          <w:sz w:val="28"/>
          <w:szCs w:val="28"/>
          <w:lang w:val="es-ES"/>
        </w:rPr>
        <w:t xml:space="preserve">, de un lado, </w:t>
      </w:r>
      <w:r w:rsidRPr="00152C0F">
        <w:rPr>
          <w:rFonts w:ascii="Times New Roman" w:hAnsi="Times New Roman" w:cs="Times New Roman"/>
          <w:sz w:val="28"/>
          <w:szCs w:val="28"/>
          <w:lang w:val="es-ES"/>
        </w:rPr>
        <w:t xml:space="preserve">no se </w:t>
      </w:r>
      <w:r w:rsidRPr="00152C0F">
        <w:rPr>
          <w:rFonts w:ascii="Times New Roman" w:hAnsi="Times New Roman" w:cs="Times New Roman"/>
          <w:sz w:val="28"/>
          <w:szCs w:val="28"/>
          <w:lang w:val="es-ES"/>
        </w:rPr>
        <w:t>trata de ninguna de estas categorías y, de otro</w:t>
      </w:r>
      <w:r w:rsidRPr="00152C0F">
        <w:rPr>
          <w:rFonts w:ascii="Times New Roman" w:hAnsi="Times New Roman" w:cs="Times New Roman"/>
          <w:sz w:val="28"/>
          <w:szCs w:val="28"/>
          <w:lang w:val="es-ES"/>
        </w:rPr>
        <w:t xml:space="preserve"> lado</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las medidas que adoptan </w:t>
      </w:r>
      <w:r w:rsidRPr="00152C0F">
        <w:rPr>
          <w:rFonts w:ascii="Times New Roman" w:hAnsi="Times New Roman" w:cs="Times New Roman"/>
          <w:sz w:val="28"/>
          <w:szCs w:val="28"/>
          <w:lang w:val="es-ES"/>
        </w:rPr>
        <w:t>no constituyen “</w:t>
      </w:r>
      <w:r w:rsidRPr="00152C0F">
        <w:rPr>
          <w:rFonts w:ascii="Times New Roman" w:hAnsi="Times New Roman" w:cs="Times New Roman"/>
          <w:sz w:val="28"/>
          <w:szCs w:val="28"/>
          <w:shd w:val="clear" w:color="auto" w:fill="FFFFFF"/>
          <w:lang w:val="es-ES"/>
        </w:rPr>
        <w:t xml:space="preserve">mecanismos idóneos para su ejecución [de los </w:t>
      </w:r>
      <w:r w:rsidRPr="00152C0F">
        <w:rPr>
          <w:rFonts w:ascii="Times New Roman" w:hAnsi="Times New Roman" w:cs="Times New Roman"/>
          <w:sz w:val="28"/>
          <w:szCs w:val="28"/>
        </w:rPr>
        <w:t>programas y proyectos</w:t>
      </w:r>
      <w:r w:rsidRPr="00152C0F">
        <w:rPr>
          <w:rFonts w:ascii="Times New Roman" w:hAnsi="Times New Roman" w:cs="Times New Roman"/>
          <w:sz w:val="28"/>
          <w:szCs w:val="28"/>
        </w:rPr>
        <w:t xml:space="preserve"> del plan de inversiones</w:t>
      </w:r>
      <w:r w:rsidRPr="00152C0F">
        <w:rPr>
          <w:rFonts w:ascii="Times New Roman" w:hAnsi="Times New Roman" w:cs="Times New Roman"/>
          <w:sz w:val="28"/>
          <w:szCs w:val="28"/>
          <w:shd w:val="clear" w:color="auto" w:fill="FFFFFF"/>
          <w:lang w:val="es-ES"/>
        </w:rPr>
        <w:t xml:space="preserve">]”, en los términos </w:t>
      </w:r>
      <w:r w:rsidRPr="00152C0F">
        <w:rPr>
          <w:rFonts w:ascii="Times New Roman" w:hAnsi="Times New Roman" w:cs="Times New Roman"/>
          <w:sz w:val="28"/>
          <w:szCs w:val="28"/>
          <w:shd w:val="clear" w:color="auto" w:fill="FFFFFF"/>
          <w:lang w:val="es-ES"/>
        </w:rPr>
        <w:t xml:space="preserve">del inciso tercero del artículo 341 de la </w:t>
      </w:r>
      <w:r w:rsidRPr="00152C0F">
        <w:rPr>
          <w:rFonts w:ascii="Times New Roman" w:hAnsi="Times New Roman" w:cs="Times New Roman"/>
          <w:sz w:val="28"/>
          <w:szCs w:val="28"/>
          <w:shd w:val="clear" w:color="auto" w:fill="FFFFFF"/>
          <w:lang w:val="es-ES"/>
        </w:rPr>
        <w:t>Constitución</w:t>
      </w:r>
      <w:r w:rsidRPr="00152C0F">
        <w:rPr>
          <w:rFonts w:ascii="Times New Roman" w:hAnsi="Times New Roman" w:cs="Times New Roman"/>
          <w:sz w:val="28"/>
          <w:szCs w:val="28"/>
        </w:rPr>
        <w:t>.</w:t>
      </w:r>
    </w:p>
    <w:p w:rsidR="002E72CD" w:rsidRPr="00152C0F" w:rsidRDefault="00152C0F" w:rsidP="002E72CD">
      <w:pPr>
        <w:pStyle w:val="Prrafodelista"/>
        <w:rPr>
          <w:rFonts w:ascii="Times New Roman" w:hAnsi="Times New Roman" w:cs="Times New Roman"/>
          <w:sz w:val="28"/>
          <w:szCs w:val="28"/>
          <w:lang w:val="es-ES"/>
        </w:rPr>
      </w:pPr>
    </w:p>
    <w:p w:rsidR="00906A12" w:rsidRPr="00152C0F" w:rsidRDefault="00152C0F" w:rsidP="00680E7A">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En cuanto a lo primero</w:t>
      </w:r>
      <w:r w:rsidRPr="00152C0F">
        <w:rPr>
          <w:rFonts w:ascii="Times New Roman" w:hAnsi="Times New Roman" w:cs="Times New Roman"/>
          <w:sz w:val="28"/>
          <w:szCs w:val="28"/>
        </w:rPr>
        <w:t xml:space="preserve">, </w:t>
      </w:r>
      <w:r w:rsidRPr="00152C0F">
        <w:rPr>
          <w:rFonts w:ascii="Times New Roman" w:hAnsi="Times New Roman" w:cs="Times New Roman"/>
          <w:sz w:val="28"/>
          <w:szCs w:val="28"/>
          <w:lang w:val="es-ES"/>
        </w:rPr>
        <w:t xml:space="preserve">si bien las autoridades e intervinientes que solicitaron la declaratoria de exequibilidad de </w:t>
      </w:r>
      <w:r w:rsidRPr="00152C0F">
        <w:rPr>
          <w:rFonts w:ascii="Times New Roman" w:hAnsi="Times New Roman" w:cs="Times New Roman"/>
          <w:sz w:val="28"/>
          <w:szCs w:val="28"/>
          <w:lang w:val="es-ES"/>
        </w:rPr>
        <w:t xml:space="preserve">las </w:t>
      </w:r>
      <w:r w:rsidRPr="00152C0F">
        <w:rPr>
          <w:rFonts w:ascii="Times New Roman" w:hAnsi="Times New Roman" w:cs="Times New Roman"/>
          <w:sz w:val="28"/>
          <w:szCs w:val="28"/>
          <w:lang w:val="es-ES"/>
        </w:rPr>
        <w:t xml:space="preserve">disposiciones adujeron que se encontraban vinculadas a </w:t>
      </w:r>
      <w:r w:rsidRPr="00152C0F">
        <w:rPr>
          <w:rFonts w:ascii="Times New Roman" w:hAnsi="Times New Roman" w:cs="Times New Roman"/>
          <w:sz w:val="28"/>
          <w:szCs w:val="28"/>
          <w:lang w:val="es-ES"/>
        </w:rPr>
        <w:t xml:space="preserve">tres </w:t>
      </w:r>
      <w:r w:rsidRPr="00152C0F">
        <w:rPr>
          <w:rFonts w:ascii="Times New Roman" w:hAnsi="Times New Roman" w:cs="Times New Roman"/>
          <w:sz w:val="28"/>
          <w:szCs w:val="28"/>
          <w:lang w:val="es-ES"/>
        </w:rPr>
        <w:t>estrategias del eje de transformación “Seguridad humana y ju</w:t>
      </w:r>
      <w:r w:rsidRPr="00152C0F">
        <w:rPr>
          <w:rFonts w:ascii="Times New Roman" w:hAnsi="Times New Roman" w:cs="Times New Roman"/>
          <w:sz w:val="28"/>
          <w:szCs w:val="28"/>
          <w:lang w:val="es-ES"/>
        </w:rPr>
        <w:t xml:space="preserve">sticia social”, </w:t>
      </w:r>
      <w:r w:rsidRPr="00152C0F">
        <w:rPr>
          <w:rFonts w:ascii="Times New Roman" w:hAnsi="Times New Roman" w:cs="Times New Roman"/>
          <w:sz w:val="28"/>
          <w:szCs w:val="28"/>
          <w:lang w:val="es-ES"/>
        </w:rPr>
        <w:t xml:space="preserve">relacionadas con la </w:t>
      </w:r>
      <w:r w:rsidRPr="00152C0F">
        <w:rPr>
          <w:rFonts w:ascii="Times New Roman" w:hAnsi="Times New Roman" w:cs="Times New Roman"/>
          <w:sz w:val="28"/>
          <w:szCs w:val="28"/>
          <w:lang w:val="es-ES"/>
        </w:rPr>
        <w:t xml:space="preserve">extinción de dominio </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“desarticulación corresponsable del multicrimen”, “extinción de dominio para el beneficio social” y “transformación integral de territorios y tránsito a la legalidad”</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su relación es </w:t>
      </w:r>
      <w:r w:rsidRPr="00152C0F">
        <w:rPr>
          <w:rFonts w:ascii="Times New Roman" w:hAnsi="Times New Roman" w:cs="Times New Roman"/>
          <w:sz w:val="28"/>
          <w:szCs w:val="28"/>
          <w:lang w:val="es-ES"/>
        </w:rPr>
        <w:t xml:space="preserve">apenas </w:t>
      </w:r>
      <w:r w:rsidRPr="00152C0F">
        <w:rPr>
          <w:rFonts w:ascii="Times New Roman" w:hAnsi="Times New Roman" w:cs="Times New Roman"/>
          <w:sz w:val="28"/>
          <w:szCs w:val="28"/>
        </w:rPr>
        <w:t>mediat</w:t>
      </w:r>
      <w:r w:rsidRPr="00152C0F">
        <w:rPr>
          <w:rFonts w:ascii="Times New Roman" w:hAnsi="Times New Roman" w:cs="Times New Roman"/>
          <w:sz w:val="28"/>
          <w:szCs w:val="28"/>
        </w:rPr>
        <w:t>a</w:t>
      </w:r>
      <w:r w:rsidRPr="00152C0F">
        <w:rPr>
          <w:rFonts w:ascii="Times New Roman" w:hAnsi="Times New Roman" w:cs="Times New Roman"/>
          <w:sz w:val="28"/>
          <w:szCs w:val="28"/>
        </w:rPr>
        <w:t xml:space="preserve"> e indirect</w:t>
      </w:r>
      <w:r w:rsidRPr="00152C0F">
        <w:rPr>
          <w:rFonts w:ascii="Times New Roman" w:hAnsi="Times New Roman" w:cs="Times New Roman"/>
          <w:sz w:val="28"/>
          <w:szCs w:val="28"/>
        </w:rPr>
        <w:t>a</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por cuanto </w:t>
      </w:r>
      <w:r w:rsidRPr="00152C0F">
        <w:rPr>
          <w:rFonts w:ascii="Times New Roman" w:hAnsi="Times New Roman" w:cs="Times New Roman"/>
          <w:sz w:val="28"/>
          <w:szCs w:val="28"/>
          <w:lang w:val="es-ES"/>
        </w:rPr>
        <w:t xml:space="preserve">las medidas </w:t>
      </w:r>
      <w:r w:rsidRPr="00152C0F">
        <w:rPr>
          <w:rFonts w:ascii="Times New Roman" w:hAnsi="Times New Roman" w:cs="Times New Roman"/>
          <w:sz w:val="28"/>
          <w:szCs w:val="28"/>
          <w:lang w:val="es-ES"/>
        </w:rPr>
        <w:t xml:space="preserve">que </w:t>
      </w:r>
      <w:r w:rsidRPr="00152C0F">
        <w:rPr>
          <w:rFonts w:ascii="Times New Roman" w:hAnsi="Times New Roman" w:cs="Times New Roman"/>
          <w:sz w:val="28"/>
          <w:szCs w:val="28"/>
          <w:lang w:val="es-ES"/>
        </w:rPr>
        <w:t>adopta</w:t>
      </w:r>
      <w:r w:rsidRPr="00152C0F">
        <w:rPr>
          <w:rFonts w:ascii="Times New Roman" w:hAnsi="Times New Roman" w:cs="Times New Roman"/>
          <w:sz w:val="28"/>
          <w:szCs w:val="28"/>
          <w:lang w:val="es-ES"/>
        </w:rPr>
        <w:t>n</w:t>
      </w:r>
      <w:r w:rsidRPr="00152C0F">
        <w:rPr>
          <w:rFonts w:ascii="Times New Roman" w:hAnsi="Times New Roman" w:cs="Times New Roman"/>
          <w:sz w:val="28"/>
          <w:szCs w:val="28"/>
          <w:lang w:val="es-ES"/>
        </w:rPr>
        <w:t xml:space="preserve"> no generan un impacto verificable e inmediato en la materialización de </w:t>
      </w:r>
      <w:r w:rsidRPr="00152C0F">
        <w:rPr>
          <w:rFonts w:ascii="Times New Roman" w:hAnsi="Times New Roman" w:cs="Times New Roman"/>
          <w:sz w:val="28"/>
          <w:szCs w:val="28"/>
          <w:lang w:val="es-ES"/>
        </w:rPr>
        <w:t xml:space="preserve">las citadas estrategias, como tampoco respecto de </w:t>
      </w:r>
      <w:r w:rsidRPr="00152C0F">
        <w:rPr>
          <w:rFonts w:ascii="Times New Roman" w:hAnsi="Times New Roman" w:cs="Times New Roman"/>
          <w:sz w:val="28"/>
          <w:szCs w:val="28"/>
          <w:lang w:val="es-ES"/>
        </w:rPr>
        <w:t xml:space="preserve">las políticas del </w:t>
      </w:r>
      <w:r w:rsidRPr="00152C0F">
        <w:rPr>
          <w:rFonts w:ascii="Times New Roman" w:hAnsi="Times New Roman" w:cs="Times New Roman"/>
          <w:sz w:val="28"/>
          <w:szCs w:val="28"/>
          <w:lang w:val="es-ES"/>
        </w:rPr>
        <w:t>plan nacional de desarrollo.</w:t>
      </w:r>
    </w:p>
    <w:p w:rsidR="00906A12" w:rsidRPr="00152C0F" w:rsidRDefault="00152C0F" w:rsidP="00906A12">
      <w:pPr>
        <w:pStyle w:val="Prrafodelista"/>
        <w:rPr>
          <w:rFonts w:ascii="Times New Roman" w:hAnsi="Times New Roman" w:cs="Times New Roman"/>
          <w:sz w:val="28"/>
          <w:szCs w:val="28"/>
        </w:rPr>
      </w:pPr>
    </w:p>
    <w:p w:rsidR="005F23A0" w:rsidRPr="00152C0F" w:rsidRDefault="00152C0F" w:rsidP="00EE3294">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D</w:t>
      </w:r>
      <w:r w:rsidRPr="00152C0F">
        <w:rPr>
          <w:rFonts w:ascii="Times New Roman" w:hAnsi="Times New Roman" w:cs="Times New Roman"/>
          <w:sz w:val="28"/>
          <w:szCs w:val="28"/>
        </w:rPr>
        <w:t xml:space="preserve">e un lado, </w:t>
      </w:r>
      <w:r w:rsidRPr="00152C0F">
        <w:rPr>
          <w:rFonts w:ascii="Times New Roman" w:hAnsi="Times New Roman" w:cs="Times New Roman"/>
          <w:sz w:val="28"/>
          <w:szCs w:val="28"/>
        </w:rPr>
        <w:t xml:space="preserve">la declaratoria de imprescriptibilidad de los bienes del </w:t>
      </w:r>
      <w:r w:rsidRPr="00152C0F">
        <w:rPr>
          <w:rFonts w:ascii="Times New Roman" w:hAnsi="Times New Roman" w:cs="Times New Roman"/>
          <w:sz w:val="28"/>
          <w:szCs w:val="28"/>
        </w:rPr>
        <w:t xml:space="preserve">FRISCO –medida que adopta el artículo 211– </w:t>
      </w:r>
      <w:r w:rsidRPr="00152C0F">
        <w:rPr>
          <w:rFonts w:ascii="Times New Roman" w:hAnsi="Times New Roman" w:cs="Times New Roman"/>
          <w:sz w:val="28"/>
          <w:szCs w:val="28"/>
          <w:lang w:val="es-ES"/>
        </w:rPr>
        <w:t xml:space="preserve">no introduce un mecanismo específico y temporal para la ejecución de </w:t>
      </w:r>
      <w:r w:rsidRPr="00152C0F">
        <w:rPr>
          <w:rFonts w:ascii="Times New Roman" w:hAnsi="Times New Roman" w:cs="Times New Roman"/>
          <w:sz w:val="28"/>
          <w:szCs w:val="28"/>
          <w:lang w:val="es-ES"/>
        </w:rPr>
        <w:t xml:space="preserve">aquellas </w:t>
      </w:r>
      <w:r w:rsidRPr="00152C0F">
        <w:rPr>
          <w:rFonts w:ascii="Times New Roman" w:hAnsi="Times New Roman" w:cs="Times New Roman"/>
          <w:sz w:val="28"/>
          <w:szCs w:val="28"/>
          <w:lang w:val="es-ES"/>
        </w:rPr>
        <w:t xml:space="preserve">estrategias del </w:t>
      </w:r>
      <w:r w:rsidRPr="00152C0F">
        <w:rPr>
          <w:rFonts w:ascii="Times New Roman" w:hAnsi="Times New Roman" w:cs="Times New Roman"/>
          <w:sz w:val="28"/>
          <w:szCs w:val="28"/>
          <w:lang w:val="es-ES"/>
        </w:rPr>
        <w:t>plan</w:t>
      </w:r>
      <w:r w:rsidRPr="00152C0F">
        <w:rPr>
          <w:rFonts w:ascii="Times New Roman" w:hAnsi="Times New Roman" w:cs="Times New Roman"/>
          <w:sz w:val="28"/>
          <w:szCs w:val="28"/>
          <w:lang w:val="es-ES"/>
        </w:rPr>
        <w:t xml:space="preserve">, por cuanto no tiene relación con la administración y </w:t>
      </w:r>
      <w:r w:rsidRPr="00152C0F">
        <w:rPr>
          <w:rFonts w:ascii="Times New Roman" w:hAnsi="Times New Roman" w:cs="Times New Roman"/>
          <w:sz w:val="28"/>
          <w:szCs w:val="28"/>
          <w:lang w:val="es-ES"/>
        </w:rPr>
        <w:t>destinación de los bienes objeto de extinción del dominio</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S</w:t>
      </w:r>
      <w:r w:rsidRPr="00152C0F">
        <w:rPr>
          <w:rFonts w:ascii="Times New Roman" w:hAnsi="Times New Roman" w:cs="Times New Roman"/>
          <w:sz w:val="28"/>
          <w:szCs w:val="28"/>
          <w:lang w:val="es-ES"/>
        </w:rPr>
        <w:t xml:space="preserve">e trata de </w:t>
      </w:r>
      <w:r w:rsidRPr="00152C0F">
        <w:rPr>
          <w:rFonts w:ascii="Times New Roman" w:hAnsi="Times New Roman" w:cs="Times New Roman"/>
          <w:sz w:val="28"/>
          <w:szCs w:val="28"/>
          <w:lang w:val="es-ES"/>
        </w:rPr>
        <w:t xml:space="preserve">una </w:t>
      </w:r>
      <w:r w:rsidRPr="00152C0F">
        <w:rPr>
          <w:rFonts w:ascii="Times New Roman" w:hAnsi="Times New Roman" w:cs="Times New Roman"/>
          <w:sz w:val="28"/>
          <w:szCs w:val="28"/>
          <w:lang w:val="es-ES"/>
        </w:rPr>
        <w:t>medida permanente</w:t>
      </w:r>
      <w:r w:rsidRPr="00152C0F">
        <w:rPr>
          <w:rFonts w:ascii="Times New Roman" w:hAnsi="Times New Roman" w:cs="Times New Roman"/>
          <w:sz w:val="28"/>
          <w:szCs w:val="28"/>
          <w:lang w:val="es-ES"/>
        </w:rPr>
        <w:t xml:space="preserve">, que </w:t>
      </w:r>
      <w:r w:rsidRPr="00152C0F">
        <w:rPr>
          <w:rFonts w:ascii="Times New Roman" w:hAnsi="Times New Roman" w:cs="Times New Roman"/>
          <w:sz w:val="28"/>
          <w:szCs w:val="28"/>
          <w:lang w:val="es-ES"/>
        </w:rPr>
        <w:t xml:space="preserve">no impulsa </w:t>
      </w:r>
      <w:r w:rsidRPr="00152C0F">
        <w:rPr>
          <w:rFonts w:ascii="Times New Roman" w:hAnsi="Times New Roman" w:cs="Times New Roman"/>
          <w:sz w:val="28"/>
          <w:szCs w:val="28"/>
          <w:lang w:val="es-ES"/>
        </w:rPr>
        <w:t xml:space="preserve">de manera </w:t>
      </w:r>
      <w:r w:rsidRPr="00152C0F">
        <w:rPr>
          <w:rFonts w:ascii="Times New Roman" w:hAnsi="Times New Roman" w:cs="Times New Roman"/>
          <w:sz w:val="28"/>
          <w:szCs w:val="28"/>
          <w:lang w:val="es-ES"/>
        </w:rPr>
        <w:t xml:space="preserve">directa las políticas señaladas en la parte general, como la desarticulación del crimen organizado o la destinación efectiva de </w:t>
      </w:r>
      <w:r w:rsidRPr="00152C0F">
        <w:rPr>
          <w:rFonts w:ascii="Times New Roman" w:hAnsi="Times New Roman" w:cs="Times New Roman"/>
          <w:sz w:val="28"/>
          <w:szCs w:val="28"/>
          <w:lang w:val="es-ES"/>
        </w:rPr>
        <w:t xml:space="preserve">los </w:t>
      </w:r>
      <w:r w:rsidRPr="00152C0F">
        <w:rPr>
          <w:rFonts w:ascii="Times New Roman" w:hAnsi="Times New Roman" w:cs="Times New Roman"/>
          <w:sz w:val="28"/>
          <w:szCs w:val="28"/>
          <w:lang w:val="es-ES"/>
        </w:rPr>
        <w:t>biene</w:t>
      </w:r>
      <w:r w:rsidRPr="00152C0F">
        <w:rPr>
          <w:rFonts w:ascii="Times New Roman" w:hAnsi="Times New Roman" w:cs="Times New Roman"/>
          <w:sz w:val="28"/>
          <w:szCs w:val="28"/>
          <w:lang w:val="es-ES"/>
        </w:rPr>
        <w:t xml:space="preserve">s </w:t>
      </w:r>
      <w:r w:rsidRPr="00152C0F">
        <w:rPr>
          <w:rFonts w:ascii="Times New Roman" w:hAnsi="Times New Roman" w:cs="Times New Roman"/>
          <w:sz w:val="28"/>
          <w:szCs w:val="28"/>
          <w:lang w:val="es-ES"/>
        </w:rPr>
        <w:t xml:space="preserve">objeto de extinción de dominio </w:t>
      </w:r>
      <w:r w:rsidRPr="00152C0F">
        <w:rPr>
          <w:rFonts w:ascii="Times New Roman" w:hAnsi="Times New Roman" w:cs="Times New Roman"/>
          <w:sz w:val="28"/>
          <w:szCs w:val="28"/>
          <w:lang w:val="es-ES"/>
        </w:rPr>
        <w:t>a proyectos sociales.</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Aunque se menciona que la SAE y la </w:t>
      </w:r>
      <w:r w:rsidRPr="00152C0F">
        <w:rPr>
          <w:rFonts w:ascii="Times New Roman" w:hAnsi="Times New Roman" w:cs="Times New Roman"/>
          <w:sz w:val="28"/>
          <w:szCs w:val="28"/>
          <w:lang w:val="es-ES"/>
        </w:rPr>
        <w:t xml:space="preserve">UIAF </w:t>
      </w:r>
      <w:r w:rsidRPr="00152C0F">
        <w:rPr>
          <w:rFonts w:ascii="Times New Roman" w:hAnsi="Times New Roman" w:cs="Times New Roman"/>
          <w:sz w:val="28"/>
          <w:szCs w:val="28"/>
          <w:lang w:val="es-ES"/>
        </w:rPr>
        <w:t>coordinarán acciones para evitar el uso de bienes extintos por redes criminales</w:t>
      </w:r>
      <w:r w:rsidRPr="00152C0F">
        <w:rPr>
          <w:rStyle w:val="Refdenotaalpie"/>
          <w:rFonts w:ascii="Times New Roman" w:hAnsi="Times New Roman" w:cs="Times New Roman"/>
          <w:sz w:val="28"/>
          <w:szCs w:val="28"/>
          <w:lang w:val="es-ES"/>
        </w:rPr>
        <w:footnoteReference w:id="107"/>
      </w:r>
      <w:r w:rsidRPr="00152C0F">
        <w:rPr>
          <w:rFonts w:ascii="Times New Roman" w:hAnsi="Times New Roman" w:cs="Times New Roman"/>
          <w:sz w:val="28"/>
          <w:szCs w:val="28"/>
          <w:lang w:val="es-ES"/>
        </w:rPr>
        <w:t xml:space="preserve">, la </w:t>
      </w:r>
      <w:r w:rsidRPr="00152C0F">
        <w:rPr>
          <w:rFonts w:ascii="Times New Roman" w:hAnsi="Times New Roman" w:cs="Times New Roman"/>
          <w:sz w:val="28"/>
          <w:szCs w:val="28"/>
          <w:lang w:val="es-ES"/>
        </w:rPr>
        <w:t xml:space="preserve">medida de </w:t>
      </w:r>
      <w:r w:rsidRPr="00152C0F">
        <w:rPr>
          <w:rFonts w:ascii="Times New Roman" w:hAnsi="Times New Roman" w:cs="Times New Roman"/>
          <w:sz w:val="28"/>
          <w:szCs w:val="28"/>
          <w:lang w:val="es-ES"/>
        </w:rPr>
        <w:t xml:space="preserve">imprescriptibilidad no garantiza que los bienes del FRISCO se destinen de manera </w:t>
      </w:r>
      <w:r w:rsidRPr="00152C0F">
        <w:rPr>
          <w:rFonts w:ascii="Times New Roman" w:hAnsi="Times New Roman" w:cs="Times New Roman"/>
          <w:sz w:val="28"/>
          <w:szCs w:val="28"/>
          <w:lang w:val="es-ES"/>
        </w:rPr>
        <w:t>efectiva</w:t>
      </w:r>
      <w:r w:rsidRPr="00152C0F">
        <w:rPr>
          <w:rFonts w:ascii="Times New Roman" w:hAnsi="Times New Roman" w:cs="Times New Roman"/>
          <w:sz w:val="28"/>
          <w:szCs w:val="28"/>
          <w:lang w:val="es-ES"/>
        </w:rPr>
        <w:t xml:space="preserve"> a esta finalidad</w:t>
      </w:r>
      <w:r w:rsidRPr="00152C0F">
        <w:rPr>
          <w:rFonts w:ascii="Times New Roman" w:hAnsi="Times New Roman" w:cs="Times New Roman"/>
          <w:sz w:val="28"/>
          <w:szCs w:val="28"/>
          <w:lang w:val="es-ES"/>
        </w:rPr>
        <w:t xml:space="preserve">, por cuanto la disposición </w:t>
      </w:r>
      <w:r w:rsidRPr="00152C0F">
        <w:rPr>
          <w:rFonts w:ascii="Times New Roman" w:hAnsi="Times New Roman" w:cs="Times New Roman"/>
          <w:sz w:val="28"/>
          <w:szCs w:val="28"/>
          <w:lang w:val="es-ES"/>
        </w:rPr>
        <w:t>únicamente prohíbe la prescripción, pero no establece mecanismos para evitar su uso indebido ni promueve la gestión oportu</w:t>
      </w:r>
      <w:r w:rsidRPr="00152C0F">
        <w:rPr>
          <w:rFonts w:ascii="Times New Roman" w:hAnsi="Times New Roman" w:cs="Times New Roman"/>
          <w:sz w:val="28"/>
          <w:szCs w:val="28"/>
          <w:lang w:val="es-ES"/>
        </w:rPr>
        <w:t>na de los bienes.</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Esta medida tampoco promueve la destinación de los bienes </w:t>
      </w:r>
      <w:r w:rsidRPr="00152C0F">
        <w:rPr>
          <w:rFonts w:ascii="Times New Roman" w:hAnsi="Times New Roman" w:cs="Times New Roman"/>
          <w:sz w:val="28"/>
          <w:szCs w:val="28"/>
          <w:lang w:val="es-ES"/>
        </w:rPr>
        <w:t xml:space="preserve">objeto de extinción del dominio </w:t>
      </w:r>
      <w:r w:rsidRPr="00152C0F">
        <w:rPr>
          <w:rFonts w:ascii="Times New Roman" w:hAnsi="Times New Roman" w:cs="Times New Roman"/>
          <w:sz w:val="28"/>
          <w:szCs w:val="28"/>
          <w:lang w:val="es-ES"/>
        </w:rPr>
        <w:t xml:space="preserve">a los usos que </w:t>
      </w:r>
      <w:r w:rsidRPr="00152C0F">
        <w:rPr>
          <w:rFonts w:ascii="Times New Roman" w:hAnsi="Times New Roman" w:cs="Times New Roman"/>
          <w:sz w:val="28"/>
          <w:szCs w:val="28"/>
          <w:lang w:val="es-ES"/>
        </w:rPr>
        <w:t>pretenden adscribirles los intervinientes que solicitan la declaratoria de exequibilidad de la disposición</w:t>
      </w:r>
      <w:r w:rsidRPr="00152C0F">
        <w:rPr>
          <w:rFonts w:ascii="Times New Roman" w:hAnsi="Times New Roman" w:cs="Times New Roman"/>
          <w:sz w:val="28"/>
          <w:szCs w:val="28"/>
          <w:lang w:val="es-ES"/>
        </w:rPr>
        <w:t xml:space="preserve"> –a proyectos sociales y co</w:t>
      </w:r>
      <w:r w:rsidRPr="00152C0F">
        <w:rPr>
          <w:rFonts w:ascii="Times New Roman" w:hAnsi="Times New Roman" w:cs="Times New Roman"/>
          <w:sz w:val="28"/>
          <w:szCs w:val="28"/>
          <w:lang w:val="es-ES"/>
        </w:rPr>
        <w:t>munitarios y a reconversiones productivas en territorios afectados por economías ilegales–</w:t>
      </w:r>
      <w:r w:rsidRPr="00152C0F">
        <w:rPr>
          <w:rFonts w:ascii="Times New Roman" w:hAnsi="Times New Roman" w:cs="Times New Roman"/>
          <w:sz w:val="28"/>
          <w:szCs w:val="28"/>
          <w:lang w:val="es-ES"/>
        </w:rPr>
        <w:t xml:space="preserve">, ya que esta </w:t>
      </w:r>
      <w:r w:rsidRPr="00152C0F">
        <w:rPr>
          <w:rFonts w:ascii="Times New Roman" w:hAnsi="Times New Roman" w:cs="Times New Roman"/>
          <w:sz w:val="28"/>
          <w:szCs w:val="28"/>
          <w:lang w:val="es-ES"/>
        </w:rPr>
        <w:t>se limita a impedir la prescripción</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sin garantizar su </w:t>
      </w:r>
      <w:r w:rsidRPr="00152C0F">
        <w:rPr>
          <w:rFonts w:ascii="Times New Roman" w:hAnsi="Times New Roman" w:cs="Times New Roman"/>
          <w:sz w:val="28"/>
          <w:szCs w:val="28"/>
          <w:lang w:val="es-ES"/>
        </w:rPr>
        <w:t xml:space="preserve">destinación </w:t>
      </w:r>
      <w:r w:rsidRPr="00152C0F">
        <w:rPr>
          <w:rFonts w:ascii="Times New Roman" w:hAnsi="Times New Roman" w:cs="Times New Roman"/>
          <w:sz w:val="28"/>
          <w:szCs w:val="28"/>
          <w:lang w:val="es-ES"/>
        </w:rPr>
        <w:t>para fines sociales</w:t>
      </w:r>
      <w:r w:rsidRPr="00152C0F">
        <w:rPr>
          <w:rFonts w:ascii="Times New Roman" w:hAnsi="Times New Roman" w:cs="Times New Roman"/>
          <w:sz w:val="28"/>
          <w:szCs w:val="28"/>
          <w:lang w:val="es-ES"/>
        </w:rPr>
        <w:t>, o corresponder a un instrumento para el logro de tal fin</w:t>
      </w:r>
      <w:r w:rsidRPr="00152C0F">
        <w:rPr>
          <w:rFonts w:ascii="Times New Roman" w:hAnsi="Times New Roman" w:cs="Times New Roman"/>
          <w:sz w:val="28"/>
          <w:szCs w:val="28"/>
          <w:lang w:val="es-ES"/>
        </w:rPr>
        <w:t>.</w:t>
      </w:r>
    </w:p>
    <w:p w:rsidR="00692F2E" w:rsidRPr="00152C0F" w:rsidRDefault="00152C0F" w:rsidP="00692F2E">
      <w:pPr>
        <w:pStyle w:val="Prrafodelista"/>
        <w:rPr>
          <w:rFonts w:ascii="Times New Roman" w:hAnsi="Times New Roman" w:cs="Times New Roman"/>
          <w:sz w:val="28"/>
          <w:szCs w:val="28"/>
        </w:rPr>
      </w:pPr>
    </w:p>
    <w:p w:rsidR="005F23A0" w:rsidRPr="00152C0F" w:rsidRDefault="00152C0F" w:rsidP="0036517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lang w:val="es-ES"/>
        </w:rPr>
        <w:t xml:space="preserve">De otro lado, </w:t>
      </w:r>
      <w:r w:rsidRPr="00152C0F">
        <w:rPr>
          <w:rFonts w:ascii="Times New Roman" w:hAnsi="Times New Roman" w:cs="Times New Roman"/>
          <w:sz w:val="28"/>
          <w:szCs w:val="28"/>
          <w:lang w:val="es-ES"/>
        </w:rPr>
        <w:t xml:space="preserve">sujetar a una orden judicial la cancelación </w:t>
      </w:r>
      <w:r w:rsidRPr="00152C0F">
        <w:rPr>
          <w:rFonts w:ascii="Times New Roman" w:hAnsi="Times New Roman" w:cs="Times New Roman"/>
          <w:sz w:val="28"/>
          <w:szCs w:val="28"/>
          <w:lang w:val="es-ES"/>
        </w:rPr>
        <w:t>de las medidas cautelares</w:t>
      </w:r>
      <w:r w:rsidRPr="00152C0F">
        <w:rPr>
          <w:rFonts w:ascii="Times New Roman" w:hAnsi="Times New Roman" w:cs="Times New Roman"/>
          <w:sz w:val="28"/>
          <w:szCs w:val="28"/>
          <w:lang w:val="es-ES"/>
        </w:rPr>
        <w:t xml:space="preserve"> –en los términos del artículo 212–</w:t>
      </w:r>
      <w:r w:rsidRPr="00152C0F">
        <w:rPr>
          <w:rFonts w:ascii="Times New Roman" w:hAnsi="Times New Roman" w:cs="Times New Roman"/>
          <w:sz w:val="28"/>
          <w:szCs w:val="28"/>
          <w:lang w:val="es-ES"/>
        </w:rPr>
        <w:t>, tampoco se relaciona</w:t>
      </w:r>
      <w:r w:rsidRPr="00152C0F">
        <w:rPr>
          <w:rFonts w:ascii="Times New Roman" w:hAnsi="Times New Roman" w:cs="Times New Roman"/>
          <w:sz w:val="28"/>
          <w:szCs w:val="28"/>
          <w:lang w:val="es-ES"/>
        </w:rPr>
        <w:t xml:space="preserve">, en sentido estricto, </w:t>
      </w:r>
      <w:r w:rsidRPr="00152C0F">
        <w:rPr>
          <w:rFonts w:ascii="Times New Roman" w:hAnsi="Times New Roman" w:cs="Times New Roman"/>
          <w:sz w:val="28"/>
          <w:szCs w:val="28"/>
          <w:lang w:val="es-ES"/>
        </w:rPr>
        <w:t>con la administración y destinación de los bienes objeto de extinción de</w:t>
      </w:r>
      <w:r w:rsidRPr="00152C0F">
        <w:rPr>
          <w:rFonts w:ascii="Times New Roman" w:hAnsi="Times New Roman" w:cs="Times New Roman"/>
          <w:sz w:val="28"/>
          <w:szCs w:val="28"/>
          <w:lang w:val="es-ES"/>
        </w:rPr>
        <w:t xml:space="preserve"> dominio, </w:t>
      </w:r>
      <w:r w:rsidRPr="00152C0F">
        <w:rPr>
          <w:rFonts w:ascii="Times New Roman" w:hAnsi="Times New Roman" w:cs="Times New Roman"/>
          <w:sz w:val="28"/>
          <w:szCs w:val="28"/>
          <w:lang w:val="es-ES"/>
        </w:rPr>
        <w:t>sino que co</w:t>
      </w:r>
      <w:r w:rsidRPr="00152C0F">
        <w:rPr>
          <w:rFonts w:ascii="Times New Roman" w:hAnsi="Times New Roman" w:cs="Times New Roman"/>
          <w:sz w:val="28"/>
          <w:szCs w:val="28"/>
          <w:lang w:val="es-ES"/>
        </w:rPr>
        <w:t xml:space="preserve">rresponde a una medida </w:t>
      </w:r>
      <w:r w:rsidRPr="00152C0F">
        <w:rPr>
          <w:rFonts w:ascii="Times New Roman" w:hAnsi="Times New Roman" w:cs="Times New Roman"/>
          <w:sz w:val="28"/>
          <w:szCs w:val="28"/>
          <w:lang w:val="es-ES"/>
        </w:rPr>
        <w:t xml:space="preserve">procesal que </w:t>
      </w:r>
      <w:r w:rsidRPr="00152C0F">
        <w:rPr>
          <w:rFonts w:ascii="Times New Roman" w:hAnsi="Times New Roman" w:cs="Times New Roman"/>
          <w:sz w:val="28"/>
          <w:szCs w:val="28"/>
          <w:lang w:val="es-ES"/>
        </w:rPr>
        <w:t>corr</w:t>
      </w:r>
      <w:r w:rsidRPr="00152C0F">
        <w:rPr>
          <w:rFonts w:ascii="Times New Roman" w:hAnsi="Times New Roman" w:cs="Times New Roman"/>
          <w:sz w:val="28"/>
          <w:szCs w:val="28"/>
          <w:lang w:val="es-ES"/>
        </w:rPr>
        <w:t>ige</w:t>
      </w:r>
      <w:r w:rsidRPr="00152C0F">
        <w:rPr>
          <w:rFonts w:ascii="Times New Roman" w:hAnsi="Times New Roman" w:cs="Times New Roman"/>
          <w:sz w:val="28"/>
          <w:szCs w:val="28"/>
          <w:lang w:val="es-ES"/>
        </w:rPr>
        <w:t xml:space="preserve"> una </w:t>
      </w:r>
      <w:r w:rsidRPr="00152C0F">
        <w:rPr>
          <w:rFonts w:ascii="Times New Roman" w:hAnsi="Times New Roman" w:cs="Times New Roman"/>
          <w:sz w:val="28"/>
          <w:szCs w:val="28"/>
        </w:rPr>
        <w:t xml:space="preserve">inconsistencia del </w:t>
      </w:r>
      <w:r w:rsidRPr="00152C0F">
        <w:rPr>
          <w:rFonts w:ascii="Times New Roman" w:hAnsi="Times New Roman" w:cs="Times New Roman"/>
          <w:sz w:val="28"/>
          <w:szCs w:val="28"/>
        </w:rPr>
        <w:t>Código de Extinción de Dominio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que </w:t>
      </w:r>
      <w:r w:rsidRPr="00152C0F">
        <w:rPr>
          <w:rFonts w:ascii="Times New Roman" w:hAnsi="Times New Roman" w:cs="Times New Roman"/>
          <w:sz w:val="28"/>
          <w:szCs w:val="28"/>
          <w:lang w:val="es-ES" w:eastAsia="es-ES"/>
        </w:rPr>
        <w:t>elimina la discusión administrativa y judicial que se presentaba acerca de si tales medidas tenían una vigencia transitoria o no, como se indicó en el tí</w:t>
      </w:r>
      <w:r w:rsidRPr="00152C0F">
        <w:rPr>
          <w:rFonts w:ascii="Times New Roman" w:hAnsi="Times New Roman" w:cs="Times New Roman"/>
          <w:sz w:val="28"/>
          <w:szCs w:val="28"/>
          <w:lang w:val="es-ES" w:eastAsia="es-ES"/>
        </w:rPr>
        <w:t xml:space="preserve">tulo 7.2 </w:t>
      </w:r>
      <w:r w:rsidRPr="00152C0F">
        <w:rPr>
          <w:rFonts w:ascii="Times New Roman" w:hAnsi="Times New Roman" w:cs="Times New Roman"/>
          <w:i/>
          <w:iCs/>
          <w:sz w:val="28"/>
          <w:szCs w:val="28"/>
          <w:lang w:val="es-ES" w:eastAsia="es-ES"/>
        </w:rPr>
        <w:t>supra</w:t>
      </w:r>
      <w:r w:rsidRPr="00152C0F">
        <w:rPr>
          <w:rFonts w:ascii="Times New Roman" w:hAnsi="Times New Roman" w:cs="Times New Roman"/>
          <w:sz w:val="28"/>
          <w:szCs w:val="28"/>
          <w:lang w:val="es-ES" w:eastAsia="es-ES"/>
        </w:rPr>
        <w:t>.</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lang w:val="es-ES" w:eastAsia="es-ES"/>
        </w:rPr>
        <w:t>Para la Sala, la inferencia más plausible de la puesta en marcha de este mecanismo no es tanto, como lo indica</w:t>
      </w:r>
      <w:r w:rsidRPr="00152C0F">
        <w:rPr>
          <w:rFonts w:ascii="Times New Roman" w:hAnsi="Times New Roman" w:cs="Times New Roman"/>
          <w:sz w:val="28"/>
          <w:szCs w:val="28"/>
          <w:lang w:val="es-ES" w:eastAsia="es-ES"/>
        </w:rPr>
        <w:t>ron</w:t>
      </w:r>
      <w:r w:rsidRPr="00152C0F">
        <w:rPr>
          <w:rFonts w:ascii="Times New Roman" w:hAnsi="Times New Roman" w:cs="Times New Roman"/>
          <w:sz w:val="28"/>
          <w:szCs w:val="28"/>
          <w:lang w:val="es-ES" w:eastAsia="es-ES"/>
        </w:rPr>
        <w:t xml:space="preserve"> los defensores de la constitucionalidad de la disposición, </w:t>
      </w:r>
      <w:r w:rsidRPr="00152C0F">
        <w:rPr>
          <w:rFonts w:ascii="Times New Roman" w:hAnsi="Times New Roman" w:cs="Times New Roman"/>
          <w:sz w:val="28"/>
          <w:szCs w:val="28"/>
          <w:lang w:val="es-ES" w:eastAsia="es-ES"/>
        </w:rPr>
        <w:t xml:space="preserve">la mayor </w:t>
      </w:r>
      <w:r w:rsidRPr="00152C0F">
        <w:rPr>
          <w:rFonts w:ascii="Times New Roman" w:hAnsi="Times New Roman" w:cs="Times New Roman"/>
          <w:sz w:val="28"/>
          <w:szCs w:val="28"/>
          <w:lang w:val="es-ES" w:eastAsia="es-ES"/>
        </w:rPr>
        <w:t xml:space="preserve">celeridad </w:t>
      </w:r>
      <w:r w:rsidRPr="00152C0F">
        <w:rPr>
          <w:rFonts w:ascii="Times New Roman" w:hAnsi="Times New Roman" w:cs="Times New Roman"/>
          <w:sz w:val="28"/>
          <w:szCs w:val="28"/>
          <w:lang w:val="es-ES" w:eastAsia="es-ES"/>
        </w:rPr>
        <w:t xml:space="preserve">en el trámite de los procesos de extinción de dominio </w:t>
      </w:r>
      <w:r w:rsidRPr="00152C0F">
        <w:rPr>
          <w:rFonts w:ascii="Times New Roman" w:hAnsi="Times New Roman" w:cs="Times New Roman"/>
          <w:sz w:val="28"/>
          <w:szCs w:val="28"/>
          <w:lang w:val="es-ES" w:eastAsia="es-ES"/>
        </w:rPr>
        <w:t xml:space="preserve">y, por tanto, </w:t>
      </w:r>
      <w:r w:rsidRPr="00152C0F">
        <w:rPr>
          <w:rFonts w:ascii="Times New Roman" w:hAnsi="Times New Roman" w:cs="Times New Roman"/>
          <w:sz w:val="28"/>
          <w:szCs w:val="28"/>
          <w:lang w:val="es-ES" w:eastAsia="es-ES"/>
        </w:rPr>
        <w:t xml:space="preserve">una pronta disponibilidad de estos bienes para los fines socialmente importantes que se </w:t>
      </w:r>
      <w:r w:rsidRPr="00152C0F">
        <w:rPr>
          <w:rFonts w:ascii="Times New Roman" w:hAnsi="Times New Roman" w:cs="Times New Roman"/>
          <w:sz w:val="28"/>
          <w:szCs w:val="28"/>
          <w:lang w:val="es-ES" w:eastAsia="es-ES"/>
        </w:rPr>
        <w:t xml:space="preserve">les </w:t>
      </w:r>
      <w:r w:rsidRPr="00152C0F">
        <w:rPr>
          <w:rFonts w:ascii="Times New Roman" w:hAnsi="Times New Roman" w:cs="Times New Roman"/>
          <w:sz w:val="28"/>
          <w:szCs w:val="28"/>
          <w:lang w:val="es-ES" w:eastAsia="es-ES"/>
        </w:rPr>
        <w:t xml:space="preserve">pretende </w:t>
      </w:r>
      <w:r w:rsidRPr="00152C0F">
        <w:rPr>
          <w:rFonts w:ascii="Times New Roman" w:hAnsi="Times New Roman" w:cs="Times New Roman"/>
          <w:sz w:val="28"/>
          <w:szCs w:val="28"/>
          <w:lang w:val="es-ES" w:eastAsia="es-ES"/>
        </w:rPr>
        <w:t>otorgar, sino, muy por el contrario, como lo plantearon los impugnadores de su constitu</w:t>
      </w:r>
      <w:r w:rsidRPr="00152C0F">
        <w:rPr>
          <w:rFonts w:ascii="Times New Roman" w:hAnsi="Times New Roman" w:cs="Times New Roman"/>
          <w:sz w:val="28"/>
          <w:szCs w:val="28"/>
          <w:lang w:val="es-ES" w:eastAsia="es-ES"/>
        </w:rPr>
        <w:t xml:space="preserve">cionalidad, </w:t>
      </w:r>
      <w:r w:rsidRPr="00152C0F">
        <w:rPr>
          <w:rFonts w:ascii="Times New Roman" w:hAnsi="Times New Roman" w:cs="Times New Roman"/>
          <w:sz w:val="28"/>
          <w:szCs w:val="28"/>
          <w:lang w:val="es-ES" w:eastAsia="es-ES"/>
        </w:rPr>
        <w:t xml:space="preserve">una mayor incertidumbre </w:t>
      </w:r>
      <w:r w:rsidRPr="00152C0F">
        <w:rPr>
          <w:rFonts w:ascii="Times New Roman" w:hAnsi="Times New Roman" w:cs="Times New Roman"/>
          <w:sz w:val="28"/>
          <w:szCs w:val="28"/>
          <w:lang w:val="es-ES" w:eastAsia="es-ES"/>
        </w:rPr>
        <w:t xml:space="preserve">y prolongación </w:t>
      </w:r>
      <w:r w:rsidRPr="00152C0F">
        <w:rPr>
          <w:rFonts w:ascii="Times New Roman" w:hAnsi="Times New Roman" w:cs="Times New Roman"/>
          <w:sz w:val="28"/>
          <w:szCs w:val="28"/>
          <w:lang w:val="es-ES" w:eastAsia="es-ES"/>
        </w:rPr>
        <w:t>en el trámite de estos procesos</w:t>
      </w:r>
      <w:r w:rsidRPr="00152C0F">
        <w:rPr>
          <w:rFonts w:ascii="Times New Roman" w:hAnsi="Times New Roman" w:cs="Times New Roman"/>
          <w:sz w:val="28"/>
          <w:szCs w:val="28"/>
          <w:lang w:val="es-ES" w:eastAsia="es-ES"/>
        </w:rPr>
        <w:t xml:space="preserve">. Por tanto, en sentido estricto, la </w:t>
      </w:r>
      <w:r w:rsidRPr="00152C0F">
        <w:rPr>
          <w:rFonts w:ascii="Times New Roman" w:hAnsi="Times New Roman" w:cs="Times New Roman"/>
          <w:sz w:val="28"/>
          <w:szCs w:val="28"/>
          <w:lang w:val="es-ES" w:eastAsia="es-ES"/>
        </w:rPr>
        <w:t xml:space="preserve">mayor </w:t>
      </w:r>
      <w:r w:rsidRPr="00152C0F">
        <w:rPr>
          <w:rFonts w:ascii="Times New Roman" w:hAnsi="Times New Roman" w:cs="Times New Roman"/>
          <w:sz w:val="28"/>
          <w:szCs w:val="28"/>
          <w:lang w:val="es-ES"/>
        </w:rPr>
        <w:t xml:space="preserve">vigencia de las medidas cautelares no agiliza, </w:t>
      </w:r>
      <w:r w:rsidRPr="00152C0F">
        <w:rPr>
          <w:rFonts w:ascii="Times New Roman" w:hAnsi="Times New Roman" w:cs="Times New Roman"/>
          <w:i/>
          <w:iCs/>
          <w:sz w:val="28"/>
          <w:szCs w:val="28"/>
          <w:lang w:val="es-ES"/>
        </w:rPr>
        <w:t>per se</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el proceso de </w:t>
      </w:r>
      <w:r w:rsidRPr="00152C0F">
        <w:rPr>
          <w:rFonts w:ascii="Times New Roman" w:hAnsi="Times New Roman" w:cs="Times New Roman"/>
          <w:sz w:val="28"/>
          <w:szCs w:val="28"/>
          <w:lang w:val="es-ES"/>
        </w:rPr>
        <w:t>extinción de dominio</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lo cual se adujo que era fundamental </w:t>
      </w:r>
      <w:r w:rsidRPr="00152C0F">
        <w:rPr>
          <w:rFonts w:ascii="Times New Roman" w:hAnsi="Times New Roman" w:cs="Times New Roman"/>
          <w:sz w:val="28"/>
          <w:szCs w:val="28"/>
          <w:lang w:val="es-ES"/>
        </w:rPr>
        <w:t>para la desarticulación de estructuras criminales</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como tampoco </w:t>
      </w:r>
      <w:r w:rsidRPr="00152C0F">
        <w:rPr>
          <w:rFonts w:ascii="Times New Roman" w:hAnsi="Times New Roman" w:cs="Times New Roman"/>
          <w:sz w:val="28"/>
          <w:szCs w:val="28"/>
          <w:lang w:val="es-ES"/>
        </w:rPr>
        <w:t>permit</w:t>
      </w:r>
      <w:r w:rsidRPr="00152C0F">
        <w:rPr>
          <w:rFonts w:ascii="Times New Roman" w:hAnsi="Times New Roman" w:cs="Times New Roman"/>
          <w:sz w:val="28"/>
          <w:szCs w:val="28"/>
          <w:lang w:val="es-ES"/>
        </w:rPr>
        <w:t>e</w:t>
      </w:r>
      <w:r w:rsidRPr="00152C0F">
        <w:rPr>
          <w:rFonts w:ascii="Times New Roman" w:hAnsi="Times New Roman" w:cs="Times New Roman"/>
          <w:sz w:val="28"/>
          <w:szCs w:val="28"/>
          <w:lang w:val="es-ES"/>
        </w:rPr>
        <w:t xml:space="preserve"> una definición oportuna y definitiva de </w:t>
      </w:r>
      <w:r w:rsidRPr="00152C0F">
        <w:rPr>
          <w:rFonts w:ascii="Times New Roman" w:hAnsi="Times New Roman" w:cs="Times New Roman"/>
          <w:sz w:val="28"/>
          <w:szCs w:val="28"/>
          <w:lang w:val="es-ES"/>
        </w:rPr>
        <w:t>la situación jurídica de los bienes objeto de extinción del dominio, de tal forma que se puedan destinar para los fines sociales y de transform</w:t>
      </w:r>
      <w:r w:rsidRPr="00152C0F">
        <w:rPr>
          <w:rFonts w:ascii="Times New Roman" w:hAnsi="Times New Roman" w:cs="Times New Roman"/>
          <w:sz w:val="28"/>
          <w:szCs w:val="28"/>
          <w:lang w:val="es-ES"/>
        </w:rPr>
        <w:t>ación territorial que pretende el Gobierno nacional</w:t>
      </w:r>
      <w:r w:rsidRPr="00152C0F">
        <w:rPr>
          <w:rFonts w:ascii="Times New Roman" w:hAnsi="Times New Roman" w:cs="Times New Roman"/>
          <w:sz w:val="28"/>
          <w:szCs w:val="28"/>
          <w:lang w:val="es-ES"/>
        </w:rPr>
        <w:t>.</w:t>
      </w:r>
    </w:p>
    <w:p w:rsidR="005F23A0" w:rsidRPr="00152C0F" w:rsidRDefault="00152C0F" w:rsidP="005530B3">
      <w:pPr>
        <w:rPr>
          <w:rFonts w:ascii="Times New Roman" w:hAnsi="Times New Roman" w:cs="Times New Roman"/>
          <w:sz w:val="28"/>
          <w:szCs w:val="28"/>
          <w:lang w:val="es-ES" w:eastAsia="es-ES"/>
        </w:rPr>
      </w:pPr>
    </w:p>
    <w:p w:rsidR="008775C6" w:rsidRPr="00152C0F" w:rsidRDefault="00152C0F" w:rsidP="00680E7A">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lang w:val="es-ES" w:eastAsia="es-ES"/>
        </w:rPr>
        <w:t xml:space="preserve">Así las cosas, para la Sala, </w:t>
      </w:r>
      <w:r w:rsidRPr="00152C0F">
        <w:rPr>
          <w:rFonts w:ascii="Times New Roman" w:hAnsi="Times New Roman" w:cs="Times New Roman"/>
          <w:sz w:val="28"/>
          <w:szCs w:val="28"/>
          <w:lang w:val="es-ES" w:eastAsia="es-ES"/>
        </w:rPr>
        <w:t xml:space="preserve">más que medidas que </w:t>
      </w:r>
      <w:r w:rsidRPr="00152C0F">
        <w:rPr>
          <w:rFonts w:ascii="Times New Roman" w:hAnsi="Times New Roman" w:cs="Times New Roman"/>
          <w:sz w:val="28"/>
          <w:szCs w:val="28"/>
          <w:lang w:val="es-ES"/>
        </w:rPr>
        <w:t xml:space="preserve">directa e inmediatamente se relacionen </w:t>
      </w:r>
      <w:r w:rsidRPr="00152C0F">
        <w:rPr>
          <w:rFonts w:ascii="Times New Roman" w:hAnsi="Times New Roman" w:cs="Times New Roman"/>
          <w:sz w:val="28"/>
          <w:szCs w:val="28"/>
        </w:rPr>
        <w:t xml:space="preserve">con las políticas y estrategias que </w:t>
      </w:r>
      <w:r w:rsidRPr="00152C0F">
        <w:rPr>
          <w:rFonts w:ascii="Times New Roman" w:hAnsi="Times New Roman" w:cs="Times New Roman"/>
          <w:sz w:val="28"/>
          <w:szCs w:val="28"/>
        </w:rPr>
        <w:t xml:space="preserve">deben </w:t>
      </w:r>
      <w:r w:rsidRPr="00152C0F">
        <w:rPr>
          <w:rFonts w:ascii="Times New Roman" w:hAnsi="Times New Roman" w:cs="Times New Roman"/>
          <w:sz w:val="28"/>
          <w:szCs w:val="28"/>
        </w:rPr>
        <w:t xml:space="preserve">guiar la acción del gobierno para alcanzar en el cuatrienio los </w:t>
      </w:r>
      <w:r w:rsidRPr="00152C0F">
        <w:rPr>
          <w:rFonts w:ascii="Times New Roman" w:hAnsi="Times New Roman" w:cs="Times New Roman"/>
          <w:sz w:val="28"/>
          <w:szCs w:val="28"/>
        </w:rPr>
        <w:t>objetivos y metas de la acción estatal de mediano y largo plazo señalados en la parte general</w:t>
      </w:r>
      <w:r w:rsidRPr="00152C0F">
        <w:rPr>
          <w:rFonts w:ascii="Times New Roman" w:hAnsi="Times New Roman" w:cs="Times New Roman"/>
          <w:sz w:val="28"/>
          <w:szCs w:val="28"/>
        </w:rPr>
        <w:t xml:space="preserve"> del plan</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buscan solucionar vacíos o</w:t>
      </w:r>
      <w:r w:rsidRPr="00152C0F">
        <w:rPr>
          <w:rFonts w:ascii="Times New Roman" w:hAnsi="Times New Roman" w:cs="Times New Roman"/>
          <w:sz w:val="28"/>
          <w:szCs w:val="28"/>
        </w:rPr>
        <w:t xml:space="preserve"> inconsistencias </w:t>
      </w:r>
      <w:r w:rsidRPr="00152C0F">
        <w:rPr>
          <w:rFonts w:ascii="Times New Roman" w:hAnsi="Times New Roman" w:cs="Times New Roman"/>
          <w:sz w:val="28"/>
          <w:szCs w:val="28"/>
        </w:rPr>
        <w:t xml:space="preserve">normativas, </w:t>
      </w:r>
      <w:r w:rsidRPr="00152C0F">
        <w:rPr>
          <w:rFonts w:ascii="Times New Roman" w:hAnsi="Times New Roman" w:cs="Times New Roman"/>
          <w:sz w:val="28"/>
          <w:szCs w:val="28"/>
        </w:rPr>
        <w:t xml:space="preserve">materia propia de una </w:t>
      </w:r>
      <w:r w:rsidRPr="00152C0F">
        <w:rPr>
          <w:rFonts w:ascii="Times New Roman" w:hAnsi="Times New Roman" w:cs="Times New Roman"/>
          <w:sz w:val="28"/>
          <w:szCs w:val="28"/>
        </w:rPr>
        <w:t>ley ordinaria</w:t>
      </w:r>
      <w:r w:rsidRPr="00152C0F">
        <w:rPr>
          <w:rFonts w:ascii="Times New Roman" w:hAnsi="Times New Roman" w:cs="Times New Roman"/>
          <w:sz w:val="28"/>
          <w:szCs w:val="28"/>
        </w:rPr>
        <w:t xml:space="preserve">, y no de </w:t>
      </w:r>
      <w:r w:rsidRPr="00152C0F">
        <w:rPr>
          <w:rFonts w:ascii="Times New Roman" w:hAnsi="Times New Roman" w:cs="Times New Roman"/>
          <w:sz w:val="28"/>
          <w:szCs w:val="28"/>
        </w:rPr>
        <w:t>la ley aprobatoria del plan nacional de desarrollo.</w:t>
      </w:r>
    </w:p>
    <w:p w:rsidR="007D31CA" w:rsidRPr="00152C0F" w:rsidRDefault="00152C0F" w:rsidP="00220E83">
      <w:pPr>
        <w:rPr>
          <w:rFonts w:ascii="Times New Roman" w:hAnsi="Times New Roman" w:cs="Times New Roman"/>
          <w:sz w:val="28"/>
          <w:szCs w:val="28"/>
        </w:rPr>
      </w:pPr>
    </w:p>
    <w:p w:rsidR="00D060F6" w:rsidRPr="00152C0F" w:rsidRDefault="00152C0F" w:rsidP="00D060F6">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cuanto a lo segundo, esto es, </w:t>
      </w:r>
      <w:r w:rsidRPr="00152C0F">
        <w:rPr>
          <w:rFonts w:ascii="Times New Roman" w:hAnsi="Times New Roman" w:cs="Times New Roman"/>
          <w:sz w:val="28"/>
          <w:szCs w:val="28"/>
        </w:rPr>
        <w:t xml:space="preserve">a la relación de conexidad directa e inmediata de las disposiciones demandadas con </w:t>
      </w:r>
      <w:r w:rsidRPr="00152C0F">
        <w:rPr>
          <w:rFonts w:ascii="Times New Roman" w:hAnsi="Times New Roman" w:cs="Times New Roman"/>
          <w:sz w:val="28"/>
          <w:szCs w:val="28"/>
        </w:rPr>
        <w:t>los programas y proyectos del plan de inversiones</w:t>
      </w:r>
      <w:r w:rsidRPr="00152C0F">
        <w:rPr>
          <w:rFonts w:ascii="Times New Roman" w:hAnsi="Times New Roman" w:cs="Times New Roman"/>
          <w:sz w:val="28"/>
          <w:szCs w:val="28"/>
          <w:lang w:val="es-ES"/>
        </w:rPr>
        <w:t>, tal vínculo es meramente formal</w:t>
      </w:r>
      <w:r w:rsidRPr="00152C0F">
        <w:rPr>
          <w:rFonts w:ascii="Times New Roman" w:hAnsi="Times New Roman" w:cs="Times New Roman"/>
          <w:sz w:val="28"/>
          <w:szCs w:val="28"/>
          <w:lang w:val="es-ES"/>
        </w:rPr>
        <w:t xml:space="preserve"> e indirect</w:t>
      </w:r>
      <w:r w:rsidRPr="00152C0F">
        <w:rPr>
          <w:rFonts w:ascii="Times New Roman" w:hAnsi="Times New Roman" w:cs="Times New Roman"/>
          <w:sz w:val="28"/>
          <w:szCs w:val="28"/>
          <w:lang w:val="es-ES"/>
        </w:rPr>
        <w:t>o</w:t>
      </w:r>
      <w:r w:rsidRPr="00152C0F">
        <w:rPr>
          <w:rFonts w:ascii="Times New Roman" w:hAnsi="Times New Roman" w:cs="Times New Roman"/>
          <w:sz w:val="28"/>
          <w:szCs w:val="28"/>
          <w:lang w:val="es-ES"/>
        </w:rPr>
        <w:t xml:space="preserve">, de allí que no </w:t>
      </w:r>
      <w:r w:rsidRPr="00152C0F">
        <w:rPr>
          <w:rFonts w:ascii="Times New Roman" w:hAnsi="Times New Roman" w:cs="Times New Roman"/>
          <w:sz w:val="28"/>
          <w:szCs w:val="28"/>
          <w:lang w:val="es-ES"/>
        </w:rPr>
        <w:t xml:space="preserve">puedan calificarse como </w:t>
      </w:r>
      <w:r w:rsidRPr="00152C0F">
        <w:rPr>
          <w:rFonts w:ascii="Times New Roman" w:hAnsi="Times New Roman" w:cs="Times New Roman"/>
          <w:sz w:val="28"/>
          <w:szCs w:val="28"/>
          <w:lang w:val="es-ES"/>
        </w:rPr>
        <w:t>“</w:t>
      </w:r>
      <w:r w:rsidRPr="00152C0F">
        <w:rPr>
          <w:rFonts w:ascii="Times New Roman" w:hAnsi="Times New Roman" w:cs="Times New Roman"/>
          <w:sz w:val="28"/>
          <w:szCs w:val="28"/>
          <w:shd w:val="clear" w:color="auto" w:fill="FFFFFF"/>
          <w:lang w:val="es-ES"/>
        </w:rPr>
        <w:t xml:space="preserve">mecanismos idóneos para su ejecución [de los </w:t>
      </w:r>
      <w:r w:rsidRPr="00152C0F">
        <w:rPr>
          <w:rFonts w:ascii="Times New Roman" w:hAnsi="Times New Roman" w:cs="Times New Roman"/>
          <w:sz w:val="28"/>
          <w:szCs w:val="28"/>
        </w:rPr>
        <w:t>programas y proyectos del plan de inversiones</w:t>
      </w:r>
      <w:r w:rsidRPr="00152C0F">
        <w:rPr>
          <w:rFonts w:ascii="Times New Roman" w:hAnsi="Times New Roman" w:cs="Times New Roman"/>
          <w:sz w:val="28"/>
          <w:szCs w:val="28"/>
          <w:shd w:val="clear" w:color="auto" w:fill="FFFFFF"/>
          <w:lang w:val="es-ES"/>
        </w:rPr>
        <w:t>]”, en los términos del inciso tercero del artículo 341 de la Constitución</w:t>
      </w:r>
      <w:r w:rsidRPr="00152C0F">
        <w:rPr>
          <w:rFonts w:ascii="Times New Roman" w:hAnsi="Times New Roman" w:cs="Times New Roman"/>
          <w:sz w:val="28"/>
          <w:szCs w:val="28"/>
        </w:rPr>
        <w:t>.</w:t>
      </w:r>
    </w:p>
    <w:p w:rsidR="00D060F6" w:rsidRPr="00152C0F" w:rsidRDefault="00152C0F" w:rsidP="006F1E7B">
      <w:pPr>
        <w:rPr>
          <w:rFonts w:ascii="Times New Roman" w:hAnsi="Times New Roman" w:cs="Times New Roman"/>
          <w:sz w:val="28"/>
          <w:szCs w:val="28"/>
          <w:lang w:val="es-ES"/>
        </w:rPr>
      </w:pPr>
    </w:p>
    <w:p w:rsidR="00865A53" w:rsidRPr="00152C0F" w:rsidRDefault="00152C0F" w:rsidP="00D25CBF">
      <w:pPr>
        <w:pStyle w:val="Prrafodelista"/>
        <w:numPr>
          <w:ilvl w:val="0"/>
          <w:numId w:val="2"/>
        </w:numPr>
        <w:ind w:left="0" w:firstLine="0"/>
        <w:jc w:val="both"/>
        <w:rPr>
          <w:rFonts w:ascii="Times New Roman" w:hAnsi="Times New Roman" w:cs="Times New Roman"/>
          <w:sz w:val="28"/>
          <w:szCs w:val="28"/>
          <w:lang w:val="es-ES"/>
        </w:rPr>
      </w:pPr>
      <w:r w:rsidRPr="00152C0F">
        <w:rPr>
          <w:rFonts w:ascii="Times New Roman" w:hAnsi="Times New Roman" w:cs="Times New Roman"/>
          <w:sz w:val="28"/>
          <w:szCs w:val="28"/>
          <w:lang w:val="es-ES"/>
        </w:rPr>
        <w:t>El plan plurianual de inversiones del plan nacional de desarrollo tiene como propósito es</w:t>
      </w:r>
      <w:r w:rsidRPr="00152C0F">
        <w:rPr>
          <w:rFonts w:ascii="Times New Roman" w:hAnsi="Times New Roman" w:cs="Times New Roman"/>
          <w:sz w:val="28"/>
          <w:szCs w:val="28"/>
          <w:lang w:val="es-ES"/>
        </w:rPr>
        <w:t xml:space="preserve">pecificar programas y proyectos prioritarios, con metas claras, recursos asignados y mecanismos para su ejecución durante el cuatrienio. Luego, para que una disposición tenga conexidad con </w:t>
      </w:r>
      <w:r w:rsidRPr="00152C0F">
        <w:rPr>
          <w:rFonts w:ascii="Times New Roman" w:hAnsi="Times New Roman" w:cs="Times New Roman"/>
          <w:sz w:val="28"/>
          <w:szCs w:val="28"/>
          <w:lang w:val="es-ES"/>
        </w:rPr>
        <w:t>aquel</w:t>
      </w:r>
      <w:r w:rsidRPr="00152C0F">
        <w:rPr>
          <w:rFonts w:ascii="Times New Roman" w:hAnsi="Times New Roman" w:cs="Times New Roman"/>
          <w:sz w:val="28"/>
          <w:szCs w:val="28"/>
          <w:lang w:val="es-ES"/>
        </w:rPr>
        <w:t>, debe demostrarse que actúa como un mecanismo idóneo e indisp</w:t>
      </w:r>
      <w:r w:rsidRPr="00152C0F">
        <w:rPr>
          <w:rFonts w:ascii="Times New Roman" w:hAnsi="Times New Roman" w:cs="Times New Roman"/>
          <w:sz w:val="28"/>
          <w:szCs w:val="28"/>
          <w:lang w:val="es-ES"/>
        </w:rPr>
        <w:t xml:space="preserve">ensable para la ejecución de dichos programas y proyectos. </w:t>
      </w:r>
    </w:p>
    <w:p w:rsidR="00865A53" w:rsidRPr="00152C0F" w:rsidRDefault="00152C0F" w:rsidP="00865A53">
      <w:pPr>
        <w:pStyle w:val="Prrafodelista"/>
        <w:rPr>
          <w:rFonts w:ascii="Times New Roman" w:hAnsi="Times New Roman" w:cs="Times New Roman"/>
          <w:sz w:val="28"/>
          <w:szCs w:val="28"/>
          <w:lang w:val="es-ES"/>
        </w:rPr>
      </w:pPr>
    </w:p>
    <w:p w:rsidR="00D06E4D" w:rsidRPr="00152C0F" w:rsidRDefault="00152C0F" w:rsidP="006B4F64">
      <w:pPr>
        <w:pStyle w:val="Prrafodelista"/>
        <w:numPr>
          <w:ilvl w:val="0"/>
          <w:numId w:val="2"/>
        </w:numPr>
        <w:ind w:left="0" w:firstLine="0"/>
        <w:jc w:val="both"/>
        <w:rPr>
          <w:rFonts w:ascii="Times New Roman" w:hAnsi="Times New Roman" w:cs="Times New Roman"/>
          <w:sz w:val="28"/>
          <w:szCs w:val="28"/>
          <w:lang w:val="es-ES"/>
        </w:rPr>
      </w:pPr>
      <w:r w:rsidRPr="00152C0F">
        <w:rPr>
          <w:rFonts w:ascii="Times New Roman" w:hAnsi="Times New Roman" w:cs="Times New Roman"/>
          <w:sz w:val="28"/>
          <w:szCs w:val="28"/>
          <w:lang w:val="es-ES"/>
        </w:rPr>
        <w:t xml:space="preserve">En el caso de los artículos 211 y 212 demandados, ninguno constituye, </w:t>
      </w:r>
      <w:r w:rsidRPr="00152C0F">
        <w:rPr>
          <w:rFonts w:ascii="Times New Roman" w:hAnsi="Times New Roman" w:cs="Times New Roman"/>
          <w:i/>
          <w:iCs/>
          <w:sz w:val="28"/>
          <w:szCs w:val="28"/>
          <w:lang w:val="es-ES"/>
        </w:rPr>
        <w:t>per se</w:t>
      </w:r>
      <w:r w:rsidRPr="00152C0F">
        <w:rPr>
          <w:rFonts w:ascii="Times New Roman" w:hAnsi="Times New Roman" w:cs="Times New Roman"/>
          <w:sz w:val="28"/>
          <w:szCs w:val="28"/>
          <w:lang w:val="es-ES"/>
        </w:rPr>
        <w:t xml:space="preserve">, un </w:t>
      </w:r>
      <w:r w:rsidRPr="00152C0F">
        <w:rPr>
          <w:rFonts w:ascii="Times New Roman" w:hAnsi="Times New Roman" w:cs="Times New Roman"/>
          <w:sz w:val="28"/>
          <w:szCs w:val="28"/>
        </w:rPr>
        <w:t>programa o proyecto de inversión</w:t>
      </w:r>
      <w:r w:rsidRPr="00152C0F">
        <w:rPr>
          <w:rFonts w:ascii="Times New Roman" w:hAnsi="Times New Roman" w:cs="Times New Roman"/>
          <w:sz w:val="28"/>
          <w:szCs w:val="28"/>
        </w:rPr>
        <w:t>. Además, a</w:t>
      </w:r>
      <w:r w:rsidRPr="00152C0F">
        <w:rPr>
          <w:rFonts w:ascii="Times New Roman" w:hAnsi="Times New Roman" w:cs="Times New Roman"/>
          <w:sz w:val="28"/>
          <w:szCs w:val="28"/>
          <w:lang w:val="es-ES"/>
        </w:rPr>
        <w:t xml:space="preserve"> pesar </w:t>
      </w:r>
      <w:r w:rsidRPr="00152C0F">
        <w:rPr>
          <w:rFonts w:ascii="Times New Roman" w:hAnsi="Times New Roman" w:cs="Times New Roman"/>
          <w:sz w:val="28"/>
          <w:szCs w:val="28"/>
          <w:lang w:val="es-ES"/>
        </w:rPr>
        <w:t xml:space="preserve">de la completa descripción que realizó el </w:t>
      </w:r>
      <w:r w:rsidRPr="00152C0F">
        <w:rPr>
          <w:rFonts w:ascii="Times New Roman" w:hAnsi="Times New Roman" w:cs="Times New Roman"/>
          <w:sz w:val="28"/>
          <w:szCs w:val="28"/>
          <w:lang w:val="es-ES"/>
        </w:rPr>
        <w:t xml:space="preserve">Departamento Nacional de Planeación </w:t>
      </w:r>
      <w:r w:rsidRPr="00152C0F">
        <w:rPr>
          <w:rFonts w:ascii="Times New Roman" w:hAnsi="Times New Roman" w:cs="Times New Roman"/>
          <w:sz w:val="28"/>
          <w:szCs w:val="28"/>
          <w:lang w:val="es-ES"/>
        </w:rPr>
        <w:t xml:space="preserve">de </w:t>
      </w:r>
      <w:r w:rsidRPr="00152C0F">
        <w:rPr>
          <w:rFonts w:ascii="Times New Roman" w:hAnsi="Times New Roman" w:cs="Times New Roman"/>
          <w:sz w:val="28"/>
          <w:szCs w:val="28"/>
        </w:rPr>
        <w:t>las líneas generales de acción del plan plurianual de inversiones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es claro que la relación que evidencia tiene que ver con las destinaciones que se pretende otorgar a los bienes respecto de los cuales se decreta la e</w:t>
      </w:r>
      <w:r w:rsidRPr="00152C0F">
        <w:rPr>
          <w:rFonts w:ascii="Times New Roman" w:hAnsi="Times New Roman" w:cs="Times New Roman"/>
          <w:sz w:val="28"/>
          <w:szCs w:val="28"/>
        </w:rPr>
        <w:t>xtinción del dominio</w:t>
      </w:r>
      <w:r w:rsidRPr="00152C0F">
        <w:rPr>
          <w:rFonts w:ascii="Times New Roman" w:hAnsi="Times New Roman" w:cs="Times New Roman"/>
          <w:sz w:val="28"/>
          <w:szCs w:val="28"/>
        </w:rPr>
        <w:t xml:space="preserve"> –destinación definitiva–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así como de aquellos respecto de los cuales se decretan medidas cautelares –destinación provisional–, </w:t>
      </w:r>
      <w:r w:rsidRPr="00152C0F">
        <w:rPr>
          <w:rFonts w:ascii="Times New Roman" w:hAnsi="Times New Roman" w:cs="Times New Roman"/>
          <w:sz w:val="28"/>
          <w:szCs w:val="28"/>
        </w:rPr>
        <w:t xml:space="preserve">que es lo que ocurre, por ejemplo, con lo dispuesto por los artículos 208 a </w:t>
      </w:r>
      <w:r w:rsidRPr="00152C0F">
        <w:rPr>
          <w:rFonts w:ascii="Times New Roman" w:hAnsi="Times New Roman" w:cs="Times New Roman"/>
          <w:sz w:val="28"/>
          <w:szCs w:val="28"/>
        </w:rPr>
        <w:t>210 del plan, antes citados</w:t>
      </w:r>
      <w:r w:rsidRPr="00152C0F">
        <w:rPr>
          <w:rStyle w:val="Refdenotaalpie"/>
          <w:rFonts w:ascii="Times New Roman" w:hAnsi="Times New Roman" w:cs="Times New Roman"/>
          <w:sz w:val="28"/>
          <w:szCs w:val="28"/>
        </w:rPr>
        <w:footnoteReference w:id="108"/>
      </w:r>
      <w:r w:rsidRPr="00152C0F">
        <w:rPr>
          <w:rFonts w:ascii="Times New Roman" w:hAnsi="Times New Roman" w:cs="Times New Roman"/>
          <w:sz w:val="28"/>
          <w:szCs w:val="28"/>
        </w:rPr>
        <w:t xml:space="preserve">, pero </w:t>
      </w:r>
      <w:r w:rsidRPr="00152C0F">
        <w:rPr>
          <w:rFonts w:ascii="Times New Roman" w:hAnsi="Times New Roman" w:cs="Times New Roman"/>
          <w:sz w:val="28"/>
          <w:szCs w:val="28"/>
        </w:rPr>
        <w:t xml:space="preserve">no así </w:t>
      </w:r>
      <w:r w:rsidRPr="00152C0F">
        <w:rPr>
          <w:rFonts w:ascii="Times New Roman" w:hAnsi="Times New Roman" w:cs="Times New Roman"/>
          <w:sz w:val="28"/>
          <w:szCs w:val="28"/>
        </w:rPr>
        <w:t xml:space="preserve">con las medidas específicas y concretas que las disposiciones demandadas adoptan: la imprescriptibilidad de los bienes del FRISCO –de que trata el artículo 211– y </w:t>
      </w:r>
      <w:r w:rsidRPr="00152C0F">
        <w:rPr>
          <w:rFonts w:ascii="Times New Roman" w:hAnsi="Times New Roman" w:cs="Times New Roman"/>
          <w:sz w:val="28"/>
          <w:szCs w:val="28"/>
          <w:lang w:val="es-ES"/>
        </w:rPr>
        <w:t xml:space="preserve">la </w:t>
      </w:r>
      <w:r w:rsidRPr="00152C0F">
        <w:rPr>
          <w:rFonts w:ascii="Times New Roman" w:hAnsi="Times New Roman" w:cs="Times New Roman"/>
          <w:sz w:val="28"/>
          <w:szCs w:val="28"/>
          <w:lang w:val="es-ES"/>
        </w:rPr>
        <w:t>reserva</w:t>
      </w:r>
      <w:r w:rsidRPr="00152C0F">
        <w:rPr>
          <w:rFonts w:ascii="Times New Roman" w:hAnsi="Times New Roman" w:cs="Times New Roman"/>
          <w:sz w:val="28"/>
          <w:szCs w:val="28"/>
          <w:lang w:val="es-ES"/>
        </w:rPr>
        <w:t xml:space="preserve"> judicial </w:t>
      </w:r>
      <w:r w:rsidRPr="00152C0F">
        <w:rPr>
          <w:rFonts w:ascii="Times New Roman" w:hAnsi="Times New Roman" w:cs="Times New Roman"/>
          <w:sz w:val="28"/>
          <w:szCs w:val="28"/>
          <w:lang w:val="es-ES"/>
        </w:rPr>
        <w:t xml:space="preserve">en la cancelación </w:t>
      </w:r>
      <w:r w:rsidRPr="00152C0F">
        <w:rPr>
          <w:rFonts w:ascii="Times New Roman" w:hAnsi="Times New Roman" w:cs="Times New Roman"/>
          <w:sz w:val="28"/>
          <w:szCs w:val="28"/>
          <w:lang w:val="es-ES"/>
        </w:rPr>
        <w:t xml:space="preserve">de las medidas cautelares –que regula el </w:t>
      </w:r>
      <w:r w:rsidRPr="00152C0F">
        <w:rPr>
          <w:rFonts w:ascii="Times New Roman" w:hAnsi="Times New Roman" w:cs="Times New Roman"/>
          <w:sz w:val="28"/>
          <w:szCs w:val="28"/>
          <w:lang w:val="es-ES"/>
        </w:rPr>
        <w:t>artículo 212–.</w:t>
      </w:r>
      <w:r w:rsidRPr="00152C0F">
        <w:rPr>
          <w:rFonts w:ascii="Times New Roman" w:hAnsi="Times New Roman" w:cs="Times New Roman"/>
          <w:sz w:val="28"/>
          <w:szCs w:val="28"/>
          <w:lang w:val="es-ES"/>
        </w:rPr>
        <w:t xml:space="preserve"> Respecto de estas, la relación </w:t>
      </w:r>
      <w:r w:rsidRPr="00152C0F">
        <w:rPr>
          <w:rFonts w:ascii="Times New Roman" w:hAnsi="Times New Roman" w:cs="Times New Roman"/>
          <w:sz w:val="28"/>
          <w:szCs w:val="28"/>
        </w:rPr>
        <w:t xml:space="preserve">con </w:t>
      </w:r>
      <w:r w:rsidRPr="00152C0F">
        <w:rPr>
          <w:rFonts w:ascii="Times New Roman" w:hAnsi="Times New Roman" w:cs="Times New Roman"/>
          <w:sz w:val="28"/>
          <w:szCs w:val="28"/>
        </w:rPr>
        <w:t xml:space="preserve">los programas y proyectos del plan de inversiones </w:t>
      </w:r>
      <w:r w:rsidRPr="00152C0F">
        <w:rPr>
          <w:rFonts w:ascii="Times New Roman" w:hAnsi="Times New Roman" w:cs="Times New Roman"/>
          <w:sz w:val="28"/>
          <w:szCs w:val="28"/>
          <w:lang w:val="es-ES"/>
        </w:rPr>
        <w:t>es meramente formal e indirecta.</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En efecto, no es posible identificar con un programa y proyecto específico del plan plurianual de inversiones </w:t>
      </w:r>
      <w:r w:rsidRPr="00152C0F">
        <w:rPr>
          <w:rFonts w:ascii="Times New Roman" w:hAnsi="Times New Roman" w:cs="Times New Roman"/>
          <w:sz w:val="28"/>
          <w:szCs w:val="28"/>
          <w:lang w:val="es-ES"/>
        </w:rPr>
        <w:t>la prohibició</w:t>
      </w:r>
      <w:r w:rsidRPr="00152C0F">
        <w:rPr>
          <w:rFonts w:ascii="Times New Roman" w:hAnsi="Times New Roman" w:cs="Times New Roman"/>
          <w:sz w:val="28"/>
          <w:szCs w:val="28"/>
          <w:lang w:val="es-ES"/>
        </w:rPr>
        <w:t>n de adquirir por prescripción los bienes del FRISCO, como tampoco la sujeción a decisión judicial del levantamiento de las medidas cautelares respecto de los bienes objeto de</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l</w:t>
      </w:r>
      <w:r w:rsidRPr="00152C0F">
        <w:rPr>
          <w:rFonts w:ascii="Times New Roman" w:hAnsi="Times New Roman" w:cs="Times New Roman"/>
          <w:sz w:val="28"/>
          <w:szCs w:val="28"/>
          <w:lang w:val="es-ES"/>
        </w:rPr>
        <w:t>os</w:t>
      </w:r>
      <w:r w:rsidRPr="00152C0F">
        <w:rPr>
          <w:rFonts w:ascii="Times New Roman" w:hAnsi="Times New Roman" w:cs="Times New Roman"/>
          <w:sz w:val="28"/>
          <w:szCs w:val="28"/>
          <w:lang w:val="es-ES"/>
        </w:rPr>
        <w:t xml:space="preserve"> proceso</w:t>
      </w:r>
      <w:r w:rsidRPr="00152C0F">
        <w:rPr>
          <w:rFonts w:ascii="Times New Roman" w:hAnsi="Times New Roman" w:cs="Times New Roman"/>
          <w:sz w:val="28"/>
          <w:szCs w:val="28"/>
          <w:lang w:val="es-ES"/>
        </w:rPr>
        <w:t>s</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judiciales </w:t>
      </w:r>
      <w:r w:rsidRPr="00152C0F">
        <w:rPr>
          <w:rFonts w:ascii="Times New Roman" w:hAnsi="Times New Roman" w:cs="Times New Roman"/>
          <w:sz w:val="28"/>
          <w:szCs w:val="28"/>
          <w:lang w:val="es-ES"/>
        </w:rPr>
        <w:t xml:space="preserve">de extinción del dominio. </w:t>
      </w:r>
      <w:r w:rsidRPr="00152C0F">
        <w:rPr>
          <w:rFonts w:ascii="Times New Roman" w:hAnsi="Times New Roman" w:cs="Times New Roman"/>
          <w:sz w:val="28"/>
          <w:szCs w:val="28"/>
          <w:lang w:val="es-ES"/>
        </w:rPr>
        <w:t xml:space="preserve">Esto evidencia, de manera </w:t>
      </w:r>
      <w:r w:rsidRPr="00152C0F">
        <w:rPr>
          <w:rFonts w:ascii="Times New Roman" w:hAnsi="Times New Roman" w:cs="Times New Roman"/>
          <w:sz w:val="28"/>
          <w:szCs w:val="28"/>
          <w:lang w:val="es-ES"/>
        </w:rPr>
        <w:t>contrari</w:t>
      </w:r>
      <w:r w:rsidRPr="00152C0F">
        <w:rPr>
          <w:rFonts w:ascii="Times New Roman" w:hAnsi="Times New Roman" w:cs="Times New Roman"/>
          <w:sz w:val="28"/>
          <w:szCs w:val="28"/>
          <w:lang w:val="es-ES"/>
        </w:rPr>
        <w:t>a</w:t>
      </w:r>
      <w:r w:rsidRPr="00152C0F">
        <w:rPr>
          <w:rFonts w:ascii="Times New Roman" w:hAnsi="Times New Roman" w:cs="Times New Roman"/>
          <w:sz w:val="28"/>
          <w:szCs w:val="28"/>
          <w:lang w:val="es-ES"/>
        </w:rPr>
        <w:t xml:space="preserve"> a lo afirmado por quienes solicitaron la declaratoria de exequibilidad de las disposiciones acusadas, que </w:t>
      </w:r>
      <w:r w:rsidRPr="00152C0F">
        <w:rPr>
          <w:rFonts w:ascii="Times New Roman" w:hAnsi="Times New Roman" w:cs="Times New Roman"/>
          <w:sz w:val="28"/>
          <w:szCs w:val="28"/>
          <w:lang w:val="es-ES"/>
        </w:rPr>
        <w:t xml:space="preserve">la </w:t>
      </w:r>
      <w:r w:rsidRPr="00152C0F">
        <w:rPr>
          <w:rFonts w:ascii="Times New Roman" w:hAnsi="Times New Roman" w:cs="Times New Roman"/>
          <w:sz w:val="28"/>
          <w:szCs w:val="28"/>
          <w:lang w:val="es-ES"/>
        </w:rPr>
        <w:t xml:space="preserve">finalidad </w:t>
      </w:r>
      <w:r w:rsidRPr="00152C0F">
        <w:rPr>
          <w:rFonts w:ascii="Times New Roman" w:hAnsi="Times New Roman" w:cs="Times New Roman"/>
          <w:sz w:val="28"/>
          <w:szCs w:val="28"/>
          <w:lang w:val="es-ES"/>
        </w:rPr>
        <w:t xml:space="preserve">de estas disposiciones </w:t>
      </w:r>
      <w:r w:rsidRPr="00152C0F">
        <w:rPr>
          <w:rFonts w:ascii="Times New Roman" w:hAnsi="Times New Roman" w:cs="Times New Roman"/>
          <w:sz w:val="28"/>
          <w:szCs w:val="28"/>
          <w:lang w:val="es-ES"/>
        </w:rPr>
        <w:t xml:space="preserve">es </w:t>
      </w:r>
      <w:r w:rsidRPr="00152C0F">
        <w:rPr>
          <w:rFonts w:ascii="Times New Roman" w:hAnsi="Times New Roman" w:cs="Times New Roman"/>
          <w:sz w:val="28"/>
          <w:szCs w:val="28"/>
          <w:lang w:val="es-ES"/>
        </w:rPr>
        <w:t>superar vacíos e inconsistencias del Código de Extinción de Dominio, de manera permanente</w:t>
      </w:r>
      <w:r w:rsidRPr="00152C0F">
        <w:rPr>
          <w:rFonts w:ascii="Times New Roman" w:hAnsi="Times New Roman" w:cs="Times New Roman"/>
          <w:sz w:val="28"/>
          <w:szCs w:val="28"/>
          <w:lang w:val="es-ES"/>
        </w:rPr>
        <w:t>, más que pe</w:t>
      </w:r>
      <w:r w:rsidRPr="00152C0F">
        <w:rPr>
          <w:rFonts w:ascii="Times New Roman" w:hAnsi="Times New Roman" w:cs="Times New Roman"/>
          <w:sz w:val="28"/>
          <w:szCs w:val="28"/>
          <w:lang w:val="es-ES"/>
        </w:rPr>
        <w:t xml:space="preserve">rmitir la realización efectiva de </w:t>
      </w:r>
      <w:r w:rsidRPr="00152C0F">
        <w:rPr>
          <w:rFonts w:ascii="Times New Roman" w:hAnsi="Times New Roman" w:cs="Times New Roman"/>
          <w:sz w:val="28"/>
          <w:szCs w:val="28"/>
        </w:rPr>
        <w:t>los programas y proyectos del plan de inversiones, respecto de los cuales predica</w:t>
      </w:r>
      <w:r w:rsidRPr="00152C0F">
        <w:rPr>
          <w:rFonts w:ascii="Times New Roman" w:hAnsi="Times New Roman" w:cs="Times New Roman"/>
          <w:sz w:val="28"/>
          <w:szCs w:val="28"/>
        </w:rPr>
        <w:t>n</w:t>
      </w:r>
      <w:r w:rsidRPr="00152C0F">
        <w:rPr>
          <w:rFonts w:ascii="Times New Roman" w:hAnsi="Times New Roman" w:cs="Times New Roman"/>
          <w:sz w:val="28"/>
          <w:szCs w:val="28"/>
        </w:rPr>
        <w:t xml:space="preserve"> su presunta relación</w:t>
      </w:r>
      <w:r w:rsidRPr="00152C0F">
        <w:rPr>
          <w:rFonts w:ascii="Times New Roman" w:hAnsi="Times New Roman" w:cs="Times New Roman"/>
          <w:sz w:val="28"/>
          <w:szCs w:val="28"/>
          <w:lang w:val="es-ES"/>
        </w:rPr>
        <w:t>.</w:t>
      </w:r>
    </w:p>
    <w:p w:rsidR="00876481" w:rsidRPr="00152C0F" w:rsidRDefault="00152C0F" w:rsidP="00876481">
      <w:pPr>
        <w:pStyle w:val="Prrafodelista"/>
        <w:rPr>
          <w:rFonts w:ascii="Times New Roman" w:hAnsi="Times New Roman" w:cs="Times New Roman"/>
          <w:sz w:val="28"/>
          <w:szCs w:val="28"/>
          <w:lang w:val="es-ES"/>
        </w:rPr>
      </w:pPr>
    </w:p>
    <w:p w:rsidR="000145E3" w:rsidRPr="00152C0F" w:rsidRDefault="00152C0F" w:rsidP="000145E3">
      <w:pPr>
        <w:pStyle w:val="Prrafodelista"/>
        <w:numPr>
          <w:ilvl w:val="0"/>
          <w:numId w:val="2"/>
        </w:numPr>
        <w:ind w:left="0" w:firstLine="0"/>
        <w:jc w:val="both"/>
        <w:rPr>
          <w:rFonts w:ascii="Times New Roman" w:hAnsi="Times New Roman" w:cs="Times New Roman"/>
          <w:sz w:val="28"/>
          <w:szCs w:val="28"/>
          <w:lang w:val="es-ES"/>
        </w:rPr>
      </w:pPr>
      <w:r w:rsidRPr="00152C0F">
        <w:rPr>
          <w:rFonts w:ascii="Times New Roman" w:hAnsi="Times New Roman" w:cs="Times New Roman"/>
          <w:sz w:val="28"/>
          <w:szCs w:val="28"/>
          <w:lang w:val="es-ES"/>
        </w:rPr>
        <w:t xml:space="preserve">Ahora bien, si se tiene en cuenta que el plan de inversiones establece los recursos financieros y programas prioritarios que concretan las metas sociales, económicas y ambientales del plan, </w:t>
      </w:r>
      <w:r w:rsidRPr="00152C0F">
        <w:rPr>
          <w:rFonts w:ascii="Times New Roman" w:hAnsi="Times New Roman" w:cs="Times New Roman"/>
          <w:sz w:val="28"/>
          <w:szCs w:val="28"/>
          <w:lang w:val="es-ES"/>
        </w:rPr>
        <w:t>e</w:t>
      </w:r>
      <w:r w:rsidRPr="00152C0F">
        <w:rPr>
          <w:rFonts w:ascii="Times New Roman" w:hAnsi="Times New Roman" w:cs="Times New Roman"/>
          <w:sz w:val="28"/>
          <w:szCs w:val="28"/>
          <w:lang w:val="es-ES"/>
        </w:rPr>
        <w:t>ntre estos los proyectos relacionados con la educación, salud, vi</w:t>
      </w:r>
      <w:r w:rsidRPr="00152C0F">
        <w:rPr>
          <w:rFonts w:ascii="Times New Roman" w:hAnsi="Times New Roman" w:cs="Times New Roman"/>
          <w:sz w:val="28"/>
          <w:szCs w:val="28"/>
          <w:lang w:val="es-ES"/>
        </w:rPr>
        <w:t>vienda, reincorporación social, economía popular y paz total</w:t>
      </w:r>
      <w:r w:rsidRPr="00152C0F">
        <w:rPr>
          <w:rFonts w:ascii="Times New Roman" w:hAnsi="Times New Roman" w:cs="Times New Roman"/>
          <w:sz w:val="28"/>
          <w:szCs w:val="28"/>
          <w:lang w:val="es-ES"/>
        </w:rPr>
        <w:t>, a</w:t>
      </w:r>
      <w:r w:rsidRPr="00152C0F">
        <w:rPr>
          <w:rFonts w:ascii="Times New Roman" w:hAnsi="Times New Roman" w:cs="Times New Roman"/>
          <w:sz w:val="28"/>
          <w:szCs w:val="28"/>
          <w:lang w:val="es-ES"/>
        </w:rPr>
        <w:t xml:space="preserve"> pesar de las intervenciones que defienden la exequibilidad de las normas demandadas, no existe </w:t>
      </w:r>
      <w:r w:rsidRPr="00152C0F">
        <w:rPr>
          <w:rFonts w:ascii="Times New Roman" w:hAnsi="Times New Roman" w:cs="Times New Roman"/>
          <w:sz w:val="28"/>
          <w:szCs w:val="28"/>
          <w:lang w:val="es-ES"/>
        </w:rPr>
        <w:t xml:space="preserve">una </w:t>
      </w:r>
      <w:r w:rsidRPr="00152C0F">
        <w:rPr>
          <w:rFonts w:ascii="Times New Roman" w:hAnsi="Times New Roman" w:cs="Times New Roman"/>
          <w:sz w:val="28"/>
          <w:szCs w:val="28"/>
          <w:lang w:val="es-ES"/>
        </w:rPr>
        <w:t xml:space="preserve">relación causal verificable entre </w:t>
      </w:r>
      <w:r w:rsidRPr="00152C0F">
        <w:rPr>
          <w:rFonts w:ascii="Times New Roman" w:hAnsi="Times New Roman" w:cs="Times New Roman"/>
          <w:sz w:val="28"/>
          <w:szCs w:val="28"/>
          <w:lang w:val="es-ES"/>
        </w:rPr>
        <w:t xml:space="preserve">estas </w:t>
      </w:r>
      <w:r w:rsidRPr="00152C0F">
        <w:rPr>
          <w:rFonts w:ascii="Times New Roman" w:hAnsi="Times New Roman" w:cs="Times New Roman"/>
          <w:sz w:val="28"/>
          <w:szCs w:val="28"/>
          <w:lang w:val="es-ES"/>
        </w:rPr>
        <w:t xml:space="preserve">y la ejecución concreta de </w:t>
      </w:r>
      <w:r w:rsidRPr="00152C0F">
        <w:rPr>
          <w:rFonts w:ascii="Times New Roman" w:hAnsi="Times New Roman" w:cs="Times New Roman"/>
          <w:sz w:val="28"/>
          <w:szCs w:val="28"/>
          <w:lang w:val="es-ES"/>
        </w:rPr>
        <w:t xml:space="preserve">los citados </w:t>
      </w:r>
      <w:r w:rsidRPr="00152C0F">
        <w:rPr>
          <w:rFonts w:ascii="Times New Roman" w:hAnsi="Times New Roman" w:cs="Times New Roman"/>
          <w:sz w:val="28"/>
          <w:szCs w:val="28"/>
          <w:lang w:val="es-ES"/>
        </w:rPr>
        <w:t xml:space="preserve">proyectos. El artículo 211 no </w:t>
      </w:r>
      <w:r w:rsidRPr="00152C0F">
        <w:rPr>
          <w:rFonts w:ascii="Times New Roman" w:hAnsi="Times New Roman" w:cs="Times New Roman"/>
          <w:sz w:val="28"/>
          <w:szCs w:val="28"/>
          <w:lang w:val="es-ES"/>
        </w:rPr>
        <w:t xml:space="preserve">adopta </w:t>
      </w:r>
      <w:r w:rsidRPr="00152C0F">
        <w:rPr>
          <w:rFonts w:ascii="Times New Roman" w:hAnsi="Times New Roman" w:cs="Times New Roman"/>
          <w:sz w:val="28"/>
          <w:szCs w:val="28"/>
          <w:lang w:val="es-ES"/>
        </w:rPr>
        <w:t>instrumentos directos que faciliten la administración eficiente o la destinación de bienes a proyectos sociales</w:t>
      </w:r>
      <w:r w:rsidRPr="00152C0F">
        <w:rPr>
          <w:rFonts w:ascii="Times New Roman" w:hAnsi="Times New Roman" w:cs="Times New Roman"/>
          <w:sz w:val="28"/>
          <w:szCs w:val="28"/>
          <w:lang w:val="es-ES"/>
        </w:rPr>
        <w:t>. E</w:t>
      </w:r>
      <w:r w:rsidRPr="00152C0F">
        <w:rPr>
          <w:rFonts w:ascii="Times New Roman" w:hAnsi="Times New Roman" w:cs="Times New Roman"/>
          <w:sz w:val="28"/>
          <w:szCs w:val="28"/>
          <w:lang w:val="es-ES"/>
        </w:rPr>
        <w:t>n efecto, l</w:t>
      </w:r>
      <w:r w:rsidRPr="00152C0F">
        <w:rPr>
          <w:rFonts w:ascii="Times New Roman" w:hAnsi="Times New Roman" w:cs="Times New Roman"/>
          <w:sz w:val="28"/>
          <w:szCs w:val="28"/>
          <w:lang w:val="es-ES"/>
        </w:rPr>
        <w:t>a imprescriptibilidad que establece no impulsa de manera efectiva el cumplimiento de los progr</w:t>
      </w:r>
      <w:r w:rsidRPr="00152C0F">
        <w:rPr>
          <w:rFonts w:ascii="Times New Roman" w:hAnsi="Times New Roman" w:cs="Times New Roman"/>
          <w:sz w:val="28"/>
          <w:szCs w:val="28"/>
          <w:lang w:val="es-ES"/>
        </w:rPr>
        <w:t xml:space="preserve">amas de inversión, </w:t>
      </w:r>
      <w:r w:rsidRPr="00152C0F">
        <w:rPr>
          <w:rFonts w:ascii="Times New Roman" w:hAnsi="Times New Roman" w:cs="Times New Roman"/>
          <w:sz w:val="28"/>
          <w:szCs w:val="28"/>
          <w:lang w:val="es-ES"/>
        </w:rPr>
        <w:t xml:space="preserve">ya que </w:t>
      </w:r>
      <w:r w:rsidRPr="00152C0F">
        <w:rPr>
          <w:rFonts w:ascii="Times New Roman" w:hAnsi="Times New Roman" w:cs="Times New Roman"/>
          <w:sz w:val="28"/>
          <w:szCs w:val="28"/>
          <w:lang w:val="es-ES"/>
        </w:rPr>
        <w:t xml:space="preserve">no resuelve los problemas de gestión </w:t>
      </w:r>
      <w:r w:rsidRPr="00152C0F">
        <w:rPr>
          <w:rFonts w:ascii="Times New Roman" w:hAnsi="Times New Roman" w:cs="Times New Roman"/>
          <w:sz w:val="28"/>
          <w:szCs w:val="28"/>
          <w:lang w:val="es-ES"/>
        </w:rPr>
        <w:t xml:space="preserve">de </w:t>
      </w:r>
      <w:r w:rsidRPr="00152C0F">
        <w:rPr>
          <w:rFonts w:ascii="Times New Roman" w:hAnsi="Times New Roman" w:cs="Times New Roman"/>
          <w:sz w:val="28"/>
          <w:szCs w:val="28"/>
          <w:lang w:val="es-ES"/>
        </w:rPr>
        <w:t xml:space="preserve">los </w:t>
      </w:r>
      <w:r w:rsidRPr="00152C0F">
        <w:rPr>
          <w:rFonts w:ascii="Times New Roman" w:hAnsi="Times New Roman" w:cs="Times New Roman"/>
          <w:sz w:val="28"/>
          <w:szCs w:val="28"/>
          <w:lang w:val="es-ES"/>
        </w:rPr>
        <w:t xml:space="preserve">bienes </w:t>
      </w:r>
      <w:r w:rsidRPr="00152C0F">
        <w:rPr>
          <w:rFonts w:ascii="Times New Roman" w:hAnsi="Times New Roman" w:cs="Times New Roman"/>
          <w:sz w:val="28"/>
          <w:szCs w:val="28"/>
          <w:lang w:val="es-ES"/>
        </w:rPr>
        <w:t>objeto de los procesos de extinción de dominio</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ni garantiza </w:t>
      </w:r>
      <w:r w:rsidRPr="00152C0F">
        <w:rPr>
          <w:rFonts w:ascii="Times New Roman" w:hAnsi="Times New Roman" w:cs="Times New Roman"/>
          <w:sz w:val="28"/>
          <w:szCs w:val="28"/>
          <w:lang w:val="es-ES"/>
        </w:rPr>
        <w:t xml:space="preserve">su </w:t>
      </w:r>
      <w:r w:rsidRPr="00152C0F">
        <w:rPr>
          <w:rFonts w:ascii="Times New Roman" w:hAnsi="Times New Roman" w:cs="Times New Roman"/>
          <w:sz w:val="28"/>
          <w:szCs w:val="28"/>
          <w:lang w:val="es-ES"/>
        </w:rPr>
        <w:t>disponibilidad inmediata.</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El artículo 212</w:t>
      </w:r>
      <w:r w:rsidRPr="00152C0F">
        <w:rPr>
          <w:rFonts w:ascii="Times New Roman" w:hAnsi="Times New Roman" w:cs="Times New Roman"/>
          <w:sz w:val="28"/>
          <w:szCs w:val="28"/>
          <w:lang w:val="es-ES"/>
        </w:rPr>
        <w:t>, por su parte,</w:t>
      </w:r>
      <w:r w:rsidRPr="00152C0F">
        <w:rPr>
          <w:rFonts w:ascii="Times New Roman" w:hAnsi="Times New Roman" w:cs="Times New Roman"/>
          <w:sz w:val="28"/>
          <w:szCs w:val="28"/>
          <w:lang w:val="es-ES"/>
        </w:rPr>
        <w:t xml:space="preserve"> no </w:t>
      </w:r>
      <w:r w:rsidRPr="00152C0F">
        <w:rPr>
          <w:rFonts w:ascii="Times New Roman" w:hAnsi="Times New Roman" w:cs="Times New Roman"/>
          <w:sz w:val="28"/>
          <w:szCs w:val="28"/>
          <w:lang w:val="es-ES"/>
        </w:rPr>
        <w:t xml:space="preserve">es un instrumento idóneo </w:t>
      </w:r>
      <w:r w:rsidRPr="00152C0F">
        <w:rPr>
          <w:rFonts w:ascii="Times New Roman" w:hAnsi="Times New Roman" w:cs="Times New Roman"/>
          <w:i/>
          <w:iCs/>
          <w:sz w:val="28"/>
          <w:szCs w:val="28"/>
          <w:lang w:val="es-ES"/>
        </w:rPr>
        <w:t xml:space="preserve">prima facie </w:t>
      </w:r>
      <w:r w:rsidRPr="00152C0F">
        <w:rPr>
          <w:rFonts w:ascii="Times New Roman" w:hAnsi="Times New Roman" w:cs="Times New Roman"/>
          <w:sz w:val="28"/>
          <w:szCs w:val="28"/>
          <w:lang w:val="es-ES"/>
        </w:rPr>
        <w:t>para lograr la cel</w:t>
      </w:r>
      <w:r w:rsidRPr="00152C0F">
        <w:rPr>
          <w:rFonts w:ascii="Times New Roman" w:hAnsi="Times New Roman" w:cs="Times New Roman"/>
          <w:sz w:val="28"/>
          <w:szCs w:val="28"/>
          <w:lang w:val="es-ES"/>
        </w:rPr>
        <w:t xml:space="preserve">eridad procesal –como se indicó con antelación–, </w:t>
      </w:r>
      <w:r w:rsidRPr="00152C0F">
        <w:rPr>
          <w:rFonts w:ascii="Times New Roman" w:hAnsi="Times New Roman" w:cs="Times New Roman"/>
          <w:sz w:val="28"/>
          <w:szCs w:val="28"/>
          <w:lang w:val="es-ES"/>
        </w:rPr>
        <w:t xml:space="preserve">ni </w:t>
      </w:r>
      <w:r w:rsidRPr="00152C0F">
        <w:rPr>
          <w:rFonts w:ascii="Times New Roman" w:hAnsi="Times New Roman" w:cs="Times New Roman"/>
          <w:sz w:val="28"/>
          <w:szCs w:val="28"/>
          <w:lang w:val="es-ES"/>
        </w:rPr>
        <w:t xml:space="preserve">incide en la </w:t>
      </w:r>
      <w:r w:rsidRPr="00152C0F">
        <w:rPr>
          <w:rFonts w:ascii="Times New Roman" w:hAnsi="Times New Roman" w:cs="Times New Roman"/>
          <w:sz w:val="28"/>
          <w:szCs w:val="28"/>
          <w:lang w:val="es-ES"/>
        </w:rPr>
        <w:t>gestión presupuestal necesaria para ejecutar los proyectos del plan de inversiones</w:t>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rPr>
        <w:t xml:space="preserve">Así las cosas, </w:t>
      </w:r>
      <w:r w:rsidRPr="00152C0F">
        <w:rPr>
          <w:rFonts w:ascii="Times New Roman" w:hAnsi="Times New Roman" w:cs="Times New Roman"/>
          <w:sz w:val="28"/>
          <w:szCs w:val="28"/>
        </w:rPr>
        <w:t xml:space="preserve">ambas disposiciones, </w:t>
      </w:r>
      <w:r w:rsidRPr="00152C0F">
        <w:rPr>
          <w:rFonts w:ascii="Times New Roman" w:hAnsi="Times New Roman" w:cs="Times New Roman"/>
          <w:sz w:val="28"/>
          <w:szCs w:val="28"/>
        </w:rPr>
        <w:t>a</w:t>
      </w:r>
      <w:r w:rsidRPr="00152C0F">
        <w:rPr>
          <w:rFonts w:ascii="Times New Roman" w:hAnsi="Times New Roman" w:cs="Times New Roman"/>
          <w:sz w:val="28"/>
          <w:szCs w:val="28"/>
          <w:lang w:val="es-ES"/>
        </w:rPr>
        <w:t xml:space="preserve">l introducir modificaciones permanentes que no responden a las </w:t>
      </w:r>
      <w:r w:rsidRPr="00152C0F">
        <w:rPr>
          <w:rFonts w:ascii="Times New Roman" w:hAnsi="Times New Roman" w:cs="Times New Roman"/>
          <w:sz w:val="28"/>
          <w:szCs w:val="28"/>
          <w:lang w:val="es-ES"/>
        </w:rPr>
        <w:t>necesidades específicas del plan ni a su ejecución presupuestal durante el cuatrienio, resultan ajenas a la naturaleza temporal y operativa del plan de inversiones.</w:t>
      </w:r>
    </w:p>
    <w:p w:rsidR="00EE5D5B" w:rsidRPr="00152C0F" w:rsidRDefault="00152C0F" w:rsidP="000145E3">
      <w:pPr>
        <w:rPr>
          <w:rFonts w:ascii="Times New Roman" w:hAnsi="Times New Roman" w:cs="Times New Roman"/>
          <w:sz w:val="28"/>
          <w:szCs w:val="28"/>
          <w:lang w:val="es-ES"/>
        </w:rPr>
      </w:pPr>
    </w:p>
    <w:p w:rsidR="006F3A36" w:rsidRPr="00152C0F" w:rsidRDefault="00152C0F" w:rsidP="00A17EA0">
      <w:pPr>
        <w:pStyle w:val="Estilo1"/>
        <w:numPr>
          <w:ilvl w:val="1"/>
          <w:numId w:val="4"/>
        </w:numPr>
        <w:ind w:left="0" w:firstLine="0"/>
        <w:outlineLvl w:val="0"/>
        <w:rPr>
          <w:rStyle w:val="Ttulo1Car"/>
          <w:rFonts w:ascii="Times New Roman" w:hAnsi="Times New Roman" w:cs="Times New Roman"/>
          <w:bCs/>
          <w:color w:val="auto"/>
          <w:sz w:val="28"/>
          <w:szCs w:val="28"/>
        </w:rPr>
      </w:pPr>
      <w:r w:rsidRPr="00152C0F">
        <w:rPr>
          <w:rFonts w:ascii="Times New Roman" w:hAnsi="Times New Roman" w:cs="Times New Roman"/>
          <w:b/>
          <w:bCs/>
        </w:rPr>
        <w:t xml:space="preserve">Las </w:t>
      </w:r>
      <w:r w:rsidRPr="00152C0F">
        <w:rPr>
          <w:rFonts w:ascii="Times New Roman" w:hAnsi="Times New Roman" w:cs="Times New Roman"/>
          <w:b/>
          <w:bCs/>
        </w:rPr>
        <w:t xml:space="preserve">medidas que </w:t>
      </w:r>
      <w:r w:rsidRPr="00152C0F">
        <w:rPr>
          <w:rFonts w:ascii="Times New Roman" w:hAnsi="Times New Roman" w:cs="Times New Roman"/>
          <w:b/>
          <w:bCs/>
        </w:rPr>
        <w:t>regulan</w:t>
      </w:r>
      <w:r w:rsidRPr="00152C0F">
        <w:rPr>
          <w:rFonts w:ascii="Times New Roman" w:hAnsi="Times New Roman" w:cs="Times New Roman"/>
          <w:b/>
          <w:bCs/>
        </w:rPr>
        <w:t xml:space="preserve"> las </w:t>
      </w:r>
      <w:r w:rsidRPr="00152C0F">
        <w:rPr>
          <w:rFonts w:ascii="Times New Roman" w:hAnsi="Times New Roman" w:cs="Times New Roman"/>
          <w:b/>
          <w:bCs/>
        </w:rPr>
        <w:t xml:space="preserve">disposiciones demandadas no </w:t>
      </w:r>
      <w:r w:rsidRPr="00152C0F">
        <w:rPr>
          <w:rFonts w:ascii="Times New Roman" w:hAnsi="Times New Roman" w:cs="Times New Roman"/>
          <w:b/>
          <w:bCs/>
        </w:rPr>
        <w:t xml:space="preserve">son </w:t>
      </w:r>
      <w:r w:rsidRPr="00152C0F">
        <w:rPr>
          <w:rFonts w:ascii="Times New Roman" w:eastAsia="Cambria" w:hAnsi="Times New Roman" w:cs="Times New Roman"/>
          <w:b/>
        </w:rPr>
        <w:t xml:space="preserve">instrumentos de planificación </w:t>
      </w:r>
      <w:r w:rsidRPr="00152C0F">
        <w:rPr>
          <w:rFonts w:ascii="Times New Roman" w:eastAsia="Cambria" w:hAnsi="Times New Roman" w:cs="Times New Roman"/>
          <w:b/>
        </w:rPr>
        <w:t xml:space="preserve">ni </w:t>
      </w:r>
      <w:r w:rsidRPr="00152C0F">
        <w:rPr>
          <w:rFonts w:ascii="Times New Roman" w:eastAsia="Cambria" w:hAnsi="Times New Roman" w:cs="Times New Roman"/>
          <w:b/>
        </w:rPr>
        <w:t xml:space="preserve">son </w:t>
      </w:r>
      <w:r w:rsidRPr="00152C0F">
        <w:rPr>
          <w:rFonts w:ascii="Times New Roman" w:eastAsia="Cambria" w:hAnsi="Times New Roman" w:cs="Times New Roman"/>
          <w:b/>
        </w:rPr>
        <w:t>necesarias</w:t>
      </w:r>
      <w:r w:rsidRPr="00152C0F">
        <w:rPr>
          <w:rFonts w:ascii="Times New Roman" w:eastAsia="Cambria" w:hAnsi="Times New Roman" w:cs="Times New Roman"/>
          <w:b/>
        </w:rPr>
        <w:t xml:space="preserve"> </w:t>
      </w:r>
      <w:r w:rsidRPr="00152C0F">
        <w:rPr>
          <w:rFonts w:ascii="Times New Roman" w:eastAsia="Cambria" w:hAnsi="Times New Roman" w:cs="Times New Roman"/>
          <w:b/>
        </w:rPr>
        <w:t xml:space="preserve">para </w:t>
      </w:r>
      <w:r w:rsidRPr="00152C0F">
        <w:rPr>
          <w:rFonts w:ascii="Times New Roman" w:eastAsia="Cambria" w:hAnsi="Times New Roman" w:cs="Times New Roman"/>
          <w:b/>
        </w:rPr>
        <w:t xml:space="preserve">impulsar </w:t>
      </w:r>
      <w:r w:rsidRPr="00152C0F">
        <w:rPr>
          <w:rFonts w:ascii="Times New Roman" w:eastAsia="Cambria" w:hAnsi="Times New Roman" w:cs="Times New Roman"/>
          <w:b/>
        </w:rPr>
        <w:t>la ejecución del plan nacional de desarrollo</w:t>
      </w:r>
      <w:r w:rsidRPr="00152C0F">
        <w:rPr>
          <w:rFonts w:ascii="Times New Roman" w:eastAsia="Cambria" w:hAnsi="Times New Roman" w:cs="Times New Roman"/>
          <w:b/>
        </w:rPr>
        <w:t xml:space="preserve">, </w:t>
      </w:r>
      <w:r w:rsidRPr="00152C0F">
        <w:rPr>
          <w:rFonts w:ascii="Times New Roman" w:eastAsia="Cambria" w:hAnsi="Times New Roman" w:cs="Times New Roman"/>
          <w:b/>
        </w:rPr>
        <w:t xml:space="preserve">de allí que </w:t>
      </w:r>
      <w:r w:rsidRPr="00152C0F">
        <w:rPr>
          <w:rFonts w:ascii="Times New Roman" w:eastAsia="Cambria" w:hAnsi="Times New Roman" w:cs="Times New Roman"/>
          <w:b/>
        </w:rPr>
        <w:t xml:space="preserve">no </w:t>
      </w:r>
      <w:r w:rsidRPr="00152C0F">
        <w:rPr>
          <w:rFonts w:ascii="Times New Roman" w:eastAsia="Cambria" w:hAnsi="Times New Roman" w:cs="Times New Roman"/>
          <w:b/>
        </w:rPr>
        <w:t xml:space="preserve">hagan </w:t>
      </w:r>
      <w:r w:rsidRPr="00152C0F">
        <w:rPr>
          <w:rFonts w:ascii="Times New Roman" w:eastAsia="Cambria" w:hAnsi="Times New Roman" w:cs="Times New Roman"/>
          <w:b/>
        </w:rPr>
        <w:t xml:space="preserve">parte </w:t>
      </w:r>
      <w:r w:rsidRPr="00152C0F">
        <w:rPr>
          <w:rFonts w:ascii="Times New Roman" w:eastAsia="Cambria" w:hAnsi="Times New Roman" w:cs="Times New Roman"/>
          <w:b/>
        </w:rPr>
        <w:t xml:space="preserve">de los contenidos </w:t>
      </w:r>
      <w:r w:rsidRPr="00152C0F">
        <w:rPr>
          <w:rFonts w:ascii="Times New Roman" w:eastAsia="Cambria" w:hAnsi="Times New Roman" w:cs="Times New Roman"/>
          <w:b/>
        </w:rPr>
        <w:t xml:space="preserve">constitucionales </w:t>
      </w:r>
      <w:r w:rsidRPr="00152C0F">
        <w:rPr>
          <w:rFonts w:ascii="Times New Roman" w:eastAsia="Cambria" w:hAnsi="Times New Roman" w:cs="Times New Roman"/>
          <w:b/>
        </w:rPr>
        <w:t xml:space="preserve">predispuestos </w:t>
      </w:r>
      <w:r w:rsidRPr="00152C0F">
        <w:rPr>
          <w:rFonts w:ascii="Times New Roman" w:eastAsia="Cambria" w:hAnsi="Times New Roman" w:cs="Times New Roman"/>
          <w:b/>
        </w:rPr>
        <w:t>de es</w:t>
      </w:r>
      <w:r w:rsidRPr="00152C0F">
        <w:rPr>
          <w:rFonts w:ascii="Times New Roman" w:eastAsia="Cambria" w:hAnsi="Times New Roman" w:cs="Times New Roman"/>
          <w:b/>
        </w:rPr>
        <w:t>t</w:t>
      </w:r>
      <w:r w:rsidRPr="00152C0F">
        <w:rPr>
          <w:rFonts w:ascii="Times New Roman" w:eastAsia="Cambria" w:hAnsi="Times New Roman" w:cs="Times New Roman"/>
          <w:b/>
        </w:rPr>
        <w:t>a ley especial</w:t>
      </w:r>
    </w:p>
    <w:p w:rsidR="006F3A36" w:rsidRPr="00152C0F" w:rsidRDefault="00152C0F" w:rsidP="006F3A36">
      <w:pPr>
        <w:rPr>
          <w:rFonts w:ascii="Times New Roman" w:eastAsia="Cambria" w:hAnsi="Times New Roman" w:cs="Times New Roman"/>
          <w:bCs/>
          <w:sz w:val="28"/>
          <w:szCs w:val="28"/>
        </w:rPr>
      </w:pPr>
    </w:p>
    <w:p w:rsidR="00ED498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Como de manera reciente lo indicó la Sala</w:t>
      </w:r>
      <w:r w:rsidRPr="00152C0F">
        <w:rPr>
          <w:rStyle w:val="Refdenotaalpie"/>
          <w:rFonts w:ascii="Times New Roman" w:hAnsi="Times New Roman" w:cs="Times New Roman"/>
          <w:sz w:val="28"/>
          <w:szCs w:val="28"/>
        </w:rPr>
        <w:footnoteReference w:id="109"/>
      </w:r>
      <w:r w:rsidRPr="00152C0F">
        <w:rPr>
          <w:rFonts w:ascii="Times New Roman" w:hAnsi="Times New Roman" w:cs="Times New Roman"/>
          <w:sz w:val="28"/>
          <w:szCs w:val="28"/>
        </w:rPr>
        <w:t xml:space="preserve">, y como se expuso de manera amplia en el título </w:t>
      </w:r>
      <w:r w:rsidRPr="00152C0F">
        <w:rPr>
          <w:rFonts w:ascii="Times New Roman" w:hAnsi="Times New Roman" w:cs="Times New Roman"/>
          <w:sz w:val="28"/>
          <w:szCs w:val="28"/>
        </w:rPr>
        <w:t xml:space="preserve">4 </w:t>
      </w:r>
      <w:r w:rsidRPr="00152C0F">
        <w:rPr>
          <w:rFonts w:ascii="Times New Roman" w:hAnsi="Times New Roman" w:cs="Times New Roman"/>
          <w:i/>
          <w:iCs/>
          <w:sz w:val="28"/>
          <w:szCs w:val="28"/>
        </w:rPr>
        <w:t>supra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el cons</w:t>
      </w:r>
      <w:r w:rsidRPr="00152C0F">
        <w:rPr>
          <w:rFonts w:ascii="Times New Roman" w:hAnsi="Times New Roman" w:cs="Times New Roman"/>
          <w:sz w:val="28"/>
          <w:szCs w:val="28"/>
        </w:rPr>
        <w:t xml:space="preserve">tituyente fue </w:t>
      </w:r>
      <w:r w:rsidRPr="00152C0F">
        <w:rPr>
          <w:rFonts w:ascii="Times New Roman" w:hAnsi="Times New Roman" w:cs="Times New Roman"/>
          <w:sz w:val="28"/>
          <w:szCs w:val="28"/>
        </w:rPr>
        <w:t xml:space="preserve">cuidadoso </w:t>
      </w:r>
      <w:r w:rsidRPr="00152C0F">
        <w:rPr>
          <w:rFonts w:ascii="Times New Roman" w:hAnsi="Times New Roman" w:cs="Times New Roman"/>
          <w:sz w:val="28"/>
          <w:szCs w:val="28"/>
        </w:rPr>
        <w:t>al momento de regular los contenidos de esta ley especial –la ley del plan nacional de desarrollo–</w:t>
      </w:r>
      <w:r w:rsidRPr="00152C0F">
        <w:rPr>
          <w:rFonts w:ascii="Times New Roman" w:hAnsi="Times New Roman" w:cs="Times New Roman"/>
          <w:sz w:val="28"/>
          <w:szCs w:val="28"/>
        </w:rPr>
        <w:t xml:space="preserve">. </w:t>
      </w:r>
      <w:r w:rsidRPr="00152C0F">
        <w:rPr>
          <w:rFonts w:ascii="Times New Roman" w:hAnsi="Times New Roman" w:cs="Times New Roman"/>
          <w:bCs/>
          <w:sz w:val="28"/>
          <w:szCs w:val="28"/>
          <w:bdr w:val="none" w:sz="0" w:space="0" w:color="auto" w:frame="1"/>
          <w:lang w:val="es-ES"/>
        </w:rPr>
        <w:t xml:space="preserve">En efecto, </w:t>
      </w:r>
      <w:r w:rsidRPr="00152C0F">
        <w:rPr>
          <w:rFonts w:ascii="Times New Roman" w:hAnsi="Times New Roman" w:cs="Times New Roman"/>
          <w:bCs/>
          <w:sz w:val="28"/>
          <w:szCs w:val="28"/>
          <w:bdr w:val="none" w:sz="0" w:space="0" w:color="auto" w:frame="1"/>
          <w:lang w:val="es-ES"/>
        </w:rPr>
        <w:t xml:space="preserve">dispuso </w:t>
      </w:r>
      <w:r w:rsidRPr="00152C0F">
        <w:rPr>
          <w:rFonts w:ascii="Times New Roman" w:hAnsi="Times New Roman" w:cs="Times New Roman"/>
          <w:bCs/>
          <w:sz w:val="28"/>
          <w:szCs w:val="28"/>
          <w:bdr w:val="none" w:sz="0" w:space="0" w:color="auto" w:frame="1"/>
          <w:lang w:val="es-ES"/>
        </w:rPr>
        <w:t xml:space="preserve">en su artículo 339 </w:t>
      </w:r>
      <w:r w:rsidRPr="00152C0F">
        <w:rPr>
          <w:rFonts w:ascii="Times New Roman" w:hAnsi="Times New Roman" w:cs="Times New Roman"/>
          <w:bCs/>
          <w:sz w:val="28"/>
          <w:szCs w:val="28"/>
          <w:bdr w:val="none" w:sz="0" w:space="0" w:color="auto" w:frame="1"/>
          <w:lang w:val="es-ES"/>
        </w:rPr>
        <w:t xml:space="preserve">que estaría conformado </w:t>
      </w:r>
      <w:r w:rsidRPr="00152C0F">
        <w:rPr>
          <w:rFonts w:ascii="Times New Roman" w:hAnsi="Times New Roman" w:cs="Times New Roman"/>
          <w:bCs/>
          <w:sz w:val="28"/>
          <w:szCs w:val="28"/>
          <w:bdr w:val="none" w:sz="0" w:space="0" w:color="auto" w:frame="1"/>
        </w:rPr>
        <w:t>“</w:t>
      </w:r>
      <w:r w:rsidRPr="00152C0F">
        <w:rPr>
          <w:rFonts w:ascii="Times New Roman" w:hAnsi="Times New Roman" w:cs="Times New Roman"/>
          <w:bCs/>
          <w:sz w:val="28"/>
          <w:szCs w:val="28"/>
          <w:bdr w:val="none" w:sz="0" w:space="0" w:color="auto" w:frame="1"/>
        </w:rPr>
        <w:t xml:space="preserve">por </w:t>
      </w:r>
      <w:r w:rsidRPr="00152C0F">
        <w:rPr>
          <w:rFonts w:ascii="Times New Roman" w:hAnsi="Times New Roman" w:cs="Times New Roman"/>
          <w:bCs/>
          <w:sz w:val="28"/>
          <w:szCs w:val="28"/>
          <w:bdr w:val="none" w:sz="0" w:space="0" w:color="auto" w:frame="1"/>
        </w:rPr>
        <w:t>una parte general y un plan de inversiones de las entidades públicas del orden nacional</w:t>
      </w:r>
      <w:r w:rsidRPr="00152C0F">
        <w:rPr>
          <w:rFonts w:ascii="Times New Roman" w:hAnsi="Times New Roman" w:cs="Times New Roman"/>
          <w:bCs/>
          <w:sz w:val="28"/>
          <w:szCs w:val="28"/>
          <w:bdr w:val="none" w:sz="0" w:space="0" w:color="auto" w:frame="1"/>
        </w:rPr>
        <w:t>”</w:t>
      </w:r>
      <w:r w:rsidRPr="00152C0F">
        <w:rPr>
          <w:rFonts w:ascii="Times New Roman" w:hAnsi="Times New Roman" w:cs="Times New Roman"/>
          <w:bCs/>
          <w:sz w:val="28"/>
          <w:szCs w:val="28"/>
          <w:bdr w:val="none" w:sz="0" w:space="0" w:color="auto" w:frame="1"/>
        </w:rPr>
        <w:t>.</w:t>
      </w:r>
      <w:r w:rsidRPr="00152C0F">
        <w:rPr>
          <w:rFonts w:ascii="Times New Roman" w:hAnsi="Times New Roman" w:cs="Times New Roman"/>
          <w:bCs/>
          <w:sz w:val="28"/>
          <w:szCs w:val="28"/>
          <w:bdr w:val="none" w:sz="0" w:space="0" w:color="auto" w:frame="1"/>
        </w:rPr>
        <w:t xml:space="preserve"> </w:t>
      </w:r>
      <w:r w:rsidRPr="00152C0F">
        <w:rPr>
          <w:rFonts w:ascii="Times New Roman" w:hAnsi="Times New Roman" w:cs="Times New Roman"/>
          <w:bCs/>
          <w:sz w:val="28"/>
          <w:szCs w:val="28"/>
          <w:bdr w:val="none" w:sz="0" w:space="0" w:color="auto" w:frame="1"/>
        </w:rPr>
        <w:t>E</w:t>
      </w:r>
      <w:r w:rsidRPr="00152C0F">
        <w:rPr>
          <w:rFonts w:ascii="Times New Roman" w:hAnsi="Times New Roman" w:cs="Times New Roman"/>
          <w:bCs/>
          <w:sz w:val="28"/>
          <w:szCs w:val="28"/>
          <w:bdr w:val="none" w:sz="0" w:space="0" w:color="auto" w:frame="1"/>
        </w:rPr>
        <w:t xml:space="preserve">n la primera se </w:t>
      </w:r>
      <w:r w:rsidRPr="00152C0F">
        <w:rPr>
          <w:rFonts w:ascii="Times New Roman" w:hAnsi="Times New Roman" w:cs="Times New Roman"/>
          <w:bCs/>
          <w:sz w:val="28"/>
          <w:szCs w:val="28"/>
          <w:bdr w:val="none" w:sz="0" w:space="0" w:color="auto" w:frame="1"/>
        </w:rPr>
        <w:t xml:space="preserve">deben señalar </w:t>
      </w:r>
      <w:r w:rsidRPr="00152C0F">
        <w:rPr>
          <w:rFonts w:ascii="Times New Roman" w:hAnsi="Times New Roman" w:cs="Times New Roman"/>
          <w:bCs/>
          <w:sz w:val="28"/>
          <w:szCs w:val="28"/>
          <w:bdr w:val="none" w:sz="0" w:space="0" w:color="auto" w:frame="1"/>
        </w:rPr>
        <w:t>“</w:t>
      </w:r>
      <w:r w:rsidRPr="00152C0F">
        <w:rPr>
          <w:rFonts w:ascii="Times New Roman" w:hAnsi="Times New Roman" w:cs="Times New Roman"/>
          <w:bCs/>
          <w:sz w:val="28"/>
          <w:szCs w:val="28"/>
          <w:bdr w:val="none" w:sz="0" w:space="0" w:color="auto" w:frame="1"/>
        </w:rPr>
        <w:t>los propósitos y objetivos nacionales de largo plazo, las metas y prioridades de la acción estatal a mediano plazo y las estrategias y</w:t>
      </w:r>
      <w:r w:rsidRPr="00152C0F">
        <w:rPr>
          <w:rFonts w:ascii="Times New Roman" w:hAnsi="Times New Roman" w:cs="Times New Roman"/>
          <w:bCs/>
          <w:sz w:val="28"/>
          <w:szCs w:val="28"/>
          <w:bdr w:val="none" w:sz="0" w:space="0" w:color="auto" w:frame="1"/>
        </w:rPr>
        <w:t xml:space="preserve"> orientaciones generales de la política económica, social y ambiental que serán adoptadas por el Gobierno</w:t>
      </w:r>
      <w:r w:rsidRPr="00152C0F">
        <w:rPr>
          <w:rFonts w:ascii="Times New Roman" w:hAnsi="Times New Roman" w:cs="Times New Roman"/>
          <w:bCs/>
          <w:sz w:val="28"/>
          <w:szCs w:val="28"/>
          <w:bdr w:val="none" w:sz="0" w:space="0" w:color="auto" w:frame="1"/>
        </w:rPr>
        <w:t>”</w:t>
      </w:r>
      <w:r w:rsidRPr="00152C0F">
        <w:rPr>
          <w:rFonts w:ascii="Times New Roman" w:hAnsi="Times New Roman" w:cs="Times New Roman"/>
          <w:bCs/>
          <w:sz w:val="28"/>
          <w:szCs w:val="28"/>
          <w:bdr w:val="none" w:sz="0" w:space="0" w:color="auto" w:frame="1"/>
        </w:rPr>
        <w:t>. La segunda deb</w:t>
      </w:r>
      <w:r w:rsidRPr="00152C0F">
        <w:rPr>
          <w:rFonts w:ascii="Times New Roman" w:hAnsi="Times New Roman" w:cs="Times New Roman"/>
          <w:bCs/>
          <w:sz w:val="28"/>
          <w:szCs w:val="28"/>
          <w:bdr w:val="none" w:sz="0" w:space="0" w:color="auto" w:frame="1"/>
        </w:rPr>
        <w:t>e</w:t>
      </w:r>
      <w:r w:rsidRPr="00152C0F">
        <w:rPr>
          <w:rFonts w:ascii="Times New Roman" w:hAnsi="Times New Roman" w:cs="Times New Roman"/>
          <w:bCs/>
          <w:sz w:val="28"/>
          <w:szCs w:val="28"/>
          <w:bdr w:val="none" w:sz="0" w:space="0" w:color="auto" w:frame="1"/>
        </w:rPr>
        <w:t xml:space="preserve"> contener “</w:t>
      </w:r>
      <w:r w:rsidRPr="00152C0F">
        <w:rPr>
          <w:rFonts w:ascii="Times New Roman" w:hAnsi="Times New Roman" w:cs="Times New Roman"/>
          <w:bCs/>
          <w:sz w:val="28"/>
          <w:szCs w:val="28"/>
          <w:bdr w:val="none" w:sz="0" w:space="0" w:color="auto" w:frame="1"/>
        </w:rPr>
        <w:t>los presupuestos plurianuales de los principales programas y proyectos de inversión pública nacional y la especificación d</w:t>
      </w:r>
      <w:r w:rsidRPr="00152C0F">
        <w:rPr>
          <w:rFonts w:ascii="Times New Roman" w:hAnsi="Times New Roman" w:cs="Times New Roman"/>
          <w:bCs/>
          <w:sz w:val="28"/>
          <w:szCs w:val="28"/>
          <w:bdr w:val="none" w:sz="0" w:space="0" w:color="auto" w:frame="1"/>
        </w:rPr>
        <w:t>e los recursos financieros requeridos para su ejecución, dentro de un marco que garantice la sostenibilidad fiscal</w:t>
      </w:r>
      <w:r w:rsidRPr="00152C0F">
        <w:rPr>
          <w:rFonts w:ascii="Times New Roman" w:hAnsi="Times New Roman" w:cs="Times New Roman"/>
          <w:bCs/>
          <w:sz w:val="28"/>
          <w:szCs w:val="28"/>
          <w:bdr w:val="none" w:sz="0" w:space="0" w:color="auto" w:frame="1"/>
        </w:rPr>
        <w:t>”</w:t>
      </w:r>
      <w:r w:rsidRPr="00152C0F">
        <w:rPr>
          <w:rFonts w:ascii="Times New Roman" w:hAnsi="Times New Roman" w:cs="Times New Roman"/>
          <w:bCs/>
          <w:sz w:val="28"/>
          <w:szCs w:val="28"/>
          <w:bdr w:val="none" w:sz="0" w:space="0" w:color="auto" w:frame="1"/>
        </w:rPr>
        <w:t xml:space="preserve">. </w:t>
      </w:r>
      <w:r w:rsidRPr="00152C0F">
        <w:rPr>
          <w:rFonts w:ascii="Times New Roman" w:hAnsi="Times New Roman" w:cs="Times New Roman"/>
          <w:bCs/>
          <w:sz w:val="28"/>
          <w:szCs w:val="28"/>
          <w:bdr w:val="none" w:sz="0" w:space="0" w:color="auto" w:frame="1"/>
        </w:rPr>
        <w:t xml:space="preserve">A partir de este contenido, le atribuyó al Congreso de la República la competencia para su </w:t>
      </w:r>
      <w:r w:rsidRPr="00152C0F">
        <w:rPr>
          <w:rFonts w:ascii="Times New Roman" w:hAnsi="Times New Roman" w:cs="Times New Roman"/>
          <w:bCs/>
          <w:i/>
          <w:iCs/>
          <w:sz w:val="28"/>
          <w:szCs w:val="28"/>
          <w:bdr w:val="none" w:sz="0" w:space="0" w:color="auto" w:frame="1"/>
        </w:rPr>
        <w:t>aprobación</w:t>
      </w:r>
      <w:r w:rsidRPr="00152C0F">
        <w:rPr>
          <w:rFonts w:ascii="Times New Roman" w:hAnsi="Times New Roman" w:cs="Times New Roman"/>
          <w:bCs/>
          <w:sz w:val="28"/>
          <w:szCs w:val="28"/>
          <w:bdr w:val="none" w:sz="0" w:space="0" w:color="auto" w:frame="1"/>
        </w:rPr>
        <w:t xml:space="preserve">, de allí </w:t>
      </w:r>
      <w:r w:rsidRPr="00152C0F">
        <w:rPr>
          <w:rFonts w:ascii="Times New Roman" w:hAnsi="Times New Roman" w:cs="Times New Roman"/>
          <w:bCs/>
          <w:sz w:val="28"/>
          <w:szCs w:val="28"/>
          <w:bdr w:val="none" w:sz="0" w:space="0" w:color="auto" w:frame="1"/>
        </w:rPr>
        <w:t xml:space="preserve">que </w:t>
      </w:r>
      <w:r w:rsidRPr="00152C0F">
        <w:rPr>
          <w:rFonts w:ascii="Times New Roman" w:hAnsi="Times New Roman" w:cs="Times New Roman"/>
          <w:bCs/>
          <w:sz w:val="28"/>
          <w:szCs w:val="28"/>
          <w:bdr w:val="none" w:sz="0" w:space="0" w:color="auto" w:frame="1"/>
        </w:rPr>
        <w:t xml:space="preserve">en el </w:t>
      </w:r>
      <w:r w:rsidRPr="00152C0F">
        <w:rPr>
          <w:rFonts w:ascii="Times New Roman" w:hAnsi="Times New Roman" w:cs="Times New Roman"/>
          <w:bCs/>
          <w:sz w:val="28"/>
          <w:szCs w:val="28"/>
          <w:bdr w:val="none" w:sz="0" w:space="0" w:color="auto" w:frame="1"/>
        </w:rPr>
        <w:t xml:space="preserve">ordinal 3 del artículo 150 </w:t>
      </w:r>
      <w:r w:rsidRPr="00152C0F">
        <w:rPr>
          <w:rFonts w:ascii="Times New Roman" w:hAnsi="Times New Roman" w:cs="Times New Roman"/>
          <w:bCs/>
          <w:sz w:val="28"/>
          <w:szCs w:val="28"/>
          <w:bdr w:val="none" w:sz="0" w:space="0" w:color="auto" w:frame="1"/>
        </w:rPr>
        <w:t xml:space="preserve">le hubiese </w:t>
      </w:r>
      <w:r w:rsidRPr="00152C0F">
        <w:rPr>
          <w:rFonts w:ascii="Times New Roman" w:hAnsi="Times New Roman" w:cs="Times New Roman"/>
          <w:bCs/>
          <w:sz w:val="28"/>
          <w:szCs w:val="28"/>
          <w:bdr w:val="none" w:sz="0" w:space="0" w:color="auto" w:frame="1"/>
        </w:rPr>
        <w:t xml:space="preserve">otorgado </w:t>
      </w:r>
      <w:r w:rsidRPr="00152C0F">
        <w:rPr>
          <w:rFonts w:ascii="Times New Roman" w:hAnsi="Times New Roman" w:cs="Times New Roman"/>
          <w:bCs/>
          <w:sz w:val="28"/>
          <w:szCs w:val="28"/>
          <w:bdr w:val="none" w:sz="0" w:space="0" w:color="auto" w:frame="1"/>
        </w:rPr>
        <w:t>la competencia para “Aprobar el plan nacional de desarrollo y de inversiones públicas que hayan de emprenderse o continuarse, con la determinación de los recursos y apropiaciones que se autoricen para su ejecu</w:t>
      </w:r>
      <w:r w:rsidRPr="00152C0F">
        <w:rPr>
          <w:rFonts w:ascii="Times New Roman" w:hAnsi="Times New Roman" w:cs="Times New Roman"/>
          <w:bCs/>
          <w:sz w:val="28"/>
          <w:szCs w:val="28"/>
          <w:bdr w:val="none" w:sz="0" w:space="0" w:color="auto" w:frame="1"/>
        </w:rPr>
        <w:t>ción, y las medidas necesarias para impulsar el cumplimiento de los mismos”.</w:t>
      </w:r>
    </w:p>
    <w:p w:rsidR="00ED498B" w:rsidRPr="00152C0F" w:rsidRDefault="00152C0F" w:rsidP="00ED498B">
      <w:pPr>
        <w:pStyle w:val="Prrafodelista"/>
        <w:ind w:left="0"/>
        <w:jc w:val="both"/>
        <w:rPr>
          <w:rFonts w:ascii="Times New Roman" w:hAnsi="Times New Roman" w:cs="Times New Roman"/>
          <w:sz w:val="28"/>
          <w:szCs w:val="28"/>
        </w:rPr>
      </w:pPr>
    </w:p>
    <w:p w:rsidR="00AE2D4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atención al contenido del plan nacional de desarrollo, y a </w:t>
      </w:r>
      <w:r w:rsidRPr="00152C0F">
        <w:rPr>
          <w:rFonts w:ascii="Times New Roman" w:hAnsi="Times New Roman" w:cs="Times New Roman"/>
          <w:sz w:val="28"/>
          <w:szCs w:val="28"/>
        </w:rPr>
        <w:t xml:space="preserve">lo indicado en el </w:t>
      </w:r>
      <w:r w:rsidRPr="00152C0F">
        <w:rPr>
          <w:rFonts w:ascii="Times New Roman" w:hAnsi="Times New Roman" w:cs="Times New Roman"/>
          <w:sz w:val="28"/>
          <w:szCs w:val="28"/>
        </w:rPr>
        <w:t>t</w:t>
      </w:r>
      <w:r w:rsidRPr="00152C0F">
        <w:rPr>
          <w:rFonts w:ascii="Times New Roman" w:hAnsi="Times New Roman" w:cs="Times New Roman"/>
          <w:sz w:val="28"/>
          <w:szCs w:val="28"/>
        </w:rPr>
        <w:t xml:space="preserve">ítulo </w:t>
      </w:r>
      <w:r w:rsidRPr="00152C0F">
        <w:rPr>
          <w:rFonts w:ascii="Times New Roman" w:hAnsi="Times New Roman" w:cs="Times New Roman"/>
          <w:sz w:val="28"/>
          <w:szCs w:val="28"/>
        </w:rPr>
        <w:t>6</w:t>
      </w:r>
      <w:r w:rsidRPr="00152C0F">
        <w:rPr>
          <w:rFonts w:ascii="Times New Roman" w:hAnsi="Times New Roman" w:cs="Times New Roman"/>
          <w:sz w:val="28"/>
          <w:szCs w:val="28"/>
        </w:rPr>
        <w:t xml:space="preserve">.3 </w:t>
      </w:r>
      <w:r w:rsidRPr="00152C0F">
        <w:rPr>
          <w:rFonts w:ascii="Times New Roman" w:hAnsi="Times New Roman" w:cs="Times New Roman"/>
          <w:i/>
          <w:iCs/>
          <w:sz w:val="28"/>
          <w:szCs w:val="28"/>
        </w:rPr>
        <w:t>supra</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la jurisprudencia constitucional ha precisado que </w:t>
      </w:r>
      <w:r w:rsidRPr="00152C0F">
        <w:rPr>
          <w:rFonts w:ascii="Times New Roman" w:hAnsi="Times New Roman" w:cs="Times New Roman"/>
          <w:sz w:val="28"/>
          <w:szCs w:val="28"/>
        </w:rPr>
        <w:t>u</w:t>
      </w:r>
      <w:r w:rsidRPr="00152C0F">
        <w:rPr>
          <w:rFonts w:ascii="Times New Roman" w:hAnsi="Times New Roman" w:cs="Times New Roman"/>
          <w:sz w:val="28"/>
          <w:szCs w:val="28"/>
        </w:rPr>
        <w:t xml:space="preserve">no de los elementos fundamentales para valorar la constitucionalidad de </w:t>
      </w:r>
      <w:r w:rsidRPr="00152C0F">
        <w:rPr>
          <w:rFonts w:ascii="Times New Roman" w:hAnsi="Times New Roman" w:cs="Times New Roman"/>
          <w:sz w:val="28"/>
          <w:szCs w:val="28"/>
        </w:rPr>
        <w:t xml:space="preserve">sus disposiciones, y, por tanto, en el caso que ocupa la atención de la Sala, </w:t>
      </w:r>
      <w:r w:rsidRPr="00152C0F">
        <w:rPr>
          <w:rFonts w:ascii="Times New Roman" w:hAnsi="Times New Roman" w:cs="Times New Roman"/>
          <w:sz w:val="28"/>
          <w:szCs w:val="28"/>
        </w:rPr>
        <w:t xml:space="preserve">de </w:t>
      </w:r>
      <w:r w:rsidRPr="00152C0F">
        <w:rPr>
          <w:rFonts w:ascii="Times New Roman" w:hAnsi="Times New Roman" w:cs="Times New Roman"/>
          <w:sz w:val="28"/>
          <w:szCs w:val="28"/>
        </w:rPr>
        <w:t xml:space="preserve">los artículos 211 y 212 </w:t>
      </w:r>
      <w:r w:rsidRPr="00152C0F">
        <w:rPr>
          <w:rFonts w:ascii="Times New Roman" w:hAnsi="Times New Roman" w:cs="Times New Roman"/>
          <w:sz w:val="28"/>
          <w:szCs w:val="28"/>
        </w:rPr>
        <w:t xml:space="preserve">demandados, </w:t>
      </w:r>
      <w:r w:rsidRPr="00152C0F">
        <w:rPr>
          <w:rFonts w:ascii="Times New Roman" w:hAnsi="Times New Roman" w:cs="Times New Roman"/>
          <w:sz w:val="28"/>
          <w:szCs w:val="28"/>
        </w:rPr>
        <w:t xml:space="preserve">es su </w:t>
      </w:r>
      <w:r w:rsidRPr="00152C0F">
        <w:rPr>
          <w:rFonts w:ascii="Times New Roman" w:hAnsi="Times New Roman" w:cs="Times New Roman"/>
          <w:sz w:val="28"/>
          <w:szCs w:val="28"/>
        </w:rPr>
        <w:t xml:space="preserve">carácter </w:t>
      </w:r>
      <w:r w:rsidRPr="00152C0F">
        <w:rPr>
          <w:rFonts w:ascii="Times New Roman" w:hAnsi="Times New Roman" w:cs="Times New Roman"/>
          <w:sz w:val="28"/>
          <w:szCs w:val="28"/>
        </w:rPr>
        <w:t xml:space="preserve">permanente y estructural. </w:t>
      </w:r>
      <w:r w:rsidRPr="00152C0F">
        <w:rPr>
          <w:rFonts w:ascii="Times New Roman" w:hAnsi="Times New Roman" w:cs="Times New Roman"/>
          <w:sz w:val="28"/>
          <w:szCs w:val="28"/>
        </w:rPr>
        <w:t>Como se precisó en el títu</w:t>
      </w:r>
      <w:r w:rsidRPr="00152C0F">
        <w:rPr>
          <w:rFonts w:ascii="Times New Roman" w:hAnsi="Times New Roman" w:cs="Times New Roman"/>
          <w:sz w:val="28"/>
          <w:szCs w:val="28"/>
        </w:rPr>
        <w:t xml:space="preserve">lo </w:t>
      </w:r>
      <w:r w:rsidRPr="00152C0F">
        <w:rPr>
          <w:rFonts w:ascii="Times New Roman" w:hAnsi="Times New Roman" w:cs="Times New Roman"/>
          <w:sz w:val="28"/>
          <w:szCs w:val="28"/>
        </w:rPr>
        <w:t xml:space="preserve">7.2 </w:t>
      </w:r>
      <w:r w:rsidRPr="00152C0F">
        <w:rPr>
          <w:rFonts w:ascii="Times New Roman" w:hAnsi="Times New Roman" w:cs="Times New Roman"/>
          <w:i/>
          <w:iCs/>
          <w:sz w:val="28"/>
          <w:szCs w:val="28"/>
        </w:rPr>
        <w:t>supra</w:t>
      </w:r>
      <w:r w:rsidRPr="00152C0F">
        <w:rPr>
          <w:rFonts w:ascii="Times New Roman" w:hAnsi="Times New Roman" w:cs="Times New Roman"/>
          <w:sz w:val="28"/>
          <w:szCs w:val="28"/>
        </w:rPr>
        <w:t>, e</w:t>
      </w:r>
      <w:r w:rsidRPr="00152C0F">
        <w:rPr>
          <w:rFonts w:ascii="Times New Roman" w:hAnsi="Times New Roman" w:cs="Times New Roman"/>
          <w:sz w:val="28"/>
          <w:szCs w:val="28"/>
        </w:rPr>
        <w:t xml:space="preserve">stas disposiciones introducen cambios </w:t>
      </w:r>
      <w:r w:rsidRPr="00152C0F">
        <w:rPr>
          <w:rFonts w:ascii="Times New Roman" w:hAnsi="Times New Roman" w:cs="Times New Roman"/>
          <w:sz w:val="28"/>
          <w:szCs w:val="28"/>
        </w:rPr>
        <w:t>permanentes</w:t>
      </w:r>
      <w:r w:rsidRPr="00152C0F">
        <w:rPr>
          <w:rFonts w:ascii="Times New Roman" w:hAnsi="Times New Roman" w:cs="Times New Roman"/>
          <w:sz w:val="28"/>
          <w:szCs w:val="28"/>
        </w:rPr>
        <w:t xml:space="preserve"> en el régimen de extinción de dominio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Si bien, en principio, tales medidas pueden adoptarse </w:t>
      </w:r>
      <w:r w:rsidRPr="00152C0F">
        <w:rPr>
          <w:rFonts w:ascii="Times New Roman" w:hAnsi="Times New Roman" w:cs="Times New Roman"/>
          <w:sz w:val="28"/>
          <w:szCs w:val="28"/>
        </w:rPr>
        <w:t xml:space="preserve">de manera excepcionalísima </w:t>
      </w:r>
      <w:r w:rsidRPr="00152C0F">
        <w:rPr>
          <w:rFonts w:ascii="Times New Roman" w:hAnsi="Times New Roman" w:cs="Times New Roman"/>
          <w:sz w:val="28"/>
          <w:szCs w:val="28"/>
        </w:rPr>
        <w:t xml:space="preserve">en este tipo de leyes, en todo caso, </w:t>
      </w:r>
      <w:r w:rsidRPr="00152C0F">
        <w:rPr>
          <w:rFonts w:ascii="Times New Roman" w:hAnsi="Times New Roman" w:cs="Times New Roman"/>
          <w:sz w:val="28"/>
          <w:szCs w:val="28"/>
        </w:rPr>
        <w:t xml:space="preserve">debe evidenciarse que </w:t>
      </w:r>
      <w:r w:rsidRPr="00152C0F">
        <w:rPr>
          <w:rFonts w:ascii="Times New Roman" w:hAnsi="Times New Roman" w:cs="Times New Roman"/>
          <w:sz w:val="28"/>
          <w:szCs w:val="28"/>
        </w:rPr>
        <w:t xml:space="preserve">tales modificaciones </w:t>
      </w:r>
      <w:r w:rsidRPr="00152C0F">
        <w:rPr>
          <w:rFonts w:ascii="Times New Roman" w:hAnsi="Times New Roman" w:cs="Times New Roman"/>
          <w:sz w:val="28"/>
          <w:szCs w:val="28"/>
        </w:rPr>
        <w:t xml:space="preserve">del ordenamiento jurídico </w:t>
      </w:r>
      <w:r w:rsidRPr="00152C0F">
        <w:rPr>
          <w:rFonts w:ascii="Times New Roman" w:hAnsi="Times New Roman" w:cs="Times New Roman"/>
          <w:sz w:val="28"/>
          <w:szCs w:val="28"/>
        </w:rPr>
        <w:t>s</w:t>
      </w:r>
      <w:r w:rsidRPr="00152C0F">
        <w:rPr>
          <w:rFonts w:ascii="Times New Roman" w:hAnsi="Times New Roman" w:cs="Times New Roman"/>
          <w:sz w:val="28"/>
          <w:szCs w:val="28"/>
        </w:rPr>
        <w:t>ea</w:t>
      </w:r>
      <w:r w:rsidRPr="00152C0F">
        <w:rPr>
          <w:rFonts w:ascii="Times New Roman" w:hAnsi="Times New Roman" w:cs="Times New Roman"/>
          <w:sz w:val="28"/>
          <w:szCs w:val="28"/>
        </w:rPr>
        <w:t xml:space="preserve">n </w:t>
      </w:r>
      <w:r w:rsidRPr="00152C0F">
        <w:rPr>
          <w:rFonts w:ascii="Times New Roman" w:hAnsi="Times New Roman" w:cs="Times New Roman"/>
          <w:sz w:val="28"/>
          <w:szCs w:val="28"/>
        </w:rPr>
        <w:t xml:space="preserve">necesarias para la ejecución del </w:t>
      </w:r>
      <w:r w:rsidRPr="00152C0F">
        <w:rPr>
          <w:rFonts w:ascii="Times New Roman" w:hAnsi="Times New Roman" w:cs="Times New Roman"/>
          <w:sz w:val="28"/>
          <w:szCs w:val="28"/>
        </w:rPr>
        <w:t>p</w:t>
      </w:r>
      <w:r w:rsidRPr="00152C0F">
        <w:rPr>
          <w:rFonts w:ascii="Times New Roman" w:hAnsi="Times New Roman" w:cs="Times New Roman"/>
          <w:sz w:val="28"/>
          <w:szCs w:val="28"/>
        </w:rPr>
        <w:t xml:space="preserve">lan </w:t>
      </w:r>
      <w:r w:rsidRPr="00152C0F">
        <w:rPr>
          <w:rFonts w:ascii="Times New Roman" w:hAnsi="Times New Roman" w:cs="Times New Roman"/>
          <w:sz w:val="28"/>
          <w:szCs w:val="28"/>
        </w:rPr>
        <w:t>n</w:t>
      </w:r>
      <w:r w:rsidRPr="00152C0F">
        <w:rPr>
          <w:rFonts w:ascii="Times New Roman" w:hAnsi="Times New Roman" w:cs="Times New Roman"/>
          <w:sz w:val="28"/>
          <w:szCs w:val="28"/>
        </w:rPr>
        <w:t xml:space="preserve">acional de </w:t>
      </w:r>
      <w:r w:rsidRPr="00152C0F">
        <w:rPr>
          <w:rFonts w:ascii="Times New Roman" w:hAnsi="Times New Roman" w:cs="Times New Roman"/>
          <w:sz w:val="28"/>
          <w:szCs w:val="28"/>
        </w:rPr>
        <w:t>d</w:t>
      </w:r>
      <w:r w:rsidRPr="00152C0F">
        <w:rPr>
          <w:rFonts w:ascii="Times New Roman" w:hAnsi="Times New Roman" w:cs="Times New Roman"/>
          <w:sz w:val="28"/>
          <w:szCs w:val="28"/>
        </w:rPr>
        <w:t>esarrollo</w:t>
      </w:r>
      <w:r w:rsidRPr="00152C0F">
        <w:rPr>
          <w:rStyle w:val="Refdenotaalpie"/>
          <w:rFonts w:ascii="Times New Roman" w:hAnsi="Times New Roman" w:cs="Times New Roman"/>
          <w:sz w:val="28"/>
          <w:szCs w:val="28"/>
        </w:rPr>
        <w:footnoteReference w:id="110"/>
      </w:r>
      <w:r w:rsidRPr="00152C0F">
        <w:rPr>
          <w:rFonts w:ascii="Times New Roman" w:hAnsi="Times New Roman" w:cs="Times New Roman"/>
          <w:sz w:val="28"/>
          <w:szCs w:val="28"/>
        </w:rPr>
        <w:t>, esto es, que, genuinamente, correspondan a medidas de planificación, lo cual no ocurre en el presente asunto</w:t>
      </w:r>
      <w:r w:rsidRPr="00152C0F">
        <w:rPr>
          <w:rFonts w:ascii="Times New Roman" w:hAnsi="Times New Roman" w:cs="Times New Roman"/>
          <w:sz w:val="28"/>
          <w:szCs w:val="28"/>
        </w:rPr>
        <w:t>.</w:t>
      </w:r>
    </w:p>
    <w:p w:rsidR="00AE2D4B" w:rsidRPr="00152C0F" w:rsidRDefault="00152C0F" w:rsidP="00AE2D4B">
      <w:pPr>
        <w:pStyle w:val="Prrafodelista"/>
        <w:ind w:left="0"/>
        <w:jc w:val="both"/>
        <w:rPr>
          <w:rFonts w:ascii="Times New Roman" w:hAnsi="Times New Roman" w:cs="Times New Roman"/>
          <w:sz w:val="28"/>
          <w:szCs w:val="28"/>
        </w:rPr>
      </w:pPr>
    </w:p>
    <w:p w:rsidR="00E63D56"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A</w:t>
      </w:r>
      <w:r w:rsidRPr="00152C0F">
        <w:rPr>
          <w:rFonts w:ascii="Times New Roman" w:hAnsi="Times New Roman" w:cs="Times New Roman"/>
          <w:sz w:val="28"/>
          <w:szCs w:val="28"/>
        </w:rPr>
        <w:t xml:space="preserve">l </w:t>
      </w:r>
      <w:r w:rsidRPr="00152C0F">
        <w:rPr>
          <w:rFonts w:ascii="Times New Roman" w:hAnsi="Times New Roman" w:cs="Times New Roman"/>
          <w:sz w:val="28"/>
          <w:szCs w:val="28"/>
        </w:rPr>
        <w:t>dotar del carácter de impre</w:t>
      </w:r>
      <w:r w:rsidRPr="00152C0F">
        <w:rPr>
          <w:rFonts w:ascii="Times New Roman" w:hAnsi="Times New Roman" w:cs="Times New Roman"/>
          <w:sz w:val="28"/>
          <w:szCs w:val="28"/>
        </w:rPr>
        <w:t>scriptibles a bienes que aún no han pasado al d</w:t>
      </w:r>
      <w:r w:rsidRPr="00152C0F">
        <w:rPr>
          <w:rFonts w:ascii="Times New Roman" w:hAnsi="Times New Roman" w:cs="Times New Roman"/>
          <w:sz w:val="28"/>
          <w:szCs w:val="28"/>
        </w:rPr>
        <w:t>o</w:t>
      </w:r>
      <w:r w:rsidRPr="00152C0F">
        <w:rPr>
          <w:rFonts w:ascii="Times New Roman" w:hAnsi="Times New Roman" w:cs="Times New Roman"/>
          <w:sz w:val="28"/>
          <w:szCs w:val="28"/>
        </w:rPr>
        <w:t>m</w:t>
      </w:r>
      <w:r w:rsidRPr="00152C0F">
        <w:rPr>
          <w:rFonts w:ascii="Times New Roman" w:hAnsi="Times New Roman" w:cs="Times New Roman"/>
          <w:sz w:val="28"/>
          <w:szCs w:val="28"/>
        </w:rPr>
        <w:t>i</w:t>
      </w:r>
      <w:r w:rsidRPr="00152C0F">
        <w:rPr>
          <w:rFonts w:ascii="Times New Roman" w:hAnsi="Times New Roman" w:cs="Times New Roman"/>
          <w:sz w:val="28"/>
          <w:szCs w:val="28"/>
        </w:rPr>
        <w:t>nio público</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y </w:t>
      </w:r>
      <w:r w:rsidRPr="00152C0F">
        <w:rPr>
          <w:rFonts w:ascii="Times New Roman" w:hAnsi="Times New Roman" w:cs="Times New Roman"/>
          <w:sz w:val="28"/>
          <w:szCs w:val="28"/>
        </w:rPr>
        <w:t>al prolongar indefinidamente las medidas cautelares</w:t>
      </w:r>
      <w:r w:rsidRPr="00152C0F">
        <w:rPr>
          <w:rFonts w:ascii="Times New Roman" w:hAnsi="Times New Roman" w:cs="Times New Roman"/>
          <w:sz w:val="28"/>
          <w:szCs w:val="28"/>
        </w:rPr>
        <w:t xml:space="preserve"> –únicamente sujetas </w:t>
      </w:r>
      <w:r w:rsidRPr="00152C0F">
        <w:rPr>
          <w:rFonts w:ascii="Times New Roman" w:hAnsi="Times New Roman" w:cs="Times New Roman"/>
          <w:sz w:val="28"/>
          <w:szCs w:val="28"/>
        </w:rPr>
        <w:t xml:space="preserve">a la decisión </w:t>
      </w:r>
      <w:r w:rsidRPr="00152C0F">
        <w:rPr>
          <w:rFonts w:ascii="Times New Roman" w:hAnsi="Times New Roman" w:cs="Times New Roman"/>
          <w:sz w:val="28"/>
          <w:szCs w:val="28"/>
        </w:rPr>
        <w:t>judicial–</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los artículos 211 y 212 </w:t>
      </w:r>
      <w:r w:rsidRPr="00152C0F">
        <w:rPr>
          <w:rFonts w:ascii="Times New Roman" w:hAnsi="Times New Roman" w:cs="Times New Roman"/>
          <w:sz w:val="28"/>
          <w:szCs w:val="28"/>
        </w:rPr>
        <w:t xml:space="preserve">introducen modificaciones que exceden los límites temporales del </w:t>
      </w:r>
      <w:r w:rsidRPr="00152C0F">
        <w:rPr>
          <w:rFonts w:ascii="Times New Roman" w:hAnsi="Times New Roman" w:cs="Times New Roman"/>
          <w:sz w:val="28"/>
          <w:szCs w:val="28"/>
        </w:rPr>
        <w:t xml:space="preserve">plan </w:t>
      </w:r>
      <w:r w:rsidRPr="00152C0F">
        <w:rPr>
          <w:rFonts w:ascii="Times New Roman" w:hAnsi="Times New Roman" w:cs="Times New Roman"/>
          <w:sz w:val="28"/>
          <w:szCs w:val="28"/>
        </w:rPr>
        <w:t>nacional de desarrollo</w:t>
      </w:r>
      <w:r w:rsidRPr="00152C0F">
        <w:rPr>
          <w:rFonts w:ascii="Times New Roman" w:hAnsi="Times New Roman" w:cs="Times New Roman"/>
          <w:sz w:val="28"/>
          <w:szCs w:val="28"/>
        </w:rPr>
        <w:t xml:space="preserve">. Estas disposiciones no </w:t>
      </w:r>
      <w:r w:rsidRPr="00152C0F">
        <w:rPr>
          <w:rFonts w:ascii="Times New Roman" w:hAnsi="Times New Roman" w:cs="Times New Roman"/>
          <w:sz w:val="28"/>
          <w:szCs w:val="28"/>
        </w:rPr>
        <w:t>corresponden a</w:t>
      </w:r>
      <w:r w:rsidRPr="00152C0F">
        <w:rPr>
          <w:rFonts w:ascii="Times New Roman" w:hAnsi="Times New Roman" w:cs="Times New Roman"/>
          <w:sz w:val="28"/>
          <w:szCs w:val="28"/>
        </w:rPr>
        <w:t xml:space="preserve"> mecanismos instrumentales de planificación, sino que constituyen cambios profundos en el marco jurídico,</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como lo advirtieron los intervinientes que solicitaron de la Corte una declaratoria de in</w:t>
      </w:r>
      <w:r w:rsidRPr="00152C0F">
        <w:rPr>
          <w:rFonts w:ascii="Times New Roman" w:hAnsi="Times New Roman" w:cs="Times New Roman"/>
          <w:sz w:val="28"/>
          <w:szCs w:val="28"/>
        </w:rPr>
        <w:t>exequibilidad</w:t>
      </w:r>
      <w:r w:rsidRPr="00152C0F">
        <w:rPr>
          <w:rFonts w:ascii="Times New Roman" w:hAnsi="Times New Roman" w:cs="Times New Roman"/>
          <w:sz w:val="28"/>
          <w:szCs w:val="28"/>
        </w:rPr>
        <w:t xml:space="preserve">. Esta naturaleza permanente contraviene </w:t>
      </w:r>
      <w:r w:rsidRPr="00152C0F">
        <w:rPr>
          <w:rFonts w:ascii="Times New Roman" w:hAnsi="Times New Roman" w:cs="Times New Roman"/>
          <w:i/>
          <w:iCs/>
          <w:sz w:val="28"/>
          <w:szCs w:val="28"/>
        </w:rPr>
        <w:t xml:space="preserve">prima facie </w:t>
      </w:r>
      <w:r w:rsidRPr="00152C0F">
        <w:rPr>
          <w:rFonts w:ascii="Times New Roman" w:hAnsi="Times New Roman" w:cs="Times New Roman"/>
          <w:sz w:val="28"/>
          <w:szCs w:val="28"/>
        </w:rPr>
        <w:t xml:space="preserve">el principio de unidad de materia, pues no se justifica que una ley temporal, como la del </w:t>
      </w:r>
      <w:r w:rsidRPr="00152C0F">
        <w:rPr>
          <w:rFonts w:ascii="Times New Roman" w:hAnsi="Times New Roman" w:cs="Times New Roman"/>
          <w:sz w:val="28"/>
          <w:szCs w:val="28"/>
        </w:rPr>
        <w:t>plan nacional de desarrollo</w:t>
      </w:r>
      <w:r w:rsidRPr="00152C0F">
        <w:rPr>
          <w:rFonts w:ascii="Times New Roman" w:hAnsi="Times New Roman" w:cs="Times New Roman"/>
          <w:sz w:val="28"/>
          <w:szCs w:val="28"/>
        </w:rPr>
        <w:t xml:space="preserve">, contenga normas que alteren de manera </w:t>
      </w:r>
      <w:r w:rsidRPr="00152C0F">
        <w:rPr>
          <w:rFonts w:ascii="Times New Roman" w:hAnsi="Times New Roman" w:cs="Times New Roman"/>
          <w:sz w:val="28"/>
          <w:szCs w:val="28"/>
        </w:rPr>
        <w:t>permanente</w:t>
      </w:r>
      <w:r w:rsidRPr="00152C0F">
        <w:rPr>
          <w:rFonts w:ascii="Times New Roman" w:hAnsi="Times New Roman" w:cs="Times New Roman"/>
          <w:sz w:val="28"/>
          <w:szCs w:val="28"/>
        </w:rPr>
        <w:t xml:space="preserve"> el ordenamiento jurídi</w:t>
      </w:r>
      <w:r w:rsidRPr="00152C0F">
        <w:rPr>
          <w:rFonts w:ascii="Times New Roman" w:hAnsi="Times New Roman" w:cs="Times New Roman"/>
          <w:sz w:val="28"/>
          <w:szCs w:val="28"/>
        </w:rPr>
        <w:t>co</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para cuya configuración o modificación el constituyente ha previsto un procedimiento legislativo ordinario</w:t>
      </w:r>
      <w:r w:rsidRPr="00152C0F">
        <w:rPr>
          <w:rFonts w:ascii="Times New Roman" w:hAnsi="Times New Roman" w:cs="Times New Roman"/>
          <w:sz w:val="28"/>
          <w:szCs w:val="28"/>
        </w:rPr>
        <w:t xml:space="preserve"> que garantiza la deliberaci</w:t>
      </w:r>
      <w:r w:rsidRPr="00152C0F">
        <w:rPr>
          <w:rFonts w:ascii="Times New Roman" w:hAnsi="Times New Roman" w:cs="Times New Roman"/>
          <w:sz w:val="28"/>
          <w:szCs w:val="28"/>
        </w:rPr>
        <w:t>ó</w:t>
      </w:r>
      <w:r w:rsidRPr="00152C0F">
        <w:rPr>
          <w:rFonts w:ascii="Times New Roman" w:hAnsi="Times New Roman" w:cs="Times New Roman"/>
          <w:sz w:val="28"/>
          <w:szCs w:val="28"/>
        </w:rPr>
        <w:t>n democrática</w:t>
      </w:r>
      <w:r w:rsidRPr="00152C0F">
        <w:rPr>
          <w:rFonts w:ascii="Times New Roman" w:hAnsi="Times New Roman" w:cs="Times New Roman"/>
          <w:sz w:val="28"/>
          <w:szCs w:val="28"/>
        </w:rPr>
        <w:t>.</w:t>
      </w:r>
    </w:p>
    <w:p w:rsidR="00E63D56" w:rsidRPr="00152C0F" w:rsidRDefault="00152C0F" w:rsidP="00E63D56">
      <w:pPr>
        <w:pStyle w:val="Prrafodelista"/>
        <w:rPr>
          <w:rFonts w:ascii="Times New Roman" w:hAnsi="Times New Roman" w:cs="Times New Roman"/>
          <w:sz w:val="28"/>
          <w:szCs w:val="28"/>
        </w:rPr>
      </w:pPr>
    </w:p>
    <w:p w:rsidR="00AE2D4B"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M</w:t>
      </w:r>
      <w:r w:rsidRPr="00152C0F">
        <w:rPr>
          <w:rFonts w:ascii="Times New Roman" w:hAnsi="Times New Roman" w:cs="Times New Roman"/>
          <w:sz w:val="28"/>
          <w:szCs w:val="28"/>
        </w:rPr>
        <w:t xml:space="preserve">ás que una finalidad planificadora, </w:t>
      </w:r>
      <w:r w:rsidRPr="00152C0F">
        <w:rPr>
          <w:rFonts w:ascii="Times New Roman" w:hAnsi="Times New Roman" w:cs="Times New Roman"/>
          <w:sz w:val="28"/>
          <w:szCs w:val="28"/>
        </w:rPr>
        <w:t xml:space="preserve">las disposiciones </w:t>
      </w:r>
      <w:r w:rsidRPr="00152C0F">
        <w:rPr>
          <w:rFonts w:ascii="Times New Roman" w:hAnsi="Times New Roman" w:cs="Times New Roman"/>
          <w:sz w:val="28"/>
          <w:szCs w:val="28"/>
        </w:rPr>
        <w:t xml:space="preserve">acusadas </w:t>
      </w:r>
      <w:r w:rsidRPr="00152C0F">
        <w:rPr>
          <w:rFonts w:ascii="Times New Roman" w:hAnsi="Times New Roman" w:cs="Times New Roman"/>
          <w:sz w:val="28"/>
          <w:szCs w:val="28"/>
        </w:rPr>
        <w:t xml:space="preserve">buscan solucionar vacíos o inconsistencias del Código de Extinción de Dominio, </w:t>
      </w:r>
      <w:r w:rsidRPr="00152C0F">
        <w:rPr>
          <w:rFonts w:ascii="Times New Roman" w:hAnsi="Times New Roman" w:cs="Times New Roman"/>
          <w:sz w:val="28"/>
          <w:szCs w:val="28"/>
          <w:lang w:val="es-ES"/>
        </w:rPr>
        <w:t xml:space="preserve">orientadas a proteger el patrimonio estatal y a adoptar medidas contra el crimen organizado, esto es, </w:t>
      </w:r>
      <w:r w:rsidRPr="00152C0F">
        <w:rPr>
          <w:rFonts w:ascii="Times New Roman" w:hAnsi="Times New Roman" w:cs="Times New Roman"/>
          <w:sz w:val="28"/>
          <w:szCs w:val="28"/>
        </w:rPr>
        <w:t>corregir problemas normativos existentes fuera del alcance de</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l</w:t>
      </w:r>
      <w:r w:rsidRPr="00152C0F">
        <w:rPr>
          <w:rFonts w:ascii="Times New Roman" w:hAnsi="Times New Roman" w:cs="Times New Roman"/>
          <w:sz w:val="28"/>
          <w:szCs w:val="28"/>
        </w:rPr>
        <w:t>a ley aproba</w:t>
      </w:r>
      <w:r w:rsidRPr="00152C0F">
        <w:rPr>
          <w:rFonts w:ascii="Times New Roman" w:hAnsi="Times New Roman" w:cs="Times New Roman"/>
          <w:sz w:val="28"/>
          <w:szCs w:val="28"/>
        </w:rPr>
        <w:t>toria del</w:t>
      </w:r>
      <w:r w:rsidRPr="00152C0F">
        <w:rPr>
          <w:rFonts w:ascii="Times New Roman" w:hAnsi="Times New Roman" w:cs="Times New Roman"/>
          <w:sz w:val="28"/>
          <w:szCs w:val="28"/>
        </w:rPr>
        <w:t xml:space="preserve"> plan </w:t>
      </w:r>
      <w:r w:rsidRPr="00152C0F">
        <w:rPr>
          <w:rFonts w:ascii="Times New Roman" w:hAnsi="Times New Roman" w:cs="Times New Roman"/>
          <w:sz w:val="28"/>
          <w:szCs w:val="28"/>
        </w:rPr>
        <w:t xml:space="preserve">nacional </w:t>
      </w:r>
      <w:r w:rsidRPr="00152C0F">
        <w:rPr>
          <w:rFonts w:ascii="Times New Roman" w:hAnsi="Times New Roman" w:cs="Times New Roman"/>
          <w:sz w:val="28"/>
          <w:szCs w:val="28"/>
        </w:rPr>
        <w:t>de desarrollo,</w:t>
      </w:r>
      <w:r w:rsidRPr="00152C0F">
        <w:rPr>
          <w:rFonts w:ascii="Times New Roman" w:hAnsi="Times New Roman" w:cs="Times New Roman"/>
          <w:sz w:val="28"/>
          <w:szCs w:val="28"/>
          <w:lang w:val="es-ES"/>
        </w:rPr>
        <w:t xml:space="preserve"> ya que no se trata de </w:t>
      </w:r>
      <w:r w:rsidRPr="00152C0F">
        <w:rPr>
          <w:rFonts w:ascii="Times New Roman" w:hAnsi="Times New Roman" w:cs="Times New Roman"/>
          <w:sz w:val="28"/>
          <w:szCs w:val="28"/>
          <w:lang w:val="es-ES"/>
        </w:rPr>
        <w:t>medidas</w:t>
      </w:r>
      <w:r w:rsidRPr="00152C0F">
        <w:rPr>
          <w:rFonts w:ascii="Times New Roman" w:hAnsi="Times New Roman" w:cs="Times New Roman"/>
          <w:sz w:val="28"/>
          <w:szCs w:val="28"/>
          <w:lang w:val="es-ES"/>
        </w:rPr>
        <w:t xml:space="preserve"> tendientes a adoptar </w:t>
      </w:r>
      <w:r w:rsidRPr="00152C0F">
        <w:rPr>
          <w:rFonts w:ascii="Times New Roman" w:hAnsi="Times New Roman" w:cs="Times New Roman"/>
          <w:sz w:val="28"/>
          <w:szCs w:val="28"/>
        </w:rPr>
        <w:t xml:space="preserve">procedimientos, mecanismos o a apropiar recursos para la ejecución del plan o medidas para impulsar su cumplimiento, como </w:t>
      </w:r>
      <w:r w:rsidRPr="00152C0F">
        <w:rPr>
          <w:rFonts w:ascii="Times New Roman" w:hAnsi="Times New Roman" w:cs="Times New Roman"/>
          <w:sz w:val="28"/>
          <w:szCs w:val="28"/>
          <w:lang w:val="es-ES"/>
        </w:rPr>
        <w:t>estrategia específica que deba ser ejecutada</w:t>
      </w:r>
      <w:r w:rsidRPr="00152C0F">
        <w:rPr>
          <w:rFonts w:ascii="Times New Roman" w:hAnsi="Times New Roman" w:cs="Times New Roman"/>
          <w:sz w:val="28"/>
          <w:szCs w:val="28"/>
          <w:lang w:val="es-ES"/>
        </w:rPr>
        <w:t xml:space="preserve"> dentro del cuatrienio.</w:t>
      </w:r>
      <w:r w:rsidRPr="00152C0F">
        <w:rPr>
          <w:rFonts w:ascii="Times New Roman" w:hAnsi="Times New Roman" w:cs="Times New Roman"/>
          <w:sz w:val="28"/>
          <w:szCs w:val="28"/>
          <w:lang w:val="es-ES"/>
        </w:rPr>
        <w:t xml:space="preserve"> En consecuencia, no se trata de medidas instrumentales que planifiquen o prioricen acciones concretas para mejorar la administración de </w:t>
      </w:r>
      <w:r w:rsidRPr="00152C0F">
        <w:rPr>
          <w:rFonts w:ascii="Times New Roman" w:hAnsi="Times New Roman" w:cs="Times New Roman"/>
          <w:sz w:val="28"/>
          <w:szCs w:val="28"/>
          <w:lang w:val="es-ES"/>
        </w:rPr>
        <w:t xml:space="preserve">los </w:t>
      </w:r>
      <w:r w:rsidRPr="00152C0F">
        <w:rPr>
          <w:rFonts w:ascii="Times New Roman" w:hAnsi="Times New Roman" w:cs="Times New Roman"/>
          <w:sz w:val="28"/>
          <w:szCs w:val="28"/>
          <w:lang w:val="es-ES"/>
        </w:rPr>
        <w:t>bienes del FRISCO o garantizar su destinación social en el marco del plan nacional de desarr</w:t>
      </w:r>
      <w:r w:rsidRPr="00152C0F">
        <w:rPr>
          <w:rFonts w:ascii="Times New Roman" w:hAnsi="Times New Roman" w:cs="Times New Roman"/>
          <w:sz w:val="28"/>
          <w:szCs w:val="28"/>
          <w:lang w:val="es-ES"/>
        </w:rPr>
        <w:t>ollo.</w:t>
      </w:r>
    </w:p>
    <w:p w:rsidR="00AE2D4B" w:rsidRPr="00152C0F" w:rsidRDefault="00152C0F" w:rsidP="00AE2D4B">
      <w:pPr>
        <w:pStyle w:val="Prrafodelista"/>
        <w:ind w:left="0"/>
        <w:jc w:val="both"/>
        <w:rPr>
          <w:rFonts w:ascii="Times New Roman" w:hAnsi="Times New Roman" w:cs="Times New Roman"/>
          <w:sz w:val="28"/>
          <w:szCs w:val="28"/>
        </w:rPr>
      </w:pPr>
    </w:p>
    <w:p w:rsidR="00B2221E" w:rsidRPr="00152C0F" w:rsidRDefault="00152C0F" w:rsidP="00B2221E">
      <w:pPr>
        <w:pStyle w:val="Prrafodelista"/>
        <w:numPr>
          <w:ilvl w:val="0"/>
          <w:numId w:val="2"/>
        </w:numPr>
        <w:ind w:left="0" w:firstLine="0"/>
        <w:jc w:val="both"/>
        <w:rPr>
          <w:rFonts w:ascii="Times New Roman" w:hAnsi="Times New Roman" w:cs="Times New Roman"/>
          <w:sz w:val="28"/>
          <w:szCs w:val="28"/>
          <w:lang w:val="es-ES"/>
        </w:rPr>
      </w:pPr>
      <w:r w:rsidRPr="00152C0F">
        <w:rPr>
          <w:rFonts w:ascii="Times New Roman" w:hAnsi="Times New Roman" w:cs="Times New Roman"/>
          <w:sz w:val="28"/>
          <w:szCs w:val="28"/>
          <w:lang w:val="es-ES"/>
        </w:rPr>
        <w:t>S</w:t>
      </w:r>
      <w:r w:rsidRPr="00152C0F">
        <w:rPr>
          <w:rFonts w:ascii="Times New Roman" w:hAnsi="Times New Roman" w:cs="Times New Roman"/>
          <w:sz w:val="28"/>
          <w:szCs w:val="28"/>
          <w:lang w:val="es-ES"/>
        </w:rPr>
        <w:t xml:space="preserve">i bien, las medidas que adoptan las disposiciones demandadas </w:t>
      </w:r>
      <w:r w:rsidRPr="00152C0F">
        <w:rPr>
          <w:rFonts w:ascii="Times New Roman" w:hAnsi="Times New Roman" w:cs="Times New Roman"/>
          <w:sz w:val="28"/>
          <w:szCs w:val="28"/>
          <w:lang w:val="es-ES"/>
        </w:rPr>
        <w:t xml:space="preserve">pudieran ser </w:t>
      </w:r>
      <w:r w:rsidRPr="00152C0F">
        <w:rPr>
          <w:rFonts w:ascii="Times New Roman" w:hAnsi="Times New Roman" w:cs="Times New Roman"/>
          <w:sz w:val="28"/>
          <w:szCs w:val="28"/>
          <w:lang w:val="es-ES"/>
        </w:rPr>
        <w:t>herramientas útiles para combatir, según el gobierno, la criminalidad y asegurar que los bienes obtenidos de manera ilícita no sean usufructuados por las redes criminales, au</w:t>
      </w:r>
      <w:r w:rsidRPr="00152C0F">
        <w:rPr>
          <w:rFonts w:ascii="Times New Roman" w:hAnsi="Times New Roman" w:cs="Times New Roman"/>
          <w:sz w:val="28"/>
          <w:szCs w:val="28"/>
          <w:lang w:val="es-ES"/>
        </w:rPr>
        <w:t xml:space="preserve">nque importantes, no pueden ser consideradas como instrumentos de planificación en el contexto de un plan nacional de desarrollo, finalidad constitucional adscrita a esta, tal como se indicó, de manera extensa en el título 4 </w:t>
      </w:r>
      <w:r w:rsidRPr="00152C0F">
        <w:rPr>
          <w:rFonts w:ascii="Times New Roman" w:hAnsi="Times New Roman" w:cs="Times New Roman"/>
          <w:i/>
          <w:iCs/>
          <w:sz w:val="28"/>
          <w:szCs w:val="28"/>
          <w:lang w:val="es-ES"/>
        </w:rPr>
        <w:t>supra</w:t>
      </w:r>
      <w:r w:rsidRPr="00152C0F">
        <w:rPr>
          <w:rFonts w:ascii="Times New Roman" w:hAnsi="Times New Roman" w:cs="Times New Roman"/>
          <w:sz w:val="28"/>
          <w:szCs w:val="28"/>
          <w:lang w:val="es-ES"/>
        </w:rPr>
        <w:t>.</w:t>
      </w:r>
    </w:p>
    <w:p w:rsidR="00B2221E" w:rsidRPr="00152C0F" w:rsidRDefault="00152C0F" w:rsidP="00B2221E">
      <w:pPr>
        <w:rPr>
          <w:rFonts w:ascii="Times New Roman" w:hAnsi="Times New Roman" w:cs="Times New Roman"/>
          <w:sz w:val="28"/>
          <w:szCs w:val="28"/>
          <w:lang w:val="es-ES"/>
        </w:rPr>
      </w:pPr>
    </w:p>
    <w:p w:rsidR="00B2221E" w:rsidRPr="00152C0F" w:rsidRDefault="00152C0F" w:rsidP="00B2221E">
      <w:pPr>
        <w:pStyle w:val="Prrafodelista"/>
        <w:numPr>
          <w:ilvl w:val="0"/>
          <w:numId w:val="2"/>
        </w:numPr>
        <w:ind w:left="0" w:firstLine="0"/>
        <w:jc w:val="both"/>
        <w:rPr>
          <w:rFonts w:ascii="Times New Roman" w:hAnsi="Times New Roman" w:cs="Times New Roman"/>
          <w:sz w:val="28"/>
          <w:szCs w:val="28"/>
          <w:lang w:val="es-ES"/>
        </w:rPr>
      </w:pPr>
      <w:r w:rsidRPr="00152C0F">
        <w:rPr>
          <w:rFonts w:ascii="Times New Roman" w:hAnsi="Times New Roman" w:cs="Times New Roman"/>
          <w:sz w:val="28"/>
          <w:szCs w:val="28"/>
          <w:lang w:val="es-ES"/>
        </w:rPr>
        <w:t>La planificación, en el</w:t>
      </w:r>
      <w:r w:rsidRPr="00152C0F">
        <w:rPr>
          <w:rFonts w:ascii="Times New Roman" w:hAnsi="Times New Roman" w:cs="Times New Roman"/>
          <w:sz w:val="28"/>
          <w:szCs w:val="28"/>
          <w:lang w:val="es-ES"/>
        </w:rPr>
        <w:t xml:space="preserve"> contexto de la ley aprobatoria del plan, implica la formulación de políticas públicas que tengan un impacto en el desarrollo económico y social del país durante el periodo de su vigencia</w:t>
      </w:r>
      <w:r w:rsidRPr="00152C0F">
        <w:rPr>
          <w:rFonts w:ascii="Times New Roman" w:hAnsi="Times New Roman" w:cs="Times New Roman"/>
          <w:sz w:val="28"/>
          <w:szCs w:val="28"/>
          <w:lang w:val="es-ES"/>
        </w:rPr>
        <w:t>, cuya implementación entra a formar parte de la agenda legislativa d</w:t>
      </w:r>
      <w:r w:rsidRPr="00152C0F">
        <w:rPr>
          <w:rFonts w:ascii="Times New Roman" w:hAnsi="Times New Roman" w:cs="Times New Roman"/>
          <w:sz w:val="28"/>
          <w:szCs w:val="28"/>
          <w:lang w:val="es-ES"/>
        </w:rPr>
        <w:t>el gobierno</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Esto es así, si se tiene en cuenta que </w:t>
      </w:r>
      <w:r w:rsidRPr="00152C0F">
        <w:rPr>
          <w:rFonts w:ascii="Times New Roman" w:hAnsi="Times New Roman" w:cs="Times New Roman"/>
          <w:sz w:val="28"/>
          <w:szCs w:val="28"/>
          <w:shd w:val="clear" w:color="auto" w:fill="FFFFFF"/>
        </w:rPr>
        <w:t>el plan nacional de desarrollo es el principal instrumento de formulación de las estrategias y orientaciones generales de la política</w:t>
      </w:r>
      <w:r w:rsidRPr="00152C0F">
        <w:rPr>
          <w:rFonts w:ascii="Times New Roman" w:hAnsi="Times New Roman" w:cs="Times New Roman"/>
          <w:sz w:val="28"/>
          <w:szCs w:val="18"/>
          <w:lang w:eastAsia="es-MX"/>
        </w:rPr>
        <w:t xml:space="preserve"> </w:t>
      </w:r>
      <w:r w:rsidRPr="00152C0F">
        <w:rPr>
          <w:rFonts w:ascii="Times New Roman" w:hAnsi="Times New Roman" w:cs="Times New Roman"/>
          <w:sz w:val="28"/>
          <w:szCs w:val="28"/>
          <w:shd w:val="clear" w:color="auto" w:fill="FFFFFF"/>
        </w:rPr>
        <w:t xml:space="preserve">económica, social y ambiental que serán </w:t>
      </w:r>
      <w:r w:rsidRPr="00152C0F">
        <w:rPr>
          <w:rFonts w:ascii="Times New Roman" w:hAnsi="Times New Roman" w:cs="Times New Roman"/>
          <w:sz w:val="28"/>
          <w:szCs w:val="28"/>
          <w:shd w:val="clear" w:color="auto" w:fill="FFFFFF"/>
        </w:rPr>
        <w:t>implementadas</w:t>
      </w:r>
      <w:r w:rsidRPr="00152C0F">
        <w:rPr>
          <w:rFonts w:ascii="Times New Roman" w:hAnsi="Times New Roman" w:cs="Times New Roman"/>
          <w:sz w:val="28"/>
          <w:szCs w:val="28"/>
          <w:shd w:val="clear" w:color="auto" w:fill="FFFFFF"/>
        </w:rPr>
        <w:t xml:space="preserve"> por el </w:t>
      </w:r>
      <w:r w:rsidRPr="00152C0F">
        <w:rPr>
          <w:rFonts w:ascii="Times New Roman" w:hAnsi="Times New Roman" w:cs="Times New Roman"/>
          <w:sz w:val="28"/>
          <w:szCs w:val="28"/>
          <w:shd w:val="clear" w:color="auto" w:fill="FFFFFF"/>
        </w:rPr>
        <w:t>g</w:t>
      </w:r>
      <w:r w:rsidRPr="00152C0F">
        <w:rPr>
          <w:rFonts w:ascii="Times New Roman" w:hAnsi="Times New Roman" w:cs="Times New Roman"/>
          <w:sz w:val="28"/>
          <w:szCs w:val="28"/>
          <w:shd w:val="clear" w:color="auto" w:fill="FFFFFF"/>
        </w:rPr>
        <w:t xml:space="preserve">obierno </w:t>
      </w:r>
      <w:r w:rsidRPr="00152C0F">
        <w:rPr>
          <w:rFonts w:ascii="Times New Roman" w:hAnsi="Times New Roman" w:cs="Times New Roman"/>
          <w:sz w:val="28"/>
          <w:szCs w:val="28"/>
          <w:shd w:val="clear" w:color="auto" w:fill="FFFFFF"/>
        </w:rPr>
        <w:t xml:space="preserve">nacional </w:t>
      </w:r>
      <w:r w:rsidRPr="00152C0F">
        <w:rPr>
          <w:rFonts w:ascii="Times New Roman" w:hAnsi="Times New Roman" w:cs="Times New Roman"/>
          <w:sz w:val="28"/>
          <w:szCs w:val="28"/>
          <w:shd w:val="clear" w:color="auto" w:fill="FFFFFF"/>
        </w:rPr>
        <w:t xml:space="preserve">durante el respectivo período cuatrienal. </w:t>
      </w:r>
      <w:r w:rsidRPr="00152C0F">
        <w:rPr>
          <w:rFonts w:ascii="Times New Roman" w:hAnsi="Times New Roman" w:cs="Times New Roman"/>
          <w:sz w:val="28"/>
          <w:szCs w:val="28"/>
          <w:lang w:val="es-ES"/>
        </w:rPr>
        <w:t>Las medidas contenidas en los artículos 211 y 212, no cumplen con esta función. En lugar de ser mecanismos de planificación, son modificaciones normativas</w:t>
      </w:r>
      <w:r w:rsidRPr="00152C0F">
        <w:rPr>
          <w:rFonts w:ascii="Times New Roman" w:hAnsi="Times New Roman" w:cs="Times New Roman"/>
          <w:sz w:val="28"/>
          <w:szCs w:val="28"/>
          <w:lang w:val="es-ES"/>
        </w:rPr>
        <w:t xml:space="preserve"> permanentes y estructurales, que </w:t>
      </w:r>
      <w:r w:rsidRPr="00152C0F">
        <w:rPr>
          <w:rFonts w:ascii="Times New Roman" w:hAnsi="Times New Roman" w:cs="Times New Roman"/>
          <w:sz w:val="28"/>
          <w:szCs w:val="28"/>
        </w:rPr>
        <w:t>buscan solucionar</w:t>
      </w:r>
      <w:r w:rsidRPr="00152C0F">
        <w:rPr>
          <w:rFonts w:ascii="Times New Roman" w:hAnsi="Times New Roman" w:cs="Times New Roman"/>
          <w:sz w:val="28"/>
          <w:szCs w:val="28"/>
        </w:rPr>
        <w:t xml:space="preserve"> vacíos o inconsistencias del Código de Extinción de Dominio,</w:t>
      </w:r>
      <w:r w:rsidRPr="00152C0F">
        <w:rPr>
          <w:rFonts w:ascii="Times New Roman" w:hAnsi="Times New Roman" w:cs="Times New Roman"/>
          <w:sz w:val="28"/>
          <w:szCs w:val="28"/>
          <w:lang w:val="es-ES"/>
        </w:rPr>
        <w:t xml:space="preserve"> que deben ser debatidas y aprobadas mediante el procedimiento legislativo ordinario, en el que se puedan considerar sus implicaciones de manera integral y democrática.</w:t>
      </w:r>
    </w:p>
    <w:p w:rsidR="00B2221E" w:rsidRPr="00152C0F" w:rsidRDefault="00152C0F" w:rsidP="00202A02">
      <w:pPr>
        <w:pStyle w:val="Prrafodelista"/>
        <w:ind w:left="0"/>
        <w:jc w:val="both"/>
        <w:rPr>
          <w:rFonts w:ascii="Times New Roman" w:hAnsi="Times New Roman" w:cs="Times New Roman"/>
          <w:sz w:val="28"/>
          <w:szCs w:val="28"/>
          <w:lang w:val="es-ES"/>
        </w:rPr>
      </w:pPr>
    </w:p>
    <w:p w:rsidR="00822CCB" w:rsidRPr="00152C0F" w:rsidRDefault="00152C0F" w:rsidP="006616F7">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lang w:val="es-ES"/>
        </w:rPr>
        <w:t>L</w:t>
      </w:r>
      <w:r w:rsidRPr="00152C0F">
        <w:rPr>
          <w:rFonts w:ascii="Times New Roman" w:hAnsi="Times New Roman" w:cs="Times New Roman"/>
          <w:sz w:val="28"/>
          <w:szCs w:val="28"/>
          <w:lang w:val="es-ES"/>
        </w:rPr>
        <w:t xml:space="preserve">as disposiciones demandadas, </w:t>
      </w:r>
      <w:r w:rsidRPr="00152C0F">
        <w:rPr>
          <w:rFonts w:ascii="Times New Roman" w:hAnsi="Times New Roman" w:cs="Times New Roman"/>
          <w:sz w:val="28"/>
          <w:szCs w:val="28"/>
          <w:lang w:val="es-ES"/>
        </w:rPr>
        <w:t>a</w:t>
      </w:r>
      <w:r w:rsidRPr="00152C0F">
        <w:rPr>
          <w:rFonts w:ascii="Times New Roman" w:hAnsi="Times New Roman" w:cs="Times New Roman"/>
          <w:sz w:val="28"/>
          <w:szCs w:val="28"/>
          <w:lang w:val="es-ES"/>
        </w:rPr>
        <w:t>l introducir modificaciones permanentes al régimen de extinción de dominio en una ley temporal</w:t>
      </w:r>
      <w:r w:rsidRPr="00152C0F">
        <w:rPr>
          <w:rFonts w:ascii="Times New Roman" w:hAnsi="Times New Roman" w:cs="Times New Roman"/>
          <w:sz w:val="28"/>
          <w:szCs w:val="28"/>
          <w:lang w:val="es-ES"/>
        </w:rPr>
        <w:t xml:space="preserve">, sin una finalidad </w:t>
      </w:r>
      <w:r w:rsidRPr="00152C0F">
        <w:rPr>
          <w:rFonts w:ascii="Times New Roman" w:hAnsi="Times New Roman" w:cs="Times New Roman"/>
          <w:sz w:val="28"/>
          <w:szCs w:val="28"/>
          <w:lang w:val="es-ES"/>
        </w:rPr>
        <w:t>planificadora</w:t>
      </w:r>
      <w:r w:rsidRPr="00152C0F">
        <w:rPr>
          <w:rFonts w:ascii="Times New Roman" w:hAnsi="Times New Roman" w:cs="Times New Roman"/>
          <w:sz w:val="28"/>
          <w:szCs w:val="28"/>
          <w:lang w:val="es-ES"/>
        </w:rPr>
        <w:t>, evade</w:t>
      </w:r>
      <w:r w:rsidRPr="00152C0F">
        <w:rPr>
          <w:rFonts w:ascii="Times New Roman" w:hAnsi="Times New Roman" w:cs="Times New Roman"/>
          <w:sz w:val="28"/>
          <w:szCs w:val="28"/>
          <w:lang w:val="es-ES"/>
        </w:rPr>
        <w:t>n</w:t>
      </w:r>
      <w:r w:rsidRPr="00152C0F">
        <w:rPr>
          <w:rFonts w:ascii="Times New Roman" w:hAnsi="Times New Roman" w:cs="Times New Roman"/>
          <w:sz w:val="28"/>
          <w:szCs w:val="28"/>
          <w:lang w:val="es-ES"/>
        </w:rPr>
        <w:t xml:space="preserve"> el debate legislativo ordinario, necesario para la aprobación de cambios de tal </w:t>
      </w:r>
      <w:r w:rsidRPr="00152C0F">
        <w:rPr>
          <w:rFonts w:ascii="Times New Roman" w:hAnsi="Times New Roman" w:cs="Times New Roman"/>
          <w:sz w:val="28"/>
          <w:szCs w:val="28"/>
          <w:lang w:val="es-ES"/>
        </w:rPr>
        <w:t>intensidad</w:t>
      </w:r>
      <w:r w:rsidRPr="00152C0F">
        <w:rPr>
          <w:rFonts w:ascii="Times New Roman" w:hAnsi="Times New Roman" w:cs="Times New Roman"/>
          <w:sz w:val="28"/>
          <w:szCs w:val="28"/>
          <w:lang w:val="es-ES"/>
        </w:rPr>
        <w:t xml:space="preserve">, lo cual </w:t>
      </w:r>
      <w:r w:rsidRPr="00152C0F">
        <w:rPr>
          <w:rFonts w:ascii="Times New Roman" w:hAnsi="Times New Roman" w:cs="Times New Roman"/>
          <w:sz w:val="28"/>
          <w:szCs w:val="28"/>
          <w:lang w:val="es-ES"/>
        </w:rPr>
        <w:t xml:space="preserve">reduce la capacidad del Congreso </w:t>
      </w:r>
      <w:r w:rsidRPr="00152C0F">
        <w:rPr>
          <w:rFonts w:ascii="Times New Roman" w:hAnsi="Times New Roman" w:cs="Times New Roman"/>
          <w:sz w:val="28"/>
          <w:szCs w:val="28"/>
          <w:lang w:val="es-ES"/>
        </w:rPr>
        <w:t xml:space="preserve">de la República </w:t>
      </w:r>
      <w:r w:rsidRPr="00152C0F">
        <w:rPr>
          <w:rFonts w:ascii="Times New Roman" w:hAnsi="Times New Roman" w:cs="Times New Roman"/>
          <w:sz w:val="28"/>
          <w:szCs w:val="28"/>
          <w:lang w:val="es-ES"/>
        </w:rPr>
        <w:t>para deliberar sobre políticas de largo plazo</w:t>
      </w:r>
      <w:r w:rsidRPr="00152C0F">
        <w:rPr>
          <w:rStyle w:val="Refdenotaalpie"/>
          <w:rFonts w:ascii="Times New Roman" w:hAnsi="Times New Roman" w:cs="Times New Roman"/>
          <w:sz w:val="28"/>
          <w:szCs w:val="28"/>
          <w:lang w:val="es-ES"/>
        </w:rPr>
        <w:footnoteReference w:id="111"/>
      </w:r>
      <w:r w:rsidRPr="00152C0F">
        <w:rPr>
          <w:rFonts w:ascii="Times New Roman" w:hAnsi="Times New Roman" w:cs="Times New Roman"/>
          <w:sz w:val="28"/>
          <w:szCs w:val="28"/>
          <w:lang w:val="es-ES"/>
        </w:rPr>
        <w:t>.</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En este sentido, l</w:t>
      </w:r>
      <w:r w:rsidRPr="00152C0F">
        <w:rPr>
          <w:rFonts w:ascii="Times New Roman" w:hAnsi="Times New Roman" w:cs="Times New Roman"/>
          <w:sz w:val="28"/>
          <w:szCs w:val="28"/>
          <w:lang w:val="es-ES"/>
        </w:rPr>
        <w:t xml:space="preserve">a jurisprudencia constitucional ha insistido en que las leyes </w:t>
      </w:r>
      <w:r w:rsidRPr="00152C0F">
        <w:rPr>
          <w:rFonts w:ascii="Times New Roman" w:hAnsi="Times New Roman" w:cs="Times New Roman"/>
          <w:sz w:val="28"/>
          <w:szCs w:val="28"/>
          <w:lang w:val="es-ES"/>
        </w:rPr>
        <w:t xml:space="preserve">aprobatorias del plan nacional de desarrollo </w:t>
      </w:r>
      <w:r w:rsidRPr="00152C0F">
        <w:rPr>
          <w:rFonts w:ascii="Times New Roman" w:hAnsi="Times New Roman" w:cs="Times New Roman"/>
          <w:sz w:val="28"/>
          <w:szCs w:val="28"/>
          <w:lang w:val="es-ES"/>
        </w:rPr>
        <w:t xml:space="preserve">no deben ser utilizadas </w:t>
      </w:r>
      <w:r w:rsidRPr="00152C0F">
        <w:rPr>
          <w:rFonts w:ascii="Times New Roman" w:hAnsi="Times New Roman" w:cs="Times New Roman"/>
          <w:sz w:val="28"/>
          <w:szCs w:val="28"/>
          <w:lang w:val="es-ES"/>
        </w:rPr>
        <w:t xml:space="preserve">para </w:t>
      </w:r>
      <w:r w:rsidRPr="00152C0F">
        <w:rPr>
          <w:rFonts w:ascii="Times New Roman" w:hAnsi="Times New Roman" w:cs="Times New Roman"/>
          <w:sz w:val="28"/>
          <w:szCs w:val="28"/>
          <w:lang w:val="es-ES"/>
        </w:rPr>
        <w:t>eludir</w:t>
      </w:r>
      <w:r w:rsidRPr="00152C0F">
        <w:rPr>
          <w:rFonts w:ascii="Times New Roman" w:hAnsi="Times New Roman" w:cs="Times New Roman"/>
          <w:sz w:val="28"/>
          <w:szCs w:val="28"/>
          <w:lang w:val="es-ES"/>
        </w:rPr>
        <w:t xml:space="preserve"> la competencia legislativa ordinaria del Congreso. </w:t>
      </w:r>
      <w:r w:rsidRPr="00152C0F">
        <w:rPr>
          <w:rFonts w:ascii="Times New Roman" w:hAnsi="Times New Roman" w:cs="Times New Roman"/>
          <w:sz w:val="28"/>
          <w:szCs w:val="28"/>
          <w:lang w:val="es-ES"/>
        </w:rPr>
        <w:t>En efecto, l</w:t>
      </w:r>
      <w:r w:rsidRPr="00152C0F">
        <w:rPr>
          <w:rFonts w:ascii="Times New Roman" w:hAnsi="Times New Roman" w:cs="Times New Roman"/>
          <w:sz w:val="28"/>
          <w:szCs w:val="28"/>
          <w:lang w:val="es-ES"/>
        </w:rPr>
        <w:t>as reformas estructurales y permanentes</w:t>
      </w:r>
      <w:r w:rsidRPr="00152C0F">
        <w:rPr>
          <w:rFonts w:ascii="Times New Roman" w:hAnsi="Times New Roman" w:cs="Times New Roman"/>
          <w:sz w:val="28"/>
          <w:szCs w:val="28"/>
          <w:lang w:val="es-ES"/>
        </w:rPr>
        <w:t xml:space="preserve">, como </w:t>
      </w:r>
      <w:r w:rsidRPr="00152C0F">
        <w:rPr>
          <w:rFonts w:ascii="Times New Roman" w:hAnsi="Times New Roman" w:cs="Times New Roman"/>
          <w:sz w:val="28"/>
          <w:szCs w:val="28"/>
          <w:lang w:val="es-ES"/>
        </w:rPr>
        <w:t xml:space="preserve">las </w:t>
      </w:r>
      <w:r w:rsidRPr="00152C0F">
        <w:rPr>
          <w:rFonts w:ascii="Times New Roman" w:hAnsi="Times New Roman" w:cs="Times New Roman"/>
          <w:sz w:val="28"/>
          <w:szCs w:val="28"/>
          <w:lang w:val="es-ES"/>
        </w:rPr>
        <w:t>que contienen las disposiciones demandadas,</w:t>
      </w:r>
      <w:r w:rsidRPr="00152C0F">
        <w:rPr>
          <w:rFonts w:ascii="Times New Roman" w:hAnsi="Times New Roman" w:cs="Times New Roman"/>
          <w:sz w:val="28"/>
          <w:szCs w:val="28"/>
          <w:lang w:val="es-ES"/>
        </w:rPr>
        <w:t xml:space="preserve"> deben ser objeto de un proce</w:t>
      </w:r>
      <w:r w:rsidRPr="00152C0F">
        <w:rPr>
          <w:rFonts w:ascii="Times New Roman" w:hAnsi="Times New Roman" w:cs="Times New Roman"/>
          <w:sz w:val="28"/>
          <w:szCs w:val="28"/>
          <w:lang w:val="es-ES"/>
        </w:rPr>
        <w:t>dimiento</w:t>
      </w:r>
      <w:r w:rsidRPr="00152C0F">
        <w:rPr>
          <w:rFonts w:ascii="Times New Roman" w:hAnsi="Times New Roman" w:cs="Times New Roman"/>
          <w:sz w:val="28"/>
          <w:szCs w:val="28"/>
          <w:lang w:val="es-ES"/>
        </w:rPr>
        <w:t xml:space="preserve"> legislativo que garantice la </w:t>
      </w:r>
      <w:r w:rsidRPr="00152C0F">
        <w:rPr>
          <w:rFonts w:ascii="Times New Roman" w:hAnsi="Times New Roman" w:cs="Times New Roman"/>
          <w:sz w:val="28"/>
          <w:szCs w:val="28"/>
          <w:lang w:val="es-ES"/>
        </w:rPr>
        <w:t>deliberación</w:t>
      </w:r>
      <w:r w:rsidRPr="00152C0F">
        <w:rPr>
          <w:rFonts w:ascii="Times New Roman" w:hAnsi="Times New Roman" w:cs="Times New Roman"/>
          <w:sz w:val="28"/>
          <w:szCs w:val="28"/>
          <w:lang w:val="es-ES"/>
        </w:rPr>
        <w:t xml:space="preserve"> y permita un análisis exhaustivo de las implicaciones de tales cambios.</w:t>
      </w:r>
    </w:p>
    <w:p w:rsidR="00822CCB" w:rsidRPr="00152C0F" w:rsidRDefault="00152C0F" w:rsidP="002D798F">
      <w:pPr>
        <w:rPr>
          <w:rFonts w:ascii="Times New Roman" w:hAnsi="Times New Roman" w:cs="Times New Roman"/>
          <w:sz w:val="28"/>
          <w:szCs w:val="28"/>
          <w:lang w:val="es-ES"/>
        </w:rPr>
      </w:pPr>
    </w:p>
    <w:p w:rsidR="005E72C2"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lang w:val="es-ES"/>
        </w:rPr>
        <w:t>En conse</w:t>
      </w:r>
      <w:r w:rsidRPr="00152C0F">
        <w:rPr>
          <w:rFonts w:ascii="Times New Roman" w:hAnsi="Times New Roman" w:cs="Times New Roman"/>
          <w:sz w:val="28"/>
          <w:szCs w:val="28"/>
          <w:lang w:val="es-ES"/>
        </w:rPr>
        <w:t>cuencia, para la Sala, e</w:t>
      </w:r>
      <w:r w:rsidRPr="00152C0F">
        <w:rPr>
          <w:rFonts w:ascii="Times New Roman" w:hAnsi="Times New Roman" w:cs="Times New Roman"/>
          <w:sz w:val="28"/>
          <w:szCs w:val="28"/>
          <w:lang w:val="es-ES"/>
        </w:rPr>
        <w:t>ste tipo de disposiciones</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 xml:space="preserve">son incompatibles con el principio constitucional de unidad de materia, </w:t>
      </w:r>
      <w:r w:rsidRPr="00152C0F">
        <w:rPr>
          <w:rFonts w:ascii="Times New Roman" w:hAnsi="Times New Roman" w:cs="Times New Roman"/>
          <w:sz w:val="28"/>
          <w:szCs w:val="28"/>
          <w:lang w:val="es-ES"/>
        </w:rPr>
        <w:t xml:space="preserve">ya que </w:t>
      </w:r>
      <w:r w:rsidRPr="00152C0F">
        <w:rPr>
          <w:rFonts w:ascii="Times New Roman" w:hAnsi="Times New Roman" w:cs="Times New Roman"/>
          <w:sz w:val="28"/>
          <w:szCs w:val="28"/>
          <w:lang w:val="es-ES"/>
        </w:rPr>
        <w:t xml:space="preserve">afectan </w:t>
      </w:r>
      <w:r w:rsidRPr="00152C0F">
        <w:rPr>
          <w:rFonts w:ascii="Times New Roman" w:hAnsi="Times New Roman" w:cs="Times New Roman"/>
          <w:sz w:val="28"/>
          <w:szCs w:val="28"/>
          <w:lang w:val="es-ES"/>
        </w:rPr>
        <w:t xml:space="preserve">de manera </w:t>
      </w:r>
      <w:r w:rsidRPr="00152C0F">
        <w:rPr>
          <w:rFonts w:ascii="Times New Roman" w:hAnsi="Times New Roman" w:cs="Times New Roman"/>
          <w:sz w:val="28"/>
          <w:szCs w:val="28"/>
          <w:lang w:val="es-ES"/>
        </w:rPr>
        <w:t xml:space="preserve">desproporcionada </w:t>
      </w:r>
      <w:r w:rsidRPr="00152C0F">
        <w:rPr>
          <w:rFonts w:ascii="Times New Roman" w:hAnsi="Times New Roman" w:cs="Times New Roman"/>
          <w:sz w:val="28"/>
          <w:szCs w:val="28"/>
          <w:lang w:val="es-ES"/>
        </w:rPr>
        <w:t xml:space="preserve">los fines de </w:t>
      </w:r>
      <w:r w:rsidRPr="00152C0F">
        <w:rPr>
          <w:rFonts w:ascii="Times New Roman" w:hAnsi="Times New Roman" w:cs="Times New Roman"/>
          <w:sz w:val="28"/>
          <w:szCs w:val="28"/>
          <w:lang w:val="es-ES"/>
        </w:rPr>
        <w:t xml:space="preserve">coherencia del ordenamiento jurídico y </w:t>
      </w:r>
      <w:r w:rsidRPr="00152C0F">
        <w:rPr>
          <w:rFonts w:ascii="Times New Roman" w:hAnsi="Times New Roman" w:cs="Times New Roman"/>
          <w:sz w:val="28"/>
          <w:szCs w:val="28"/>
          <w:lang w:val="es-ES"/>
        </w:rPr>
        <w:t xml:space="preserve">de </w:t>
      </w:r>
      <w:r w:rsidRPr="00152C0F">
        <w:rPr>
          <w:rFonts w:ascii="Times New Roman" w:hAnsi="Times New Roman" w:cs="Times New Roman"/>
          <w:sz w:val="28"/>
          <w:szCs w:val="28"/>
          <w:lang w:val="es-ES"/>
        </w:rPr>
        <w:t>respet</w:t>
      </w:r>
      <w:r w:rsidRPr="00152C0F">
        <w:rPr>
          <w:rFonts w:ascii="Times New Roman" w:hAnsi="Times New Roman" w:cs="Times New Roman"/>
          <w:sz w:val="28"/>
          <w:szCs w:val="28"/>
          <w:lang w:val="es-ES"/>
        </w:rPr>
        <w:t>o</w:t>
      </w:r>
      <w:r w:rsidRPr="00152C0F">
        <w:rPr>
          <w:rFonts w:ascii="Times New Roman" w:hAnsi="Times New Roman" w:cs="Times New Roman"/>
          <w:sz w:val="28"/>
          <w:szCs w:val="28"/>
          <w:lang w:val="es-ES"/>
        </w:rPr>
        <w:t xml:space="preserve"> </w:t>
      </w:r>
      <w:r w:rsidRPr="00152C0F">
        <w:rPr>
          <w:rFonts w:ascii="Times New Roman" w:hAnsi="Times New Roman" w:cs="Times New Roman"/>
          <w:sz w:val="28"/>
          <w:szCs w:val="28"/>
          <w:lang w:val="es-ES"/>
        </w:rPr>
        <w:t>d</w:t>
      </w:r>
      <w:r w:rsidRPr="00152C0F">
        <w:rPr>
          <w:rFonts w:ascii="Times New Roman" w:hAnsi="Times New Roman" w:cs="Times New Roman"/>
          <w:sz w:val="28"/>
          <w:szCs w:val="28"/>
          <w:lang w:val="es-ES"/>
        </w:rPr>
        <w:t xml:space="preserve">el proceso legislativo democrático, fines últimos que persigue </w:t>
      </w:r>
      <w:r w:rsidRPr="00152C0F">
        <w:rPr>
          <w:rFonts w:ascii="Times New Roman" w:hAnsi="Times New Roman" w:cs="Times New Roman"/>
          <w:sz w:val="28"/>
          <w:szCs w:val="28"/>
          <w:lang w:val="es-ES"/>
        </w:rPr>
        <w:t xml:space="preserve">este </w:t>
      </w:r>
      <w:r w:rsidRPr="00152C0F">
        <w:rPr>
          <w:rFonts w:ascii="Times New Roman" w:hAnsi="Times New Roman" w:cs="Times New Roman"/>
          <w:sz w:val="28"/>
          <w:szCs w:val="28"/>
          <w:lang w:val="es-ES"/>
        </w:rPr>
        <w:t xml:space="preserve">principio constitucional, como parámetro de control de las leyes, y, en especial, </w:t>
      </w:r>
      <w:r w:rsidRPr="00152C0F">
        <w:rPr>
          <w:rFonts w:ascii="Times New Roman" w:hAnsi="Times New Roman" w:cs="Times New Roman"/>
          <w:sz w:val="28"/>
          <w:szCs w:val="28"/>
          <w:lang w:val="es-ES"/>
        </w:rPr>
        <w:t>respecto de las leyes aprobatorias del pla</w:t>
      </w:r>
      <w:r w:rsidRPr="00152C0F">
        <w:rPr>
          <w:rFonts w:ascii="Times New Roman" w:hAnsi="Times New Roman" w:cs="Times New Roman"/>
          <w:sz w:val="28"/>
          <w:szCs w:val="28"/>
          <w:lang w:val="es-ES"/>
        </w:rPr>
        <w:t>n nacional de desarrollo</w:t>
      </w:r>
      <w:r w:rsidRPr="00152C0F">
        <w:rPr>
          <w:rFonts w:ascii="Times New Roman" w:hAnsi="Times New Roman" w:cs="Times New Roman"/>
          <w:sz w:val="28"/>
          <w:szCs w:val="28"/>
          <w:lang w:val="es-ES"/>
        </w:rPr>
        <w:t xml:space="preserve">. Como bien se advirtió </w:t>
      </w:r>
      <w:r w:rsidRPr="00152C0F">
        <w:rPr>
          <w:rFonts w:ascii="Times New Roman" w:hAnsi="Times New Roman" w:cs="Times New Roman"/>
          <w:sz w:val="28"/>
          <w:szCs w:val="28"/>
          <w:lang w:val="es-ES"/>
        </w:rPr>
        <w:t xml:space="preserve">en la sentencia que condensó esta postura jurisprudencial </w:t>
      </w:r>
      <w:r w:rsidRPr="00152C0F">
        <w:rPr>
          <w:rFonts w:ascii="Times New Roman" w:hAnsi="Times New Roman" w:cs="Times New Roman"/>
          <w:i/>
          <w:iCs/>
          <w:sz w:val="28"/>
          <w:szCs w:val="28"/>
          <w:lang w:val="es-ES"/>
        </w:rPr>
        <w:t>estricta</w:t>
      </w:r>
      <w:r w:rsidRPr="00152C0F">
        <w:rPr>
          <w:rFonts w:ascii="Times New Roman" w:hAnsi="Times New Roman" w:cs="Times New Roman"/>
          <w:sz w:val="28"/>
          <w:szCs w:val="28"/>
          <w:lang w:val="es-ES"/>
        </w:rPr>
        <w:t xml:space="preserve"> para el control de constitucionalidad de las disposiciones de la</w:t>
      </w:r>
      <w:r w:rsidRPr="00152C0F">
        <w:rPr>
          <w:rFonts w:ascii="Times New Roman" w:hAnsi="Times New Roman" w:cs="Times New Roman"/>
          <w:sz w:val="28"/>
          <w:szCs w:val="28"/>
          <w:lang w:val="es-ES"/>
        </w:rPr>
        <w:t>s leyes del plan nacional de desarrollo</w:t>
      </w:r>
      <w:r w:rsidRPr="00152C0F">
        <w:rPr>
          <w:rFonts w:ascii="Times New Roman" w:hAnsi="Times New Roman" w:cs="Times New Roman"/>
          <w:sz w:val="28"/>
          <w:szCs w:val="28"/>
          <w:lang w:val="es-ES"/>
        </w:rPr>
        <w:t>, “</w:t>
      </w:r>
      <w:r w:rsidRPr="00152C0F">
        <w:rPr>
          <w:rFonts w:ascii="Times New Roman" w:hAnsi="Times New Roman" w:cs="Times New Roman"/>
          <w:b/>
          <w:bCs/>
          <w:sz w:val="28"/>
          <w:szCs w:val="28"/>
        </w:rPr>
        <w:t>La pretensión de instaurar política</w:t>
      </w:r>
      <w:r w:rsidRPr="00152C0F">
        <w:rPr>
          <w:rFonts w:ascii="Times New Roman" w:hAnsi="Times New Roman" w:cs="Times New Roman"/>
          <w:b/>
          <w:bCs/>
          <w:sz w:val="28"/>
          <w:szCs w:val="28"/>
        </w:rPr>
        <w:t>s de largo aliento (ordinarias) exige acudir a la agenda legislativa del Gobierno</w:t>
      </w:r>
      <w:r w:rsidRPr="00152C0F">
        <w:rPr>
          <w:rFonts w:ascii="Times New Roman" w:hAnsi="Times New Roman" w:cs="Times New Roman"/>
          <w:sz w:val="28"/>
          <w:szCs w:val="28"/>
        </w:rPr>
        <w:t> y su consiguiente propuesta e impulso ante el Congreso de la República, en garantía del principio democrático” (</w:t>
      </w:r>
      <w:r w:rsidRPr="00152C0F">
        <w:rPr>
          <w:rFonts w:ascii="Times New Roman" w:hAnsi="Times New Roman" w:cs="Times New Roman"/>
          <w:sz w:val="28"/>
          <w:szCs w:val="28"/>
        </w:rPr>
        <w:t xml:space="preserve">Sentencia C-415 de 2020, </w:t>
      </w:r>
      <w:r w:rsidRPr="00152C0F">
        <w:rPr>
          <w:rFonts w:ascii="Times New Roman" w:hAnsi="Times New Roman" w:cs="Times New Roman"/>
          <w:sz w:val="28"/>
          <w:szCs w:val="28"/>
        </w:rPr>
        <w:t>negrilla del original)</w:t>
      </w:r>
      <w:r w:rsidRPr="00152C0F">
        <w:rPr>
          <w:rFonts w:ascii="Times New Roman" w:hAnsi="Times New Roman" w:cs="Times New Roman"/>
          <w:sz w:val="28"/>
          <w:szCs w:val="28"/>
          <w:lang w:val="es-ES"/>
        </w:rPr>
        <w:t>.</w:t>
      </w:r>
    </w:p>
    <w:p w:rsidR="000F32A2" w:rsidRPr="00152C0F" w:rsidRDefault="00152C0F" w:rsidP="000F32A2">
      <w:pPr>
        <w:pStyle w:val="Prrafodelista"/>
        <w:rPr>
          <w:rFonts w:ascii="Times New Roman" w:hAnsi="Times New Roman" w:cs="Times New Roman"/>
          <w:sz w:val="28"/>
          <w:szCs w:val="28"/>
        </w:rPr>
      </w:pPr>
    </w:p>
    <w:p w:rsidR="000F32A2"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El conjunto de razones expuestas en el presente título 7 </w:t>
      </w:r>
      <w:r w:rsidRPr="00152C0F">
        <w:rPr>
          <w:rFonts w:ascii="Times New Roman" w:hAnsi="Times New Roman" w:cs="Times New Roman"/>
          <w:sz w:val="28"/>
          <w:szCs w:val="28"/>
        </w:rPr>
        <w:t>conducen a</w:t>
      </w:r>
      <w:r w:rsidRPr="00152C0F">
        <w:rPr>
          <w:rFonts w:ascii="Times New Roman" w:hAnsi="Times New Roman" w:cs="Times New Roman"/>
          <w:sz w:val="28"/>
          <w:szCs w:val="28"/>
        </w:rPr>
        <w:t xml:space="preserve"> la declaratoria de inexequibilidad de los artículos 211 y 212 de la Ley 2294 de 2023, al desconocer las exigencias normativas </w:t>
      </w:r>
      <w:r w:rsidRPr="00152C0F">
        <w:rPr>
          <w:rFonts w:ascii="Times New Roman" w:hAnsi="Times New Roman" w:cs="Times New Roman"/>
          <w:sz w:val="28"/>
          <w:szCs w:val="28"/>
        </w:rPr>
        <w:t>que se adscriben a</w:t>
      </w:r>
      <w:r w:rsidRPr="00152C0F">
        <w:rPr>
          <w:rFonts w:ascii="Times New Roman" w:hAnsi="Times New Roman" w:cs="Times New Roman"/>
          <w:sz w:val="28"/>
          <w:szCs w:val="28"/>
        </w:rPr>
        <w:t>l principio constitucional de unidad de mate</w:t>
      </w:r>
      <w:r w:rsidRPr="00152C0F">
        <w:rPr>
          <w:rFonts w:ascii="Times New Roman" w:hAnsi="Times New Roman" w:cs="Times New Roman"/>
          <w:sz w:val="28"/>
          <w:szCs w:val="28"/>
        </w:rPr>
        <w:t>ria</w:t>
      </w:r>
      <w:r w:rsidRPr="00152C0F">
        <w:rPr>
          <w:rFonts w:ascii="Times New Roman" w:hAnsi="Times New Roman" w:cs="Times New Roman"/>
          <w:sz w:val="28"/>
          <w:szCs w:val="28"/>
        </w:rPr>
        <w:t xml:space="preserve"> que se deriva de</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los artículos 158 y 169 de la Constitución</w:t>
      </w:r>
      <w:r w:rsidRPr="00152C0F">
        <w:rPr>
          <w:rFonts w:ascii="Times New Roman" w:hAnsi="Times New Roman" w:cs="Times New Roman"/>
          <w:sz w:val="28"/>
          <w:szCs w:val="28"/>
        </w:rPr>
        <w:t xml:space="preserve">. En todo caso, en atención a la competencia de la Corte para </w:t>
      </w:r>
      <w:r w:rsidRPr="00152C0F">
        <w:rPr>
          <w:rFonts w:ascii="Times New Roman" w:hAnsi="Times New Roman" w:cs="Times New Roman"/>
          <w:sz w:val="28"/>
          <w:szCs w:val="28"/>
          <w:shd w:val="clear" w:color="auto" w:fill="FFFFFF"/>
        </w:rPr>
        <w:t>determinar los efectos en el tiempo de sus sentencias</w:t>
      </w:r>
      <w:r w:rsidRPr="00152C0F">
        <w:rPr>
          <w:rFonts w:ascii="Times New Roman" w:hAnsi="Times New Roman" w:cs="Times New Roman"/>
          <w:sz w:val="28"/>
          <w:szCs w:val="28"/>
          <w:shd w:val="clear" w:color="auto" w:fill="FFFFFF"/>
        </w:rPr>
        <w:t>, diferirá los efectos de la declaratoria de inexequibilidad, como seguidament</w:t>
      </w:r>
      <w:r w:rsidRPr="00152C0F">
        <w:rPr>
          <w:rFonts w:ascii="Times New Roman" w:hAnsi="Times New Roman" w:cs="Times New Roman"/>
          <w:sz w:val="28"/>
          <w:szCs w:val="28"/>
          <w:shd w:val="clear" w:color="auto" w:fill="FFFFFF"/>
        </w:rPr>
        <w:t>e se explica</w:t>
      </w:r>
      <w:r w:rsidRPr="00152C0F">
        <w:rPr>
          <w:rFonts w:ascii="Times New Roman" w:hAnsi="Times New Roman" w:cs="Times New Roman"/>
          <w:sz w:val="28"/>
          <w:szCs w:val="28"/>
        </w:rPr>
        <w:t>.</w:t>
      </w:r>
    </w:p>
    <w:p w:rsidR="005E72C2" w:rsidRPr="00152C0F" w:rsidRDefault="00152C0F" w:rsidP="005E72C2">
      <w:pPr>
        <w:pStyle w:val="Prrafodelista"/>
        <w:ind w:left="0"/>
        <w:jc w:val="both"/>
        <w:rPr>
          <w:rFonts w:ascii="Times New Roman" w:hAnsi="Times New Roman" w:cs="Times New Roman"/>
          <w:sz w:val="28"/>
          <w:szCs w:val="28"/>
        </w:rPr>
      </w:pPr>
    </w:p>
    <w:p w:rsidR="00B454B6" w:rsidRPr="00152C0F" w:rsidRDefault="00152C0F" w:rsidP="00A17EA0">
      <w:pPr>
        <w:pStyle w:val="Estilo1"/>
        <w:numPr>
          <w:ilvl w:val="0"/>
          <w:numId w:val="4"/>
        </w:numPr>
        <w:ind w:left="0" w:firstLine="0"/>
        <w:outlineLvl w:val="0"/>
        <w:rPr>
          <w:rStyle w:val="Ttulo1Car"/>
          <w:rFonts w:ascii="Times New Roman" w:hAnsi="Times New Roman" w:cs="Times New Roman"/>
          <w:bCs/>
          <w:color w:val="auto"/>
          <w:sz w:val="28"/>
          <w:szCs w:val="28"/>
        </w:rPr>
      </w:pPr>
      <w:r w:rsidRPr="00152C0F">
        <w:rPr>
          <w:rStyle w:val="Ttulo1Car"/>
          <w:rFonts w:ascii="Times New Roman" w:hAnsi="Times New Roman" w:cs="Times New Roman"/>
          <w:bCs/>
          <w:color w:val="auto"/>
          <w:sz w:val="28"/>
          <w:szCs w:val="28"/>
        </w:rPr>
        <w:t>L</w:t>
      </w:r>
      <w:r w:rsidRPr="00152C0F">
        <w:rPr>
          <w:rStyle w:val="Ttulo1Car"/>
          <w:rFonts w:ascii="Times New Roman" w:hAnsi="Times New Roman" w:cs="Times New Roman"/>
          <w:bCs/>
          <w:color w:val="auto"/>
          <w:sz w:val="28"/>
          <w:szCs w:val="28"/>
        </w:rPr>
        <w:t>a Corte diferirá los efectos de la declaratoria de inexequibilidad</w:t>
      </w:r>
    </w:p>
    <w:p w:rsidR="00B454B6" w:rsidRPr="00152C0F" w:rsidRDefault="00152C0F" w:rsidP="00B454B6">
      <w:pPr>
        <w:shd w:val="clear" w:color="auto" w:fill="FFFFFF"/>
        <w:ind w:right="51"/>
        <w:jc w:val="both"/>
        <w:rPr>
          <w:rFonts w:ascii="Times New Roman" w:hAnsi="Times New Roman" w:cs="Times New Roman"/>
          <w:sz w:val="28"/>
          <w:szCs w:val="28"/>
        </w:rPr>
      </w:pPr>
    </w:p>
    <w:p w:rsidR="00AF21DE"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shd w:val="clear" w:color="auto" w:fill="FFFFFF"/>
        </w:rPr>
        <w:t xml:space="preserve">El artículo 45 de la Ley 270 de 1996 </w:t>
      </w:r>
      <w:r w:rsidRPr="00152C0F">
        <w:rPr>
          <w:rFonts w:ascii="Times New Roman" w:hAnsi="Times New Roman" w:cs="Times New Roman"/>
          <w:sz w:val="28"/>
          <w:szCs w:val="28"/>
          <w:shd w:val="clear" w:color="auto" w:fill="FFFFFF"/>
        </w:rPr>
        <w:t xml:space="preserve">permite </w:t>
      </w:r>
      <w:r w:rsidRPr="00152C0F">
        <w:rPr>
          <w:rFonts w:ascii="Times New Roman" w:hAnsi="Times New Roman" w:cs="Times New Roman"/>
          <w:sz w:val="28"/>
          <w:szCs w:val="28"/>
          <w:shd w:val="clear" w:color="auto" w:fill="FFFFFF"/>
        </w:rPr>
        <w:t>a la Corte Constitucional determinar los efectos en el tiempo de sus sentencias de constitucionalidad</w:t>
      </w:r>
      <w:r w:rsidRPr="00152C0F">
        <w:rPr>
          <w:rStyle w:val="Refdenotaalpie"/>
          <w:rFonts w:ascii="Times New Roman" w:hAnsi="Times New Roman" w:cs="Times New Roman"/>
          <w:sz w:val="28"/>
          <w:szCs w:val="28"/>
          <w:shd w:val="clear" w:color="auto" w:fill="FFFFFF"/>
        </w:rPr>
        <w:footnoteReference w:id="112"/>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Como lo ha resaltado de</w:t>
      </w:r>
      <w:r w:rsidRPr="00152C0F">
        <w:rPr>
          <w:rFonts w:ascii="Times New Roman" w:hAnsi="Times New Roman" w:cs="Times New Roman"/>
          <w:sz w:val="28"/>
          <w:szCs w:val="28"/>
          <w:shd w:val="clear" w:color="auto" w:fill="FFFFFF"/>
        </w:rPr>
        <w:t xml:space="preserve"> manera reciente la Sala, “los efectos de una sentencia de inexequibilidad resultan de un ejercicio de ponderación”</w:t>
      </w:r>
      <w:r w:rsidRPr="00152C0F">
        <w:rPr>
          <w:rStyle w:val="Refdenotaalpie"/>
          <w:rFonts w:ascii="Times New Roman" w:hAnsi="Times New Roman" w:cs="Times New Roman"/>
          <w:sz w:val="28"/>
          <w:szCs w:val="28"/>
          <w:shd w:val="clear" w:color="auto" w:fill="FFFFFF"/>
        </w:rPr>
        <w:footnoteReference w:id="113"/>
      </w:r>
      <w:r w:rsidRPr="00152C0F">
        <w:rPr>
          <w:rFonts w:ascii="Times New Roman" w:hAnsi="Times New Roman" w:cs="Times New Roman"/>
          <w:sz w:val="28"/>
          <w:szCs w:val="28"/>
          <w:shd w:val="clear" w:color="auto" w:fill="FFFFFF"/>
        </w:rPr>
        <w:t>.</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 xml:space="preserve">Por regla general, para garantizar la seguridad jurídica y la buena fe de las personas, las decisiones de la Corte tienen efectos </w:t>
      </w:r>
      <w:r w:rsidRPr="00152C0F">
        <w:rPr>
          <w:rFonts w:ascii="Times New Roman" w:hAnsi="Times New Roman" w:cs="Times New Roman"/>
          <w:sz w:val="28"/>
          <w:szCs w:val="28"/>
          <w:shd w:val="clear" w:color="auto" w:fill="FFFFFF"/>
        </w:rPr>
        <w:t xml:space="preserve">inmediatos, </w:t>
      </w:r>
      <w:r w:rsidRPr="00152C0F">
        <w:rPr>
          <w:rFonts w:ascii="Times New Roman" w:hAnsi="Times New Roman" w:cs="Times New Roman"/>
          <w:sz w:val="28"/>
          <w:szCs w:val="28"/>
          <w:shd w:val="clear" w:color="auto" w:fill="FFFFFF"/>
        </w:rPr>
        <w:t>hacia el futuro (</w:t>
      </w:r>
      <w:r w:rsidRPr="00152C0F">
        <w:rPr>
          <w:rFonts w:ascii="Times New Roman" w:hAnsi="Times New Roman" w:cs="Times New Roman"/>
          <w:i/>
          <w:iCs/>
          <w:sz w:val="28"/>
          <w:szCs w:val="28"/>
          <w:shd w:val="clear" w:color="auto" w:fill="FFFFFF"/>
        </w:rPr>
        <w:t>ex nunc</w:t>
      </w:r>
      <w:r w:rsidRPr="00152C0F">
        <w:rPr>
          <w:rFonts w:ascii="Times New Roman" w:hAnsi="Times New Roman" w:cs="Times New Roman"/>
          <w:sz w:val="28"/>
          <w:szCs w:val="28"/>
          <w:shd w:val="clear" w:color="auto" w:fill="FFFFFF"/>
        </w:rPr>
        <w:t xml:space="preserve">). De manera excepcional, cuando </w:t>
      </w:r>
      <w:r w:rsidRPr="00152C0F">
        <w:rPr>
          <w:rFonts w:ascii="Times New Roman" w:hAnsi="Times New Roman" w:cs="Times New Roman"/>
          <w:sz w:val="28"/>
          <w:szCs w:val="28"/>
        </w:rPr>
        <w:t>no retrotraer los efectos de la declaratoria pueda significar que la inconstitucionalidad que se evidenció perdure en el tiempo, con un claro desconocimiento del principio de supremacía c</w:t>
      </w:r>
      <w:r w:rsidRPr="00152C0F">
        <w:rPr>
          <w:rFonts w:ascii="Times New Roman" w:hAnsi="Times New Roman" w:cs="Times New Roman"/>
          <w:sz w:val="28"/>
          <w:szCs w:val="28"/>
        </w:rPr>
        <w:t xml:space="preserve">onstitucional (artículo 4 de la </w:t>
      </w:r>
      <w:r w:rsidRPr="00152C0F">
        <w:rPr>
          <w:rFonts w:ascii="Times New Roman" w:hAnsi="Times New Roman" w:cs="Times New Roman"/>
          <w:sz w:val="28"/>
          <w:szCs w:val="28"/>
        </w:rPr>
        <w:t>Constitución</w:t>
      </w:r>
      <w:r w:rsidRPr="00152C0F">
        <w:rPr>
          <w:rFonts w:ascii="Times New Roman" w:hAnsi="Times New Roman" w:cs="Times New Roman"/>
          <w:sz w:val="28"/>
          <w:szCs w:val="28"/>
        </w:rPr>
        <w:t xml:space="preserve">), </w:t>
      </w:r>
      <w:r w:rsidRPr="00152C0F">
        <w:rPr>
          <w:rFonts w:ascii="Times New Roman" w:hAnsi="Times New Roman" w:cs="Times New Roman"/>
          <w:sz w:val="28"/>
          <w:szCs w:val="28"/>
          <w:shd w:val="clear" w:color="auto" w:fill="FFFFFF"/>
        </w:rPr>
        <w:t xml:space="preserve">la </w:t>
      </w:r>
      <w:r w:rsidRPr="00152C0F">
        <w:rPr>
          <w:rFonts w:ascii="Times New Roman" w:hAnsi="Times New Roman" w:cs="Times New Roman"/>
          <w:sz w:val="28"/>
          <w:szCs w:val="28"/>
          <w:shd w:val="clear" w:color="auto" w:fill="FFFFFF"/>
        </w:rPr>
        <w:t xml:space="preserve">Corte </w:t>
      </w:r>
      <w:r w:rsidRPr="00152C0F">
        <w:rPr>
          <w:rFonts w:ascii="Times New Roman" w:hAnsi="Times New Roman" w:cs="Times New Roman"/>
          <w:sz w:val="28"/>
          <w:szCs w:val="28"/>
          <w:shd w:val="clear" w:color="auto" w:fill="FFFFFF"/>
        </w:rPr>
        <w:t>puede otorgar efectos hacia el pasado (</w:t>
      </w:r>
      <w:r w:rsidRPr="00152C0F">
        <w:rPr>
          <w:rFonts w:ascii="Times New Roman" w:hAnsi="Times New Roman" w:cs="Times New Roman"/>
          <w:i/>
          <w:iCs/>
          <w:sz w:val="28"/>
          <w:szCs w:val="28"/>
          <w:shd w:val="clear" w:color="auto" w:fill="FFFFFF"/>
        </w:rPr>
        <w:t>ex tunc</w:t>
      </w:r>
      <w:r w:rsidRPr="00152C0F">
        <w:rPr>
          <w:rFonts w:ascii="Times New Roman" w:hAnsi="Times New Roman" w:cs="Times New Roman"/>
          <w:sz w:val="28"/>
          <w:szCs w:val="28"/>
          <w:shd w:val="clear" w:color="auto" w:fill="FFFFFF"/>
        </w:rPr>
        <w:t>) a sus decisiones</w:t>
      </w:r>
      <w:r w:rsidRPr="00152C0F">
        <w:rPr>
          <w:rStyle w:val="Refdenotaalpie"/>
          <w:rFonts w:ascii="Times New Roman" w:hAnsi="Times New Roman" w:cs="Times New Roman"/>
          <w:sz w:val="28"/>
          <w:szCs w:val="28"/>
          <w:shd w:val="clear" w:color="auto" w:fill="FFFFFF"/>
        </w:rPr>
        <w:footnoteReference w:id="114"/>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 xml:space="preserve">Finalmente, </w:t>
      </w:r>
      <w:r w:rsidRPr="00152C0F">
        <w:rPr>
          <w:rFonts w:ascii="Times New Roman" w:hAnsi="Times New Roman" w:cs="Times New Roman"/>
          <w:sz w:val="28"/>
          <w:szCs w:val="28"/>
          <w:shd w:val="clear" w:color="auto" w:fill="FFFFFF"/>
        </w:rPr>
        <w:t xml:space="preserve">puede diferir los efectos </w:t>
      </w:r>
      <w:r w:rsidRPr="00152C0F">
        <w:rPr>
          <w:rFonts w:ascii="Times New Roman" w:hAnsi="Times New Roman" w:cs="Times New Roman"/>
          <w:sz w:val="28"/>
          <w:szCs w:val="28"/>
          <w:shd w:val="clear" w:color="auto" w:fill="FFFFFF"/>
        </w:rPr>
        <w:t xml:space="preserve">de la declaratoria de inexequibilidad a un momento futuro </w:t>
      </w:r>
      <w:r w:rsidRPr="00152C0F">
        <w:rPr>
          <w:rFonts w:ascii="Times New Roman" w:hAnsi="Times New Roman" w:cs="Times New Roman"/>
          <w:sz w:val="28"/>
          <w:szCs w:val="28"/>
          <w:shd w:val="clear" w:color="auto" w:fill="FFFFFF"/>
        </w:rPr>
        <w:t>(</w:t>
      </w:r>
      <w:r w:rsidRPr="00152C0F">
        <w:rPr>
          <w:rFonts w:ascii="Times New Roman" w:hAnsi="Times New Roman" w:cs="Times New Roman"/>
          <w:i/>
          <w:iCs/>
          <w:sz w:val="28"/>
          <w:szCs w:val="28"/>
          <w:shd w:val="clear" w:color="auto" w:fill="FFFFFF"/>
        </w:rPr>
        <w:t>ex nunc pro tunc</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lang w:val="es-ES_tradnl"/>
        </w:rPr>
        <w:t xml:space="preserve">para </w:t>
      </w:r>
      <w:r w:rsidRPr="00152C0F">
        <w:rPr>
          <w:rFonts w:ascii="Times New Roman" w:hAnsi="Times New Roman" w:cs="Times New Roman"/>
          <w:sz w:val="28"/>
          <w:szCs w:val="28"/>
          <w:shd w:val="clear" w:color="auto" w:fill="FFFFFF"/>
        </w:rPr>
        <w:t xml:space="preserve">evitar que la expulsión automática de la norma del ordenamiento jurídico produzca un vacío normativo que afecte </w:t>
      </w:r>
      <w:r w:rsidRPr="00152C0F">
        <w:rPr>
          <w:rFonts w:ascii="Times New Roman" w:hAnsi="Times New Roman" w:cs="Times New Roman"/>
          <w:sz w:val="28"/>
          <w:szCs w:val="28"/>
          <w:shd w:val="clear" w:color="auto" w:fill="FFFFFF"/>
        </w:rPr>
        <w:t xml:space="preserve">de manera desproporcionada </w:t>
      </w:r>
      <w:r w:rsidRPr="00152C0F">
        <w:rPr>
          <w:rFonts w:ascii="Times New Roman" w:hAnsi="Times New Roman" w:cs="Times New Roman"/>
          <w:sz w:val="28"/>
          <w:szCs w:val="28"/>
          <w:shd w:val="clear" w:color="auto" w:fill="FFFFFF"/>
        </w:rPr>
        <w:t xml:space="preserve">otros </w:t>
      </w:r>
      <w:r w:rsidRPr="00152C0F">
        <w:rPr>
          <w:rFonts w:ascii="Times New Roman" w:hAnsi="Times New Roman" w:cs="Times New Roman"/>
          <w:sz w:val="28"/>
          <w:szCs w:val="28"/>
          <w:shd w:val="clear" w:color="auto" w:fill="FFFFFF"/>
        </w:rPr>
        <w:t>intereses constitucionalmente legítimos</w:t>
      </w:r>
      <w:r w:rsidRPr="00152C0F">
        <w:rPr>
          <w:rFonts w:ascii="Times New Roman" w:hAnsi="Times New Roman" w:cs="Times New Roman"/>
          <w:sz w:val="28"/>
          <w:szCs w:val="28"/>
          <w:shd w:val="clear" w:color="auto" w:fill="FFFFFF"/>
        </w:rPr>
        <w:t>,</w:t>
      </w:r>
      <w:r w:rsidRPr="00152C0F">
        <w:rPr>
          <w:rFonts w:ascii="Times New Roman" w:hAnsi="Times New Roman" w:cs="Times New Roman"/>
          <w:sz w:val="28"/>
          <w:szCs w:val="28"/>
          <w:shd w:val="clear" w:color="auto" w:fill="FFFFFF"/>
        </w:rPr>
        <w:t> y</w:t>
      </w:r>
      <w:r w:rsidRPr="00152C0F">
        <w:rPr>
          <w:rFonts w:ascii="Times New Roman" w:hAnsi="Times New Roman" w:cs="Times New Roman"/>
          <w:sz w:val="28"/>
          <w:szCs w:val="28"/>
          <w:shd w:val="clear" w:color="auto" w:fill="FFFFFF"/>
        </w:rPr>
        <w:t>a que</w:t>
      </w:r>
      <w:r w:rsidRPr="00152C0F">
        <w:rPr>
          <w:rFonts w:ascii="Times New Roman" w:hAnsi="Times New Roman" w:cs="Times New Roman"/>
          <w:sz w:val="28"/>
          <w:szCs w:val="28"/>
          <w:shd w:val="clear" w:color="auto" w:fill="FFFFFF"/>
        </w:rPr>
        <w:t> otorga “un plazo prudencial para que el Legislador corrija la i</w:t>
      </w:r>
      <w:r w:rsidRPr="00152C0F">
        <w:rPr>
          <w:rFonts w:ascii="Times New Roman" w:hAnsi="Times New Roman" w:cs="Times New Roman"/>
          <w:sz w:val="28"/>
          <w:szCs w:val="28"/>
          <w:shd w:val="clear" w:color="auto" w:fill="FFFFFF"/>
        </w:rPr>
        <w:t>nconstitucionalidad que ha sido constatada”</w:t>
      </w:r>
      <w:r w:rsidRPr="00152C0F">
        <w:rPr>
          <w:rStyle w:val="Refdenotaalpie"/>
          <w:rFonts w:ascii="Times New Roman" w:hAnsi="Times New Roman" w:cs="Times New Roman"/>
          <w:sz w:val="28"/>
          <w:szCs w:val="28"/>
          <w:shd w:val="clear" w:color="auto" w:fill="FFFFFF"/>
        </w:rPr>
        <w:footnoteReference w:id="115"/>
      </w:r>
      <w:r w:rsidRPr="00152C0F">
        <w:rPr>
          <w:rFonts w:ascii="Times New Roman" w:hAnsi="Times New Roman" w:cs="Times New Roman"/>
          <w:sz w:val="28"/>
          <w:szCs w:val="28"/>
          <w:shd w:val="clear" w:color="auto" w:fill="FFFFFF"/>
        </w:rPr>
        <w:t>.</w:t>
      </w:r>
    </w:p>
    <w:p w:rsidR="0087596F" w:rsidRPr="00152C0F" w:rsidRDefault="00152C0F" w:rsidP="0087596F">
      <w:pPr>
        <w:pStyle w:val="Prrafodelista"/>
        <w:ind w:left="0"/>
        <w:jc w:val="both"/>
        <w:rPr>
          <w:rFonts w:ascii="Times New Roman" w:hAnsi="Times New Roman" w:cs="Times New Roman"/>
          <w:sz w:val="28"/>
          <w:szCs w:val="28"/>
        </w:rPr>
      </w:pPr>
    </w:p>
    <w:p w:rsidR="00907972" w:rsidRPr="00152C0F" w:rsidRDefault="00152C0F" w:rsidP="00A17EA0">
      <w:pPr>
        <w:pStyle w:val="Prrafodelista"/>
        <w:numPr>
          <w:ilvl w:val="0"/>
          <w:numId w:val="2"/>
        </w:numPr>
        <w:ind w:left="0" w:firstLine="0"/>
        <w:jc w:val="both"/>
        <w:rPr>
          <w:rFonts w:ascii="Times New Roman" w:hAnsi="Times New Roman" w:cs="Times New Roman"/>
          <w:sz w:val="28"/>
          <w:szCs w:val="28"/>
          <w:shd w:val="clear" w:color="auto" w:fill="FFFFFF"/>
        </w:rPr>
      </w:pPr>
      <w:r w:rsidRPr="00152C0F">
        <w:rPr>
          <w:rFonts w:ascii="Times New Roman" w:hAnsi="Times New Roman" w:cs="Times New Roman"/>
          <w:sz w:val="28"/>
          <w:szCs w:val="28"/>
          <w:shd w:val="clear" w:color="auto" w:fill="FFFFFF"/>
        </w:rPr>
        <w:t xml:space="preserve">En cuanto a las disposiciones del plan nacional de desarrollo, esta última alternativa se </w:t>
      </w:r>
      <w:r w:rsidRPr="00152C0F">
        <w:rPr>
          <w:rFonts w:ascii="Times New Roman" w:hAnsi="Times New Roman" w:cs="Times New Roman"/>
          <w:sz w:val="28"/>
          <w:szCs w:val="28"/>
          <w:shd w:val="clear" w:color="auto" w:fill="FFFFFF"/>
        </w:rPr>
        <w:t xml:space="preserve">ha </w:t>
      </w:r>
      <w:r w:rsidRPr="00152C0F">
        <w:rPr>
          <w:rFonts w:ascii="Times New Roman" w:hAnsi="Times New Roman" w:cs="Times New Roman"/>
          <w:sz w:val="28"/>
          <w:szCs w:val="28"/>
          <w:shd w:val="clear" w:color="auto" w:fill="FFFFFF"/>
        </w:rPr>
        <w:t>utiliz</w:t>
      </w:r>
      <w:r w:rsidRPr="00152C0F">
        <w:rPr>
          <w:rFonts w:ascii="Times New Roman" w:hAnsi="Times New Roman" w:cs="Times New Roman"/>
          <w:sz w:val="28"/>
          <w:szCs w:val="28"/>
          <w:shd w:val="clear" w:color="auto" w:fill="FFFFFF"/>
        </w:rPr>
        <w:t>ado</w:t>
      </w:r>
      <w:r w:rsidRPr="00152C0F">
        <w:rPr>
          <w:rFonts w:ascii="Times New Roman" w:hAnsi="Times New Roman" w:cs="Times New Roman"/>
          <w:sz w:val="28"/>
          <w:szCs w:val="28"/>
          <w:shd w:val="clear" w:color="auto" w:fill="FFFFFF"/>
        </w:rPr>
        <w:t xml:space="preserve"> por la Sala en las sentencias C-219 de 2019 y C-068 de 2020</w:t>
      </w:r>
      <w:r w:rsidRPr="00152C0F">
        <w:rPr>
          <w:rFonts w:ascii="Times New Roman" w:hAnsi="Times New Roman" w:cs="Times New Roman"/>
          <w:sz w:val="28"/>
          <w:szCs w:val="28"/>
          <w:shd w:val="clear" w:color="auto" w:fill="FFFFFF"/>
        </w:rPr>
        <w:t xml:space="preserve">. Si bien, no se trata de casos análogos al </w:t>
      </w:r>
      <w:r w:rsidRPr="00152C0F">
        <w:rPr>
          <w:rFonts w:ascii="Times New Roman" w:hAnsi="Times New Roman" w:cs="Times New Roman"/>
          <w:sz w:val="28"/>
          <w:szCs w:val="28"/>
          <w:shd w:val="clear" w:color="auto" w:fill="FFFFFF"/>
        </w:rPr>
        <w:t>presente, evidencia</w:t>
      </w:r>
      <w:r w:rsidRPr="00152C0F">
        <w:rPr>
          <w:rFonts w:ascii="Times New Roman" w:hAnsi="Times New Roman" w:cs="Times New Roman"/>
          <w:sz w:val="28"/>
          <w:szCs w:val="28"/>
          <w:shd w:val="clear" w:color="auto" w:fill="FFFFFF"/>
        </w:rPr>
        <w:t>n</w:t>
      </w:r>
      <w:r w:rsidRPr="00152C0F">
        <w:rPr>
          <w:rFonts w:ascii="Times New Roman" w:hAnsi="Times New Roman" w:cs="Times New Roman"/>
          <w:sz w:val="28"/>
          <w:szCs w:val="28"/>
          <w:shd w:val="clear" w:color="auto" w:fill="FFFFFF"/>
        </w:rPr>
        <w:t xml:space="preserve"> que</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 xml:space="preserve">es posible otorgar efectos diferidos a </w:t>
      </w:r>
      <w:r w:rsidRPr="00152C0F">
        <w:rPr>
          <w:rFonts w:ascii="Times New Roman" w:hAnsi="Times New Roman" w:cs="Times New Roman"/>
          <w:sz w:val="28"/>
          <w:szCs w:val="28"/>
          <w:shd w:val="clear" w:color="auto" w:fill="FFFFFF"/>
        </w:rPr>
        <w:t>la</w:t>
      </w:r>
      <w:r w:rsidRPr="00152C0F">
        <w:rPr>
          <w:rFonts w:ascii="Times New Roman" w:hAnsi="Times New Roman" w:cs="Times New Roman"/>
          <w:sz w:val="28"/>
          <w:szCs w:val="28"/>
          <w:shd w:val="clear" w:color="auto" w:fill="FFFFFF"/>
        </w:rPr>
        <w:t xml:space="preserve">s decisiones de </w:t>
      </w:r>
      <w:r w:rsidRPr="00152C0F">
        <w:rPr>
          <w:rFonts w:ascii="Times New Roman" w:hAnsi="Times New Roman" w:cs="Times New Roman"/>
          <w:sz w:val="28"/>
          <w:szCs w:val="28"/>
          <w:shd w:val="clear" w:color="auto" w:fill="FFFFFF"/>
        </w:rPr>
        <w:t>inexequibilidad</w:t>
      </w:r>
      <w:r w:rsidRPr="00152C0F">
        <w:rPr>
          <w:rFonts w:ascii="Times New Roman" w:hAnsi="Times New Roman" w:cs="Times New Roman"/>
          <w:sz w:val="28"/>
          <w:szCs w:val="28"/>
          <w:shd w:val="clear" w:color="auto" w:fill="FFFFFF"/>
        </w:rPr>
        <w:t xml:space="preserve">, </w:t>
      </w:r>
      <w:r w:rsidRPr="00152C0F">
        <w:rPr>
          <w:rFonts w:ascii="Times New Roman" w:hAnsi="Times New Roman" w:cs="Times New Roman"/>
          <w:sz w:val="28"/>
          <w:szCs w:val="28"/>
          <w:shd w:val="clear" w:color="auto" w:fill="FFFFFF"/>
        </w:rPr>
        <w:t xml:space="preserve">cuando se valoran disposiciones del plan nacional de desarrollo </w:t>
      </w:r>
      <w:r w:rsidRPr="00152C0F">
        <w:rPr>
          <w:rFonts w:ascii="Times New Roman" w:hAnsi="Times New Roman" w:cs="Times New Roman"/>
          <w:sz w:val="28"/>
          <w:szCs w:val="28"/>
          <w:shd w:val="clear" w:color="auto" w:fill="FFFFFF"/>
        </w:rPr>
        <w:t xml:space="preserve">y </w:t>
      </w:r>
      <w:r w:rsidRPr="00152C0F">
        <w:rPr>
          <w:rFonts w:ascii="Times New Roman" w:hAnsi="Times New Roman" w:cs="Times New Roman"/>
          <w:sz w:val="28"/>
          <w:szCs w:val="28"/>
          <w:shd w:val="clear" w:color="auto" w:fill="FFFFFF"/>
        </w:rPr>
        <w:t xml:space="preserve">el parámetro de control </w:t>
      </w:r>
      <w:r w:rsidRPr="00152C0F">
        <w:rPr>
          <w:rFonts w:ascii="Times New Roman" w:hAnsi="Times New Roman" w:cs="Times New Roman"/>
          <w:sz w:val="28"/>
          <w:szCs w:val="28"/>
          <w:shd w:val="clear" w:color="auto" w:fill="FFFFFF"/>
        </w:rPr>
        <w:t xml:space="preserve">es el </w:t>
      </w:r>
      <w:r w:rsidRPr="00152C0F">
        <w:rPr>
          <w:rFonts w:ascii="Times New Roman" w:hAnsi="Times New Roman" w:cs="Times New Roman"/>
          <w:sz w:val="28"/>
          <w:szCs w:val="28"/>
          <w:shd w:val="clear" w:color="auto" w:fill="FFFFFF"/>
        </w:rPr>
        <w:t>principio constitucional de unidad de materia</w:t>
      </w:r>
      <w:r w:rsidRPr="00152C0F">
        <w:rPr>
          <w:rFonts w:ascii="Times New Roman" w:hAnsi="Times New Roman" w:cs="Times New Roman"/>
          <w:sz w:val="28"/>
          <w:szCs w:val="28"/>
          <w:shd w:val="clear" w:color="auto" w:fill="FFFFFF"/>
        </w:rPr>
        <w:t xml:space="preserve">. En la primera </w:t>
      </w:r>
      <w:r w:rsidRPr="00152C0F">
        <w:rPr>
          <w:rFonts w:ascii="Times New Roman" w:hAnsi="Times New Roman" w:cs="Times New Roman"/>
          <w:sz w:val="28"/>
          <w:szCs w:val="28"/>
          <w:shd w:val="clear" w:color="auto" w:fill="FFFFFF"/>
        </w:rPr>
        <w:t>justificó el diferimiento en que</w:t>
      </w:r>
      <w:r w:rsidRPr="00152C0F">
        <w:rPr>
          <w:rFonts w:ascii="Times New Roman" w:hAnsi="Times New Roman" w:cs="Times New Roman"/>
          <w:sz w:val="28"/>
          <w:szCs w:val="28"/>
          <w:shd w:val="clear" w:color="auto" w:fill="FFFFFF"/>
        </w:rPr>
        <w:t xml:space="preserve"> “su retiro inmediato del ordenamiento jurídico podría derivar en la afectación de derechos y principios constitucionales relacionados con la base de cotización de trabajadores independientes al Sistema Integral de Seguridad</w:t>
      </w:r>
      <w:r w:rsidRPr="00152C0F">
        <w:rPr>
          <w:rFonts w:ascii="Times New Roman" w:hAnsi="Times New Roman" w:cs="Times New Roman"/>
          <w:sz w:val="28"/>
          <w:szCs w:val="28"/>
          <w:shd w:val="clear" w:color="auto" w:fill="FFFFFF"/>
        </w:rPr>
        <w:t xml:space="preserve"> Social y, por otro, que aquella fue adoptada en un contexto en el que, al amparo del estándar jurisprudencial entonces imperante, sucesivas leyes habían incorporado mandatos con similar contenido”</w:t>
      </w:r>
      <w:r w:rsidRPr="00152C0F">
        <w:rPr>
          <w:rFonts w:ascii="Times New Roman" w:hAnsi="Times New Roman" w:cs="Times New Roman"/>
          <w:sz w:val="28"/>
          <w:szCs w:val="28"/>
          <w:shd w:val="clear" w:color="auto" w:fill="FFFFFF"/>
        </w:rPr>
        <w:t xml:space="preserve">. En este sentido, según se indicó, </w:t>
      </w:r>
      <w:r w:rsidRPr="00152C0F">
        <w:rPr>
          <w:rFonts w:ascii="Times New Roman" w:hAnsi="Times New Roman" w:cs="Times New Roman"/>
          <w:sz w:val="28"/>
          <w:szCs w:val="28"/>
          <w:shd w:val="clear" w:color="auto" w:fill="FFFFFF"/>
        </w:rPr>
        <w:t xml:space="preserve">al reiterar </w:t>
      </w:r>
      <w:r w:rsidRPr="00152C0F">
        <w:rPr>
          <w:rFonts w:ascii="Times New Roman" w:hAnsi="Times New Roman" w:cs="Times New Roman"/>
          <w:sz w:val="28"/>
          <w:szCs w:val="28"/>
          <w:shd w:val="clear" w:color="auto" w:fill="FFFFFF"/>
        </w:rPr>
        <w:t>la Sentenci</w:t>
      </w:r>
      <w:r w:rsidRPr="00152C0F">
        <w:rPr>
          <w:rFonts w:ascii="Times New Roman" w:hAnsi="Times New Roman" w:cs="Times New Roman"/>
          <w:sz w:val="28"/>
          <w:szCs w:val="28"/>
          <w:shd w:val="clear" w:color="auto" w:fill="FFFFFF"/>
        </w:rPr>
        <w:t xml:space="preserve">a </w:t>
      </w:r>
      <w:r w:rsidRPr="00152C0F">
        <w:rPr>
          <w:rFonts w:ascii="Times New Roman" w:hAnsi="Times New Roman" w:cs="Times New Roman"/>
          <w:sz w:val="28"/>
          <w:szCs w:val="28"/>
          <w:shd w:val="clear" w:color="auto" w:fill="FFFFFF"/>
        </w:rPr>
        <w:t>C-252 de 2010, tal decisión protege “la Constitución de la violación que se le ha infringido, pero sin afectar gravemente otros valores constitucionales que se encuentran en juego”</w:t>
      </w:r>
      <w:r w:rsidRPr="00152C0F">
        <w:rPr>
          <w:rFonts w:ascii="Times New Roman" w:hAnsi="Times New Roman" w:cs="Times New Roman"/>
          <w:sz w:val="28"/>
          <w:szCs w:val="28"/>
          <w:shd w:val="clear" w:color="auto" w:fill="FFFFFF"/>
        </w:rPr>
        <w:t xml:space="preserve">. En la segunda, consideró </w:t>
      </w:r>
      <w:r w:rsidRPr="00152C0F">
        <w:rPr>
          <w:rFonts w:ascii="Times New Roman" w:hAnsi="Times New Roman" w:cs="Times New Roman"/>
          <w:sz w:val="28"/>
          <w:szCs w:val="28"/>
          <w:shd w:val="clear" w:color="auto" w:fill="FFFFFF"/>
        </w:rPr>
        <w:t xml:space="preserve">lo siguiente: “de declararse de manera </w:t>
      </w:r>
      <w:r w:rsidRPr="00152C0F">
        <w:rPr>
          <w:rFonts w:ascii="Times New Roman" w:hAnsi="Times New Roman" w:cs="Times New Roman"/>
          <w:sz w:val="28"/>
          <w:szCs w:val="28"/>
          <w:shd w:val="clear" w:color="auto" w:fill="FFFFFF"/>
        </w:rPr>
        <w:t>inmediata la inexequibilidad de la norma censurada, ello podría afectar derechos y principios constitucionales relacionados con la base de cotización de trabajadores independientes al Sistema Integral de Seguridad Social”</w:t>
      </w:r>
      <w:r w:rsidRPr="00152C0F">
        <w:rPr>
          <w:rFonts w:ascii="Times New Roman" w:hAnsi="Times New Roman" w:cs="Times New Roman"/>
          <w:sz w:val="28"/>
          <w:szCs w:val="28"/>
          <w:shd w:val="clear" w:color="auto" w:fill="FFFFFF"/>
        </w:rPr>
        <w:t>, razón por cual difirió “</w:t>
      </w:r>
      <w:r w:rsidRPr="00152C0F">
        <w:rPr>
          <w:rFonts w:ascii="Times New Roman" w:hAnsi="Times New Roman" w:cs="Times New Roman"/>
          <w:sz w:val="28"/>
          <w:szCs w:val="28"/>
          <w:shd w:val="clear" w:color="auto" w:fill="FFFFFF"/>
        </w:rPr>
        <w:t>los efect</w:t>
      </w:r>
      <w:r w:rsidRPr="00152C0F">
        <w:rPr>
          <w:rFonts w:ascii="Times New Roman" w:hAnsi="Times New Roman" w:cs="Times New Roman"/>
          <w:sz w:val="28"/>
          <w:szCs w:val="28"/>
          <w:shd w:val="clear" w:color="auto" w:fill="FFFFFF"/>
        </w:rPr>
        <w:t>os de la inexequibilidad de la decisión hasta por las dos próximas legislaturas, a fin de que se elabore por parte del legislador ordinario la regulación de la materia, a través de una ley ordinaria, con las garantías de los principios democráticos de la d</w:t>
      </w:r>
      <w:r w:rsidRPr="00152C0F">
        <w:rPr>
          <w:rFonts w:ascii="Times New Roman" w:hAnsi="Times New Roman" w:cs="Times New Roman"/>
          <w:sz w:val="28"/>
          <w:szCs w:val="28"/>
          <w:shd w:val="clear" w:color="auto" w:fill="FFFFFF"/>
        </w:rPr>
        <w:t>ebida transparencia y deliberación”.</w:t>
      </w:r>
    </w:p>
    <w:p w:rsidR="00AF21DE" w:rsidRPr="00152C0F" w:rsidRDefault="00152C0F" w:rsidP="00AF21DE">
      <w:pPr>
        <w:pStyle w:val="Prrafodelista"/>
        <w:ind w:left="0"/>
        <w:jc w:val="both"/>
        <w:rPr>
          <w:rFonts w:ascii="Times New Roman" w:hAnsi="Times New Roman" w:cs="Times New Roman"/>
          <w:sz w:val="28"/>
          <w:szCs w:val="28"/>
        </w:rPr>
      </w:pPr>
    </w:p>
    <w:p w:rsidR="006E75F8"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el presente asunto, la Procuradora General de la Nación, los ciudadanos y </w:t>
      </w:r>
      <w:r w:rsidRPr="00152C0F">
        <w:rPr>
          <w:rFonts w:ascii="Times New Roman" w:hAnsi="Times New Roman" w:cs="Times New Roman"/>
          <w:sz w:val="28"/>
          <w:szCs w:val="28"/>
        </w:rPr>
        <w:t xml:space="preserve">las </w:t>
      </w:r>
      <w:r w:rsidRPr="00152C0F">
        <w:rPr>
          <w:rFonts w:ascii="Times New Roman" w:hAnsi="Times New Roman" w:cs="Times New Roman"/>
          <w:sz w:val="28"/>
          <w:szCs w:val="28"/>
        </w:rPr>
        <w:t xml:space="preserve">entidades estatales que solicitaron la declaratoria de exequibilidad de las normas </w:t>
      </w:r>
      <w:r w:rsidRPr="00152C0F">
        <w:rPr>
          <w:rFonts w:ascii="Times New Roman" w:hAnsi="Times New Roman" w:cs="Times New Roman"/>
          <w:sz w:val="28"/>
          <w:szCs w:val="28"/>
        </w:rPr>
        <w:t xml:space="preserve">pusieron de presente </w:t>
      </w:r>
      <w:r w:rsidRPr="00152C0F">
        <w:rPr>
          <w:rFonts w:ascii="Times New Roman" w:hAnsi="Times New Roman" w:cs="Times New Roman"/>
          <w:sz w:val="28"/>
          <w:szCs w:val="28"/>
        </w:rPr>
        <w:t>la relevancia de los fines adscri</w:t>
      </w:r>
      <w:r w:rsidRPr="00152C0F">
        <w:rPr>
          <w:rFonts w:ascii="Times New Roman" w:hAnsi="Times New Roman" w:cs="Times New Roman"/>
          <w:sz w:val="28"/>
          <w:szCs w:val="28"/>
        </w:rPr>
        <w:t xml:space="preserve">tos </w:t>
      </w:r>
      <w:r w:rsidRPr="00152C0F">
        <w:rPr>
          <w:rFonts w:ascii="Times New Roman" w:hAnsi="Times New Roman" w:cs="Times New Roman"/>
          <w:sz w:val="28"/>
          <w:szCs w:val="28"/>
        </w:rPr>
        <w:t xml:space="preserve">a las disposiciones demandadas que, </w:t>
      </w:r>
      <w:r w:rsidRPr="00152C0F">
        <w:rPr>
          <w:rFonts w:ascii="Times New Roman" w:hAnsi="Times New Roman" w:cs="Times New Roman"/>
          <w:sz w:val="28"/>
          <w:szCs w:val="28"/>
        </w:rPr>
        <w:t xml:space="preserve">de manera correlativa, actúan como razones constitucionales para no otorgar un efecto inmediato a </w:t>
      </w:r>
      <w:r w:rsidRPr="00152C0F">
        <w:rPr>
          <w:rFonts w:ascii="Times New Roman" w:hAnsi="Times New Roman" w:cs="Times New Roman"/>
          <w:sz w:val="28"/>
          <w:szCs w:val="28"/>
        </w:rPr>
        <w:t xml:space="preserve">una </w:t>
      </w:r>
      <w:r w:rsidRPr="00152C0F">
        <w:rPr>
          <w:rFonts w:ascii="Times New Roman" w:hAnsi="Times New Roman" w:cs="Times New Roman"/>
          <w:sz w:val="28"/>
          <w:szCs w:val="28"/>
        </w:rPr>
        <w:t>declaratoria de inexequibilidad</w:t>
      </w:r>
      <w:r w:rsidRPr="00152C0F">
        <w:rPr>
          <w:rFonts w:ascii="Times New Roman" w:hAnsi="Times New Roman" w:cs="Times New Roman"/>
          <w:sz w:val="28"/>
          <w:szCs w:val="28"/>
        </w:rPr>
        <w:t>.</w:t>
      </w:r>
    </w:p>
    <w:p w:rsidR="006E75F8" w:rsidRPr="00152C0F" w:rsidRDefault="00152C0F" w:rsidP="006E75F8">
      <w:pPr>
        <w:pStyle w:val="Prrafodelista"/>
        <w:rPr>
          <w:rFonts w:ascii="Times New Roman" w:hAnsi="Times New Roman" w:cs="Times New Roman"/>
          <w:sz w:val="28"/>
          <w:szCs w:val="28"/>
        </w:rPr>
      </w:pPr>
    </w:p>
    <w:p w:rsidR="00DE7F50"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primer lugar, </w:t>
      </w:r>
      <w:r w:rsidRPr="00152C0F">
        <w:rPr>
          <w:rFonts w:ascii="Times New Roman" w:hAnsi="Times New Roman" w:cs="Times New Roman"/>
          <w:sz w:val="28"/>
          <w:szCs w:val="28"/>
        </w:rPr>
        <w:t xml:space="preserve">en relación con este posible efecto respecto del contenido de los </w:t>
      </w:r>
      <w:r w:rsidRPr="00152C0F">
        <w:rPr>
          <w:rFonts w:ascii="Times New Roman" w:hAnsi="Times New Roman" w:cs="Times New Roman"/>
          <w:sz w:val="28"/>
          <w:szCs w:val="28"/>
        </w:rPr>
        <w:t>artículo</w:t>
      </w:r>
      <w:r w:rsidRPr="00152C0F">
        <w:rPr>
          <w:rFonts w:ascii="Times New Roman" w:hAnsi="Times New Roman" w:cs="Times New Roman"/>
          <w:sz w:val="28"/>
          <w:szCs w:val="28"/>
        </w:rPr>
        <w:t>s</w:t>
      </w:r>
      <w:r w:rsidRPr="00152C0F">
        <w:rPr>
          <w:rFonts w:ascii="Times New Roman" w:hAnsi="Times New Roman" w:cs="Times New Roman"/>
          <w:sz w:val="28"/>
          <w:szCs w:val="28"/>
        </w:rPr>
        <w:t xml:space="preserve"> 211 </w:t>
      </w:r>
      <w:r w:rsidRPr="00152C0F">
        <w:rPr>
          <w:rFonts w:ascii="Times New Roman" w:hAnsi="Times New Roman" w:cs="Times New Roman"/>
          <w:sz w:val="28"/>
          <w:szCs w:val="28"/>
        </w:rPr>
        <w:t xml:space="preserve">y </w:t>
      </w:r>
      <w:r w:rsidRPr="00152C0F">
        <w:rPr>
          <w:rFonts w:ascii="Times New Roman" w:hAnsi="Times New Roman" w:cs="Times New Roman"/>
          <w:sz w:val="28"/>
          <w:szCs w:val="28"/>
        </w:rPr>
        <w:t>212</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lesionaría la finalidad legítima común que persiguen: </w:t>
      </w:r>
      <w:r w:rsidRPr="00152C0F">
        <w:rPr>
          <w:rFonts w:ascii="Times New Roman" w:hAnsi="Times New Roman" w:cs="Times New Roman"/>
          <w:sz w:val="28"/>
          <w:szCs w:val="28"/>
        </w:rPr>
        <w:t>evitar que los bienes objeto de extinción de dominio sean ocultados, negociados o utilizados por redes criminales d</w:t>
      </w:r>
      <w:r w:rsidRPr="00152C0F">
        <w:rPr>
          <w:rFonts w:ascii="Times New Roman" w:hAnsi="Times New Roman" w:cs="Times New Roman"/>
          <w:sz w:val="28"/>
          <w:szCs w:val="28"/>
        </w:rPr>
        <w:t xml:space="preserve">urante el tiempo que dure el proceso. </w:t>
      </w:r>
      <w:r w:rsidRPr="00152C0F">
        <w:rPr>
          <w:rFonts w:ascii="Times New Roman" w:hAnsi="Times New Roman" w:cs="Times New Roman"/>
          <w:sz w:val="28"/>
          <w:szCs w:val="28"/>
        </w:rPr>
        <w:t xml:space="preserve">Por tanto, las disposiciones </w:t>
      </w:r>
      <w:r w:rsidRPr="00152C0F">
        <w:rPr>
          <w:rFonts w:ascii="Times New Roman" w:hAnsi="Times New Roman" w:cs="Times New Roman"/>
          <w:sz w:val="28"/>
          <w:szCs w:val="28"/>
        </w:rPr>
        <w:t>no solo protege</w:t>
      </w:r>
      <w:r w:rsidRPr="00152C0F">
        <w:rPr>
          <w:rFonts w:ascii="Times New Roman" w:hAnsi="Times New Roman" w:cs="Times New Roman"/>
          <w:sz w:val="28"/>
          <w:szCs w:val="28"/>
        </w:rPr>
        <w:t>n</w:t>
      </w:r>
      <w:r w:rsidRPr="00152C0F">
        <w:rPr>
          <w:rFonts w:ascii="Times New Roman" w:hAnsi="Times New Roman" w:cs="Times New Roman"/>
          <w:sz w:val="28"/>
          <w:szCs w:val="28"/>
        </w:rPr>
        <w:t xml:space="preserve"> la integridad de estos bienes, sino que también impide que los actores del crimen organizado se beneficien de ellos. La SAE y otras entidades destacaron que, al mantener la</w:t>
      </w:r>
      <w:r w:rsidRPr="00152C0F">
        <w:rPr>
          <w:rFonts w:ascii="Times New Roman" w:hAnsi="Times New Roman" w:cs="Times New Roman"/>
          <w:sz w:val="28"/>
          <w:szCs w:val="28"/>
        </w:rPr>
        <w:t xml:space="preserve">s medidas cautelares vigentes y evitar la prescripción adquisitiva, se garantiza que los bienes sigan siendo utilizados para fines legítimos y no para actividades delictivas. En este sentido, en relación con el artículo 211, la </w:t>
      </w:r>
      <w:r w:rsidRPr="00152C0F">
        <w:rPr>
          <w:rFonts w:ascii="Times New Roman" w:hAnsi="Times New Roman" w:cs="Times New Roman"/>
          <w:sz w:val="28"/>
          <w:szCs w:val="28"/>
          <w:lang w:val="es-ES"/>
        </w:rPr>
        <w:t>Procuradora General de la Na</w:t>
      </w:r>
      <w:r w:rsidRPr="00152C0F">
        <w:rPr>
          <w:rFonts w:ascii="Times New Roman" w:hAnsi="Times New Roman" w:cs="Times New Roman"/>
          <w:sz w:val="28"/>
          <w:szCs w:val="28"/>
          <w:lang w:val="es-ES"/>
        </w:rPr>
        <w:t>ción indicó que esta disposición evita “que los resultados del proceso de extinción de dominio sean soslayados”, al disponer que “respecto de los bienes del FRISCO, no operará la prescripción adquisitiva, que, como en el caso anterior, podía ocurrir mientr</w:t>
      </w:r>
      <w:r w:rsidRPr="00152C0F">
        <w:rPr>
          <w:rFonts w:ascii="Times New Roman" w:hAnsi="Times New Roman" w:cs="Times New Roman"/>
          <w:sz w:val="28"/>
          <w:szCs w:val="28"/>
          <w:lang w:val="es-ES"/>
        </w:rPr>
        <w:t>as se adelanta el proceso de extinción de dominio de que trata el artículo 34 de la Carta Política”.</w:t>
      </w:r>
    </w:p>
    <w:p w:rsidR="00DE7F50" w:rsidRPr="00152C0F" w:rsidRDefault="00152C0F" w:rsidP="00DE7F50">
      <w:pPr>
        <w:pStyle w:val="Prrafodelista"/>
        <w:ind w:left="0"/>
        <w:jc w:val="both"/>
        <w:rPr>
          <w:rFonts w:ascii="Times New Roman" w:hAnsi="Times New Roman" w:cs="Times New Roman"/>
          <w:sz w:val="28"/>
          <w:szCs w:val="28"/>
        </w:rPr>
      </w:pPr>
    </w:p>
    <w:p w:rsidR="006E75F8"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En </w:t>
      </w:r>
      <w:r w:rsidRPr="00152C0F">
        <w:rPr>
          <w:rFonts w:ascii="Times New Roman" w:hAnsi="Times New Roman" w:cs="Times New Roman"/>
          <w:sz w:val="28"/>
          <w:szCs w:val="28"/>
        </w:rPr>
        <w:t xml:space="preserve">segundo </w:t>
      </w:r>
      <w:r w:rsidRPr="00152C0F">
        <w:rPr>
          <w:rFonts w:ascii="Times New Roman" w:hAnsi="Times New Roman" w:cs="Times New Roman"/>
          <w:sz w:val="28"/>
          <w:szCs w:val="28"/>
        </w:rPr>
        <w:t>lugar, e</w:t>
      </w:r>
      <w:r w:rsidRPr="00152C0F">
        <w:rPr>
          <w:rFonts w:ascii="Times New Roman" w:hAnsi="Times New Roman" w:cs="Times New Roman"/>
          <w:sz w:val="28"/>
          <w:szCs w:val="28"/>
        </w:rPr>
        <w:t xml:space="preserve">n relación con el artículo 212, </w:t>
      </w:r>
      <w:r w:rsidRPr="00152C0F">
        <w:rPr>
          <w:rFonts w:ascii="Times New Roman" w:hAnsi="Times New Roman" w:cs="Times New Roman"/>
          <w:sz w:val="28"/>
          <w:szCs w:val="28"/>
        </w:rPr>
        <w:t xml:space="preserve">su expulsión del ordenamiento jurídico </w:t>
      </w:r>
      <w:r w:rsidRPr="00152C0F">
        <w:rPr>
          <w:rFonts w:ascii="Times New Roman" w:hAnsi="Times New Roman" w:cs="Times New Roman"/>
          <w:sz w:val="28"/>
          <w:szCs w:val="28"/>
        </w:rPr>
        <w:t xml:space="preserve">podría </w:t>
      </w:r>
      <w:r w:rsidRPr="00152C0F">
        <w:rPr>
          <w:rFonts w:ascii="Times New Roman" w:hAnsi="Times New Roman" w:cs="Times New Roman"/>
          <w:sz w:val="28"/>
          <w:szCs w:val="28"/>
        </w:rPr>
        <w:t xml:space="preserve">posibilitar la caducidad </w:t>
      </w:r>
      <w:r w:rsidRPr="00152C0F">
        <w:rPr>
          <w:rFonts w:ascii="Times New Roman" w:hAnsi="Times New Roman" w:cs="Times New Roman"/>
          <w:sz w:val="28"/>
          <w:szCs w:val="28"/>
        </w:rPr>
        <w:t>de las medidas cautelares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circunstancia que </w:t>
      </w:r>
      <w:r w:rsidRPr="00152C0F">
        <w:rPr>
          <w:rFonts w:ascii="Times New Roman" w:hAnsi="Times New Roman" w:cs="Times New Roman"/>
          <w:sz w:val="28"/>
          <w:szCs w:val="28"/>
        </w:rPr>
        <w:t xml:space="preserve">permitiría </w:t>
      </w:r>
      <w:r w:rsidRPr="00152C0F">
        <w:rPr>
          <w:rFonts w:ascii="Times New Roman" w:hAnsi="Times New Roman" w:cs="Times New Roman"/>
          <w:sz w:val="28"/>
          <w:szCs w:val="28"/>
        </w:rPr>
        <w:t>a los afectados disponer libremente de los bienes</w:t>
      </w:r>
      <w:r w:rsidRPr="00152C0F">
        <w:rPr>
          <w:rFonts w:ascii="Times New Roman" w:hAnsi="Times New Roman" w:cs="Times New Roman"/>
          <w:sz w:val="28"/>
          <w:szCs w:val="28"/>
        </w:rPr>
        <w:t xml:space="preserve"> objeto de estas medidas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lo cual socavaría </w:t>
      </w:r>
      <w:r w:rsidRPr="00152C0F">
        <w:rPr>
          <w:rFonts w:ascii="Times New Roman" w:hAnsi="Times New Roman" w:cs="Times New Roman"/>
          <w:sz w:val="28"/>
          <w:szCs w:val="28"/>
        </w:rPr>
        <w:t xml:space="preserve">los objetivos de la acción patrimonial de extinción de dominio. </w:t>
      </w:r>
      <w:r w:rsidRPr="00152C0F">
        <w:rPr>
          <w:rFonts w:ascii="Times New Roman" w:hAnsi="Times New Roman" w:cs="Times New Roman"/>
          <w:sz w:val="28"/>
          <w:szCs w:val="28"/>
        </w:rPr>
        <w:t xml:space="preserve">Al respecto, </w:t>
      </w:r>
      <w:r w:rsidRPr="00152C0F">
        <w:rPr>
          <w:rFonts w:ascii="Times New Roman" w:hAnsi="Times New Roman" w:cs="Times New Roman"/>
          <w:sz w:val="28"/>
          <w:szCs w:val="28"/>
        </w:rPr>
        <w:t>la SAE indicó que existe “el riesgo de pérdida de activos</w:t>
      </w:r>
      <w:r w:rsidRPr="00152C0F">
        <w:rPr>
          <w:rFonts w:ascii="Times New Roman" w:hAnsi="Times New Roman" w:cs="Times New Roman"/>
          <w:sz w:val="28"/>
          <w:szCs w:val="28"/>
        </w:rPr>
        <w:t xml:space="preserve"> en proceso de extinción con ocasión a la posibilidad de que sobre los mismos se aplique la figura de la caducidad de las medidas cautelares, lo que permitiría a los afectados al interior de los procesos disponer libremente de estos y desviar el objeto tel</w:t>
      </w:r>
      <w:r w:rsidRPr="00152C0F">
        <w:rPr>
          <w:rFonts w:ascii="Times New Roman" w:hAnsi="Times New Roman" w:cs="Times New Roman"/>
          <w:sz w:val="28"/>
          <w:szCs w:val="28"/>
        </w:rPr>
        <w:t>eológico de la acción patrimonial de extinción de dominio”. En un sentido semejante, la Procuradora General de la Nación precisó que esta medida no solo evita “</w:t>
      </w:r>
      <w:r w:rsidRPr="00152C0F">
        <w:rPr>
          <w:rFonts w:ascii="Times New Roman" w:hAnsi="Times New Roman" w:cs="Times New Roman"/>
          <w:sz w:val="28"/>
          <w:szCs w:val="28"/>
          <w:lang w:val="es-ES"/>
        </w:rPr>
        <w:t>que los actores del crimen organizado evadan dicho proceso”, sino, además, “que el paso del tiem</w:t>
      </w:r>
      <w:r w:rsidRPr="00152C0F">
        <w:rPr>
          <w:rFonts w:ascii="Times New Roman" w:hAnsi="Times New Roman" w:cs="Times New Roman"/>
          <w:sz w:val="28"/>
          <w:szCs w:val="28"/>
          <w:lang w:val="es-ES"/>
        </w:rPr>
        <w:t>po no le permita al Estado obtener los bienes involucrados y destinados a garantizar el bienestar de las personas y de las comunidades, tal como lo señala el Plan Nacional de Desarrollo 2022-2026”.</w:t>
      </w:r>
    </w:p>
    <w:p w:rsidR="0042175A" w:rsidRPr="00152C0F" w:rsidRDefault="00152C0F" w:rsidP="0042175A">
      <w:pPr>
        <w:pStyle w:val="Prrafodelista"/>
        <w:rPr>
          <w:rFonts w:ascii="Times New Roman" w:hAnsi="Times New Roman" w:cs="Times New Roman"/>
          <w:sz w:val="28"/>
          <w:szCs w:val="28"/>
        </w:rPr>
      </w:pPr>
    </w:p>
    <w:p w:rsidR="00B44101"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P</w:t>
      </w:r>
      <w:r w:rsidRPr="00152C0F">
        <w:rPr>
          <w:rFonts w:ascii="Times New Roman" w:hAnsi="Times New Roman" w:cs="Times New Roman"/>
          <w:sz w:val="28"/>
          <w:szCs w:val="28"/>
        </w:rPr>
        <w:t>ara precaver la afectación desproporcionada que un efect</w:t>
      </w:r>
      <w:r w:rsidRPr="00152C0F">
        <w:rPr>
          <w:rFonts w:ascii="Times New Roman" w:hAnsi="Times New Roman" w:cs="Times New Roman"/>
          <w:sz w:val="28"/>
          <w:szCs w:val="28"/>
        </w:rPr>
        <w:t xml:space="preserve">o inmediato tendría para realizar los fines legítimos de la extinción de dominio, asociados a evitar que los bienes objeto de </w:t>
      </w:r>
      <w:r w:rsidRPr="00152C0F">
        <w:rPr>
          <w:rFonts w:ascii="Times New Roman" w:hAnsi="Times New Roman" w:cs="Times New Roman"/>
          <w:sz w:val="28"/>
          <w:szCs w:val="28"/>
        </w:rPr>
        <w:t xml:space="preserve">estos </w:t>
      </w:r>
      <w:r w:rsidRPr="00152C0F">
        <w:rPr>
          <w:rFonts w:ascii="Times New Roman" w:hAnsi="Times New Roman" w:cs="Times New Roman"/>
          <w:sz w:val="28"/>
          <w:szCs w:val="28"/>
        </w:rPr>
        <w:t>procesos sean ocultados, negociados o utilizados por redes criminales, como lo pusieron de presente la Procuradora General d</w:t>
      </w:r>
      <w:r w:rsidRPr="00152C0F">
        <w:rPr>
          <w:rFonts w:ascii="Times New Roman" w:hAnsi="Times New Roman" w:cs="Times New Roman"/>
          <w:sz w:val="28"/>
          <w:szCs w:val="28"/>
        </w:rPr>
        <w:t>e la Nación, los ciudadanos y entidades estatales que solicitaron la declaratoria de exequibilidad de las normas demandadas</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l</w:t>
      </w:r>
      <w:r w:rsidRPr="00152C0F">
        <w:rPr>
          <w:rFonts w:ascii="Times New Roman" w:hAnsi="Times New Roman" w:cs="Times New Roman"/>
          <w:sz w:val="28"/>
          <w:szCs w:val="28"/>
        </w:rPr>
        <w:t>a Corte diferirá</w:t>
      </w:r>
      <w:r w:rsidRPr="00152C0F">
        <w:rPr>
          <w:rFonts w:ascii="Times New Roman" w:hAnsi="Times New Roman" w:cs="Times New Roman"/>
          <w:b/>
          <w:bCs/>
          <w:sz w:val="28"/>
          <w:szCs w:val="28"/>
        </w:rPr>
        <w:t xml:space="preserve"> </w:t>
      </w:r>
      <w:r w:rsidRPr="00152C0F">
        <w:rPr>
          <w:rFonts w:ascii="Times New Roman" w:hAnsi="Times New Roman" w:cs="Times New Roman"/>
          <w:sz w:val="28"/>
          <w:szCs w:val="28"/>
        </w:rPr>
        <w:t xml:space="preserve">los efectos de la presente decisión </w:t>
      </w:r>
      <w:r w:rsidRPr="00152C0F">
        <w:rPr>
          <w:rFonts w:ascii="Times New Roman" w:hAnsi="Times New Roman" w:cs="Times New Roman"/>
          <w:sz w:val="28"/>
          <w:szCs w:val="28"/>
        </w:rPr>
        <w:t xml:space="preserve">por el periodo restante de la actual legislatura, que culminará el 20 de </w:t>
      </w:r>
      <w:r w:rsidRPr="00152C0F">
        <w:rPr>
          <w:rFonts w:ascii="Times New Roman" w:hAnsi="Times New Roman" w:cs="Times New Roman"/>
          <w:sz w:val="28"/>
          <w:szCs w:val="28"/>
        </w:rPr>
        <w:t>junio de 2025</w:t>
      </w:r>
      <w:r w:rsidRPr="00152C0F">
        <w:rPr>
          <w:rFonts w:ascii="Times New Roman" w:hAnsi="Times New Roman" w:cs="Times New Roman"/>
          <w:sz w:val="28"/>
          <w:szCs w:val="28"/>
        </w:rPr>
        <w:t>,</w:t>
      </w:r>
      <w:r w:rsidRPr="00152C0F">
        <w:rPr>
          <w:rFonts w:ascii="Times New Roman" w:hAnsi="Times New Roman" w:cs="Times New Roman"/>
          <w:sz w:val="28"/>
          <w:szCs w:val="28"/>
          <w:lang w:val="es-ES"/>
        </w:rPr>
        <w:t xml:space="preserve"> durante el cual el Gobierno nacional y el Congreso de la República podrán tramitar la adopción de las reformas permanentes al régimen de extinción de dominio que consideren necesarias.</w:t>
      </w:r>
    </w:p>
    <w:p w:rsidR="00B44101" w:rsidRPr="00152C0F" w:rsidRDefault="00152C0F" w:rsidP="00B44101">
      <w:pPr>
        <w:pStyle w:val="Prrafodelista"/>
        <w:rPr>
          <w:rFonts w:ascii="Times New Roman" w:hAnsi="Times New Roman" w:cs="Times New Roman"/>
          <w:sz w:val="28"/>
          <w:szCs w:val="28"/>
        </w:rPr>
      </w:pPr>
    </w:p>
    <w:p w:rsidR="00D25EAA" w:rsidRPr="00152C0F" w:rsidRDefault="00152C0F" w:rsidP="00A17EA0">
      <w:pPr>
        <w:pStyle w:val="Prrafodelista"/>
        <w:numPr>
          <w:ilvl w:val="0"/>
          <w:numId w:val="2"/>
        </w:numPr>
        <w:ind w:left="0" w:firstLine="0"/>
        <w:jc w:val="both"/>
        <w:rPr>
          <w:rFonts w:ascii="Times New Roman" w:hAnsi="Times New Roman" w:cs="Times New Roman"/>
          <w:sz w:val="28"/>
          <w:szCs w:val="28"/>
        </w:rPr>
      </w:pPr>
      <w:r w:rsidRPr="00152C0F">
        <w:rPr>
          <w:rFonts w:ascii="Times New Roman" w:hAnsi="Times New Roman" w:cs="Times New Roman"/>
          <w:sz w:val="28"/>
          <w:szCs w:val="28"/>
        </w:rPr>
        <w:t xml:space="preserve">Esta decisión, además, </w:t>
      </w:r>
      <w:r w:rsidRPr="00152C0F">
        <w:rPr>
          <w:rFonts w:ascii="Times New Roman" w:hAnsi="Times New Roman" w:cs="Times New Roman"/>
          <w:sz w:val="28"/>
          <w:szCs w:val="28"/>
        </w:rPr>
        <w:t>busca un equilibrio entre la pro</w:t>
      </w:r>
      <w:r w:rsidRPr="00152C0F">
        <w:rPr>
          <w:rFonts w:ascii="Times New Roman" w:hAnsi="Times New Roman" w:cs="Times New Roman"/>
          <w:sz w:val="28"/>
          <w:szCs w:val="28"/>
        </w:rPr>
        <w:t>tección de la supremacía constitucional y la efectividad de las políticas públicas orientadas a</w:t>
      </w:r>
      <w:r w:rsidRPr="00152C0F">
        <w:rPr>
          <w:rFonts w:ascii="Times New Roman" w:hAnsi="Times New Roman" w:cs="Times New Roman"/>
          <w:sz w:val="28"/>
          <w:szCs w:val="28"/>
        </w:rPr>
        <w:t xml:space="preserve"> la lucha contra la criminalidad</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El diferimiento de los efectos de la inexequibilidad permite evitar un vacío normativo que podría </w:t>
      </w:r>
      <w:r w:rsidRPr="00152C0F">
        <w:rPr>
          <w:rFonts w:ascii="Times New Roman" w:hAnsi="Times New Roman" w:cs="Times New Roman"/>
          <w:sz w:val="28"/>
          <w:szCs w:val="28"/>
        </w:rPr>
        <w:t>afectar los procesos de extin</w:t>
      </w:r>
      <w:r w:rsidRPr="00152C0F">
        <w:rPr>
          <w:rFonts w:ascii="Times New Roman" w:hAnsi="Times New Roman" w:cs="Times New Roman"/>
          <w:sz w:val="28"/>
          <w:szCs w:val="28"/>
        </w:rPr>
        <w:t>ción de dominio actualmente en curso</w:t>
      </w:r>
      <w:r w:rsidRPr="00152C0F">
        <w:rPr>
          <w:rFonts w:ascii="Times New Roman" w:hAnsi="Times New Roman" w:cs="Times New Roman"/>
          <w:sz w:val="28"/>
          <w:szCs w:val="28"/>
        </w:rPr>
        <w:t>. La continuidad en la administración de los bienes del FRISCO y su protección contra la prescripción adquisitiva aseguran la estabilidad y continuidad en su gestión.</w:t>
      </w:r>
    </w:p>
    <w:p w:rsidR="000C5B87" w:rsidRPr="00152C0F" w:rsidRDefault="00152C0F" w:rsidP="000C5B87">
      <w:pPr>
        <w:pStyle w:val="Prrafodelista"/>
        <w:ind w:left="0"/>
        <w:jc w:val="both"/>
        <w:rPr>
          <w:rFonts w:ascii="Times New Roman" w:hAnsi="Times New Roman" w:cs="Times New Roman"/>
          <w:sz w:val="28"/>
          <w:szCs w:val="28"/>
        </w:rPr>
      </w:pPr>
    </w:p>
    <w:p w:rsidR="007033F0" w:rsidRPr="00152C0F" w:rsidRDefault="00152C0F" w:rsidP="000C5B87">
      <w:pPr>
        <w:pStyle w:val="Prrafodelista"/>
        <w:ind w:left="0"/>
        <w:jc w:val="both"/>
        <w:rPr>
          <w:rFonts w:ascii="Times New Roman" w:hAnsi="Times New Roman" w:cs="Times New Roman"/>
          <w:sz w:val="28"/>
          <w:szCs w:val="28"/>
        </w:rPr>
      </w:pPr>
    </w:p>
    <w:p w:rsidR="0080756E" w:rsidRPr="00152C0F" w:rsidRDefault="00152C0F" w:rsidP="00A17EA0">
      <w:pPr>
        <w:pStyle w:val="Estilo1"/>
        <w:numPr>
          <w:ilvl w:val="0"/>
          <w:numId w:val="1"/>
        </w:numPr>
        <w:ind w:left="0" w:firstLine="0"/>
        <w:outlineLvl w:val="0"/>
        <w:rPr>
          <w:rStyle w:val="Ttulo1Car"/>
          <w:rFonts w:ascii="Times New Roman" w:hAnsi="Times New Roman" w:cs="Times New Roman"/>
          <w:color w:val="auto"/>
          <w:sz w:val="28"/>
          <w:szCs w:val="28"/>
        </w:rPr>
      </w:pPr>
      <w:r w:rsidRPr="00152C0F">
        <w:rPr>
          <w:rStyle w:val="Ttulo1Car"/>
          <w:rFonts w:ascii="Times New Roman" w:hAnsi="Times New Roman" w:cs="Times New Roman"/>
          <w:color w:val="auto"/>
          <w:sz w:val="28"/>
          <w:szCs w:val="28"/>
        </w:rPr>
        <w:t>DECISIÓN</w:t>
      </w:r>
    </w:p>
    <w:p w:rsidR="0080756E" w:rsidRPr="00152C0F" w:rsidRDefault="00152C0F" w:rsidP="00A553C9">
      <w:pPr>
        <w:jc w:val="both"/>
        <w:rPr>
          <w:rFonts w:ascii="Times New Roman" w:hAnsi="Times New Roman" w:cs="Times New Roman"/>
          <w:sz w:val="28"/>
          <w:szCs w:val="28"/>
        </w:rPr>
      </w:pPr>
    </w:p>
    <w:p w:rsidR="0080756E" w:rsidRPr="00152C0F" w:rsidRDefault="00152C0F" w:rsidP="00A553C9">
      <w:pPr>
        <w:jc w:val="both"/>
        <w:rPr>
          <w:rFonts w:ascii="Times New Roman" w:hAnsi="Times New Roman" w:cs="Times New Roman"/>
          <w:sz w:val="28"/>
          <w:szCs w:val="28"/>
        </w:rPr>
      </w:pPr>
      <w:r w:rsidRPr="00152C0F">
        <w:rPr>
          <w:rFonts w:ascii="Times New Roman" w:hAnsi="Times New Roman" w:cs="Times New Roman"/>
          <w:sz w:val="28"/>
          <w:szCs w:val="28"/>
        </w:rPr>
        <w:t>En mérito de lo expuesto, la Sala Plena d</w:t>
      </w:r>
      <w:r w:rsidRPr="00152C0F">
        <w:rPr>
          <w:rFonts w:ascii="Times New Roman" w:hAnsi="Times New Roman" w:cs="Times New Roman"/>
          <w:sz w:val="28"/>
          <w:szCs w:val="28"/>
        </w:rPr>
        <w:t>e la Corte Constitucional, administrando justicia en nombre del pueblo y por mandato de la Constitución,</w:t>
      </w:r>
    </w:p>
    <w:p w:rsidR="00F7651A" w:rsidRPr="00152C0F" w:rsidRDefault="00152C0F" w:rsidP="00A553C9">
      <w:pPr>
        <w:rPr>
          <w:rFonts w:ascii="Times New Roman" w:hAnsi="Times New Roman" w:cs="Times New Roman"/>
          <w:b/>
          <w:sz w:val="28"/>
          <w:szCs w:val="28"/>
        </w:rPr>
      </w:pPr>
    </w:p>
    <w:p w:rsidR="00925CF4" w:rsidRPr="00152C0F" w:rsidRDefault="00152C0F" w:rsidP="00A553C9">
      <w:pPr>
        <w:rPr>
          <w:rFonts w:ascii="Times New Roman" w:hAnsi="Times New Roman" w:cs="Times New Roman"/>
          <w:b/>
          <w:sz w:val="28"/>
          <w:szCs w:val="28"/>
        </w:rPr>
      </w:pPr>
    </w:p>
    <w:p w:rsidR="0080756E" w:rsidRPr="00152C0F" w:rsidRDefault="00152C0F" w:rsidP="00A553C9">
      <w:pPr>
        <w:jc w:val="center"/>
        <w:rPr>
          <w:rFonts w:ascii="Times New Roman" w:hAnsi="Times New Roman" w:cs="Times New Roman"/>
          <w:b/>
          <w:sz w:val="28"/>
          <w:szCs w:val="28"/>
        </w:rPr>
      </w:pPr>
      <w:r w:rsidRPr="00152C0F">
        <w:rPr>
          <w:rFonts w:ascii="Times New Roman" w:hAnsi="Times New Roman" w:cs="Times New Roman"/>
          <w:b/>
          <w:sz w:val="28"/>
          <w:szCs w:val="28"/>
        </w:rPr>
        <w:t>RESUELVE</w:t>
      </w:r>
    </w:p>
    <w:p w:rsidR="0080756E" w:rsidRPr="00152C0F" w:rsidRDefault="00152C0F" w:rsidP="00A553C9">
      <w:pPr>
        <w:jc w:val="both"/>
        <w:rPr>
          <w:rFonts w:ascii="Times New Roman" w:hAnsi="Times New Roman" w:cs="Times New Roman"/>
          <w:sz w:val="28"/>
          <w:szCs w:val="28"/>
        </w:rPr>
      </w:pPr>
    </w:p>
    <w:p w:rsidR="0080756E" w:rsidRPr="00152C0F" w:rsidRDefault="00152C0F" w:rsidP="00A553C9">
      <w:pPr>
        <w:jc w:val="both"/>
        <w:rPr>
          <w:rFonts w:ascii="Times New Roman" w:hAnsi="Times New Roman" w:cs="Times New Roman"/>
          <w:sz w:val="28"/>
          <w:szCs w:val="28"/>
        </w:rPr>
      </w:pPr>
      <w:bookmarkStart w:id="9" w:name="_Hlk113003102"/>
      <w:bookmarkStart w:id="10" w:name="_Hlk9514800"/>
      <w:r w:rsidRPr="00152C0F">
        <w:rPr>
          <w:rFonts w:ascii="Times New Roman" w:hAnsi="Times New Roman" w:cs="Times New Roman"/>
          <w:b/>
          <w:bCs/>
          <w:sz w:val="28"/>
          <w:szCs w:val="28"/>
        </w:rPr>
        <w:t xml:space="preserve">Primero. </w:t>
      </w:r>
      <w:r w:rsidRPr="00152C0F">
        <w:rPr>
          <w:rFonts w:ascii="Times New Roman" w:hAnsi="Times New Roman" w:cs="Times New Roman"/>
          <w:sz w:val="28"/>
          <w:szCs w:val="28"/>
        </w:rPr>
        <w:t xml:space="preserve">Declarar </w:t>
      </w:r>
      <w:r w:rsidRPr="00152C0F">
        <w:rPr>
          <w:rFonts w:ascii="Times New Roman" w:hAnsi="Times New Roman" w:cs="Times New Roman"/>
          <w:b/>
          <w:bCs/>
          <w:sz w:val="28"/>
          <w:szCs w:val="28"/>
        </w:rPr>
        <w:t>IN</w:t>
      </w:r>
      <w:r w:rsidRPr="00152C0F">
        <w:rPr>
          <w:rFonts w:ascii="Times New Roman" w:hAnsi="Times New Roman" w:cs="Times New Roman"/>
          <w:b/>
          <w:bCs/>
          <w:sz w:val="28"/>
          <w:szCs w:val="28"/>
        </w:rPr>
        <w:t>EXEQUIBLES</w:t>
      </w:r>
      <w:r w:rsidRPr="00152C0F">
        <w:rPr>
          <w:rFonts w:ascii="Times New Roman" w:hAnsi="Times New Roman" w:cs="Times New Roman"/>
          <w:sz w:val="28"/>
          <w:szCs w:val="28"/>
        </w:rPr>
        <w:t xml:space="preserve"> los artículos 211 y 212 </w:t>
      </w:r>
      <w:r w:rsidRPr="00152C0F">
        <w:rPr>
          <w:rFonts w:ascii="Times New Roman" w:hAnsi="Times New Roman" w:cs="Times New Roman"/>
          <w:sz w:val="28"/>
          <w:szCs w:val="28"/>
        </w:rPr>
        <w:t>de la Ley 2294 de 2023</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w:t>
      </w:r>
      <w:r w:rsidRPr="00152C0F">
        <w:rPr>
          <w:rFonts w:ascii="Times New Roman" w:hAnsi="Times New Roman" w:cs="Times New Roman"/>
          <w:sz w:val="28"/>
          <w:szCs w:val="28"/>
        </w:rPr>
        <w:t>[p]</w:t>
      </w:r>
      <w:r w:rsidRPr="00152C0F">
        <w:rPr>
          <w:rStyle w:val="Ttulo1Car"/>
          <w:rFonts w:ascii="Times New Roman" w:hAnsi="Times New Roman" w:cs="Times New Roman"/>
          <w:b w:val="0"/>
          <w:bCs/>
          <w:color w:val="auto"/>
          <w:sz w:val="28"/>
          <w:szCs w:val="28"/>
          <w:lang w:val="es-ES"/>
        </w:rPr>
        <w:t xml:space="preserve">or la cual se expide el Plan Nacional de Desarrollo </w:t>
      </w:r>
      <w:r w:rsidRPr="00152C0F">
        <w:rPr>
          <w:rStyle w:val="Ttulo1Car"/>
          <w:rFonts w:ascii="Times New Roman" w:hAnsi="Times New Roman" w:cs="Times New Roman"/>
          <w:b w:val="0"/>
          <w:bCs/>
          <w:color w:val="auto"/>
          <w:sz w:val="28"/>
          <w:szCs w:val="28"/>
          <w:lang w:val="es-ES"/>
        </w:rPr>
        <w:t>2022-2026. Colombia Potencia Mundial de la Vida</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por las razones expuestas en la parte motiva.</w:t>
      </w:r>
      <w:bookmarkEnd w:id="9"/>
    </w:p>
    <w:p w:rsidR="00FF0F8A" w:rsidRPr="00152C0F" w:rsidRDefault="00152C0F" w:rsidP="00A553C9">
      <w:pPr>
        <w:jc w:val="both"/>
        <w:rPr>
          <w:rFonts w:ascii="Times New Roman" w:hAnsi="Times New Roman" w:cs="Times New Roman"/>
          <w:sz w:val="28"/>
          <w:szCs w:val="28"/>
        </w:rPr>
      </w:pPr>
    </w:p>
    <w:p w:rsidR="00FC0FA9" w:rsidRPr="00152C0F" w:rsidRDefault="00152C0F" w:rsidP="00A553C9">
      <w:pPr>
        <w:jc w:val="both"/>
        <w:rPr>
          <w:rFonts w:ascii="Times New Roman" w:hAnsi="Times New Roman" w:cs="Times New Roman"/>
          <w:sz w:val="28"/>
          <w:szCs w:val="28"/>
        </w:rPr>
      </w:pPr>
      <w:r w:rsidRPr="00152C0F">
        <w:rPr>
          <w:rFonts w:ascii="Times New Roman" w:hAnsi="Times New Roman" w:cs="Times New Roman"/>
          <w:b/>
          <w:bCs/>
          <w:sz w:val="28"/>
          <w:szCs w:val="28"/>
        </w:rPr>
        <w:t>Segundo.</w:t>
      </w:r>
      <w:r w:rsidRPr="00152C0F">
        <w:rPr>
          <w:rFonts w:ascii="Times New Roman" w:hAnsi="Times New Roman" w:cs="Times New Roman"/>
          <w:sz w:val="28"/>
          <w:szCs w:val="28"/>
        </w:rPr>
        <w:t xml:space="preserve"> </w:t>
      </w:r>
      <w:r w:rsidRPr="00152C0F">
        <w:rPr>
          <w:rFonts w:ascii="Times New Roman" w:hAnsi="Times New Roman" w:cs="Times New Roman"/>
          <w:b/>
          <w:bCs/>
          <w:sz w:val="28"/>
          <w:szCs w:val="28"/>
        </w:rPr>
        <w:t>DIFERIR</w:t>
      </w:r>
      <w:r w:rsidRPr="00152C0F">
        <w:rPr>
          <w:rFonts w:ascii="Times New Roman" w:hAnsi="Times New Roman" w:cs="Times New Roman"/>
          <w:sz w:val="28"/>
          <w:szCs w:val="28"/>
        </w:rPr>
        <w:t xml:space="preserve"> los </w:t>
      </w:r>
      <w:r w:rsidRPr="00152C0F">
        <w:rPr>
          <w:rFonts w:ascii="Times New Roman" w:hAnsi="Times New Roman" w:cs="Times New Roman"/>
          <w:sz w:val="28"/>
          <w:szCs w:val="28"/>
        </w:rPr>
        <w:t xml:space="preserve">efectos de la presente decisión </w:t>
      </w:r>
      <w:r w:rsidRPr="00152C0F">
        <w:rPr>
          <w:rFonts w:ascii="Times New Roman" w:hAnsi="Times New Roman" w:cs="Times New Roman"/>
          <w:sz w:val="28"/>
          <w:szCs w:val="28"/>
        </w:rPr>
        <w:t>por el periodo restante de la actual legislatura, que culminará el 20 de junio de 2025.</w:t>
      </w:r>
    </w:p>
    <w:p w:rsidR="00FF16C4" w:rsidRPr="00152C0F" w:rsidRDefault="00152C0F" w:rsidP="00A553C9">
      <w:pPr>
        <w:jc w:val="both"/>
        <w:rPr>
          <w:rFonts w:ascii="Times New Roman" w:hAnsi="Times New Roman" w:cs="Times New Roman"/>
          <w:sz w:val="28"/>
          <w:szCs w:val="28"/>
        </w:rPr>
      </w:pPr>
    </w:p>
    <w:bookmarkEnd w:id="10"/>
    <w:p w:rsidR="00927A63" w:rsidRPr="00152C0F" w:rsidRDefault="00152C0F" w:rsidP="00A553C9">
      <w:pPr>
        <w:pStyle w:val="MediumShading1-Accent11"/>
        <w:jc w:val="both"/>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 xml:space="preserve">Notifíquese, </w:t>
      </w:r>
      <w:r w:rsidRPr="00152C0F">
        <w:rPr>
          <w:rFonts w:ascii="Times New Roman" w:hAnsi="Times New Roman" w:cs="Times New Roman"/>
          <w:color w:val="auto"/>
          <w:sz w:val="28"/>
          <w:szCs w:val="28"/>
          <w:shd w:val="clear" w:color="auto" w:fill="FFFFFF"/>
        </w:rPr>
        <w:t>comuníquese, publíquese y cúmplase,</w:t>
      </w:r>
    </w:p>
    <w:p w:rsidR="00734959" w:rsidRPr="00152C0F" w:rsidRDefault="00152C0F" w:rsidP="00A553C9">
      <w:pPr>
        <w:pStyle w:val="MediumShading1-Accent11"/>
        <w:jc w:val="both"/>
        <w:rPr>
          <w:rFonts w:ascii="Times New Roman" w:hAnsi="Times New Roman" w:cs="Times New Roman"/>
          <w:color w:val="auto"/>
          <w:sz w:val="28"/>
          <w:szCs w:val="28"/>
          <w:shd w:val="clear" w:color="auto" w:fill="FFFFFF"/>
        </w:rPr>
      </w:pPr>
    </w:p>
    <w:p w:rsidR="00734959" w:rsidRPr="00152C0F" w:rsidRDefault="00152C0F" w:rsidP="00A553C9">
      <w:pPr>
        <w:pStyle w:val="MediumShading1-Accent11"/>
        <w:jc w:val="both"/>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JOSE FERNANDO REYES CUARTAS</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Presidente</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NATALIA ÁNGEL CABO</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Magistrada</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JUAN CARLOS CORTÉS GONZÁLEZ</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 xml:space="preserve">Magistrado </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 xml:space="preserve">Con Aclaración de voto </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DIANA FAJARDO RIVERA</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Magistrada</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Ausente con permiso</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 xml:space="preserve">VLADIMIR FERNÁNDEZ </w:t>
      </w:r>
      <w:r w:rsidRPr="00152C0F">
        <w:rPr>
          <w:rFonts w:ascii="Times New Roman" w:hAnsi="Times New Roman" w:cs="Times New Roman"/>
          <w:color w:val="auto"/>
          <w:sz w:val="28"/>
          <w:szCs w:val="28"/>
          <w:shd w:val="clear" w:color="auto" w:fill="FFFFFF"/>
        </w:rPr>
        <w:t>ANDRADE</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Magistrado</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Con impedimento aceptado</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 xml:space="preserve">JORGE ENRIQUE IBÁÑEZ NAJAR </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Magistrado</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ANTONIO JOSÉ LIZARAZO OCAMPO</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Magistrado</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PAOLA ANDREA MENESES MOSQUERA</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Magistrada</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CRISTINA PARDO SCHLESINGER</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Magistrada</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ANDREA LILIANA ROMERO LOPEZ</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r w:rsidRPr="00152C0F">
        <w:rPr>
          <w:rFonts w:ascii="Times New Roman" w:hAnsi="Times New Roman" w:cs="Times New Roman"/>
          <w:color w:val="auto"/>
          <w:sz w:val="28"/>
          <w:szCs w:val="28"/>
          <w:shd w:val="clear" w:color="auto" w:fill="FFFFFF"/>
        </w:rPr>
        <w:t xml:space="preserve">Secretaria </w:t>
      </w:r>
      <w:r w:rsidRPr="00152C0F">
        <w:rPr>
          <w:rFonts w:ascii="Times New Roman" w:hAnsi="Times New Roman" w:cs="Times New Roman"/>
          <w:color w:val="auto"/>
          <w:sz w:val="28"/>
          <w:szCs w:val="28"/>
          <w:shd w:val="clear" w:color="auto" w:fill="FFFFFF"/>
        </w:rPr>
        <w:t>General</w:t>
      </w: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34959" w:rsidRPr="00152C0F" w:rsidRDefault="00152C0F" w:rsidP="00734959">
      <w:pPr>
        <w:pStyle w:val="MediumShading1-Accent11"/>
        <w:jc w:val="center"/>
        <w:rPr>
          <w:rFonts w:ascii="Times New Roman" w:hAnsi="Times New Roman" w:cs="Times New Roman"/>
          <w:color w:val="auto"/>
          <w:sz w:val="28"/>
          <w:szCs w:val="28"/>
          <w:shd w:val="clear" w:color="auto" w:fill="FFFFFF"/>
        </w:rPr>
      </w:pPr>
    </w:p>
    <w:p w:rsidR="00786913" w:rsidRPr="00152C0F" w:rsidRDefault="00152C0F" w:rsidP="002A274B">
      <w:pPr>
        <w:ind w:right="-70"/>
        <w:contextualSpacing/>
        <w:jc w:val="center"/>
        <w:outlineLvl w:val="0"/>
        <w:rPr>
          <w:rFonts w:ascii="Times New Roman" w:hAnsi="Times New Roman" w:cs="Times New Roman"/>
          <w:b/>
          <w:sz w:val="28"/>
          <w:szCs w:val="28"/>
        </w:rPr>
      </w:pPr>
    </w:p>
    <w:p w:rsidR="00786913" w:rsidRPr="00152C0F" w:rsidRDefault="00152C0F" w:rsidP="002A274B">
      <w:pPr>
        <w:ind w:right="-70"/>
        <w:contextualSpacing/>
        <w:jc w:val="center"/>
        <w:outlineLvl w:val="0"/>
        <w:rPr>
          <w:rFonts w:ascii="Times New Roman" w:hAnsi="Times New Roman" w:cs="Times New Roman"/>
          <w:b/>
          <w:sz w:val="28"/>
          <w:szCs w:val="28"/>
        </w:rPr>
      </w:pPr>
    </w:p>
    <w:p w:rsidR="00830481" w:rsidRPr="00152C0F" w:rsidRDefault="00152C0F" w:rsidP="002A274B">
      <w:pPr>
        <w:ind w:right="-70"/>
        <w:contextualSpacing/>
        <w:jc w:val="center"/>
        <w:outlineLvl w:val="0"/>
        <w:rPr>
          <w:rFonts w:ascii="Times New Roman" w:hAnsi="Times New Roman" w:cs="Times New Roman"/>
          <w:b/>
          <w:sz w:val="28"/>
          <w:szCs w:val="28"/>
        </w:rPr>
      </w:pPr>
      <w:r w:rsidRPr="00152C0F">
        <w:rPr>
          <w:rFonts w:ascii="Times New Roman" w:hAnsi="Times New Roman" w:cs="Times New Roman"/>
          <w:b/>
          <w:sz w:val="28"/>
          <w:szCs w:val="28"/>
        </w:rPr>
        <w:t xml:space="preserve">ACLARACIÓN DE VOTO DEL MAGISTRADO </w:t>
      </w:r>
    </w:p>
    <w:p w:rsidR="00830481" w:rsidRPr="00152C0F" w:rsidRDefault="00152C0F" w:rsidP="002A274B">
      <w:pPr>
        <w:ind w:right="-70"/>
        <w:contextualSpacing/>
        <w:jc w:val="center"/>
        <w:outlineLvl w:val="0"/>
        <w:rPr>
          <w:rFonts w:ascii="Times New Roman" w:hAnsi="Times New Roman" w:cs="Times New Roman"/>
          <w:b/>
          <w:sz w:val="28"/>
          <w:szCs w:val="28"/>
        </w:rPr>
      </w:pPr>
      <w:r w:rsidRPr="00152C0F">
        <w:rPr>
          <w:rFonts w:ascii="Times New Roman" w:hAnsi="Times New Roman" w:cs="Times New Roman"/>
          <w:b/>
          <w:sz w:val="28"/>
          <w:szCs w:val="28"/>
        </w:rPr>
        <w:t xml:space="preserve">JUAN CARLOS CORTÉS GONZÁLEZ </w:t>
      </w:r>
    </w:p>
    <w:p w:rsidR="002A274B" w:rsidRPr="00152C0F" w:rsidRDefault="00152C0F" w:rsidP="002A274B">
      <w:pPr>
        <w:ind w:right="-70"/>
        <w:contextualSpacing/>
        <w:jc w:val="center"/>
        <w:outlineLvl w:val="0"/>
        <w:rPr>
          <w:rFonts w:ascii="Times New Roman" w:hAnsi="Times New Roman" w:cs="Times New Roman"/>
          <w:b/>
          <w:sz w:val="28"/>
          <w:szCs w:val="28"/>
        </w:rPr>
      </w:pPr>
      <w:r w:rsidRPr="00152C0F">
        <w:rPr>
          <w:rFonts w:ascii="Times New Roman" w:hAnsi="Times New Roman" w:cs="Times New Roman"/>
          <w:b/>
          <w:sz w:val="28"/>
          <w:szCs w:val="28"/>
        </w:rPr>
        <w:t>A LA SENTENCIA C-</w:t>
      </w:r>
      <w:r w:rsidRPr="00152C0F">
        <w:rPr>
          <w:rFonts w:ascii="Times New Roman" w:hAnsi="Times New Roman" w:cs="Times New Roman"/>
          <w:b/>
          <w:sz w:val="28"/>
          <w:szCs w:val="28"/>
        </w:rPr>
        <w:t>430</w:t>
      </w:r>
      <w:r w:rsidRPr="00152C0F">
        <w:rPr>
          <w:rFonts w:ascii="Times New Roman" w:hAnsi="Times New Roman" w:cs="Times New Roman"/>
          <w:b/>
          <w:sz w:val="28"/>
          <w:szCs w:val="28"/>
        </w:rPr>
        <w:t>/</w:t>
      </w:r>
      <w:r w:rsidRPr="00152C0F">
        <w:rPr>
          <w:rFonts w:ascii="Times New Roman" w:hAnsi="Times New Roman" w:cs="Times New Roman"/>
          <w:b/>
          <w:sz w:val="28"/>
          <w:szCs w:val="28"/>
        </w:rPr>
        <w:t>2</w:t>
      </w:r>
      <w:r w:rsidRPr="00152C0F">
        <w:rPr>
          <w:rFonts w:ascii="Times New Roman" w:hAnsi="Times New Roman" w:cs="Times New Roman"/>
          <w:b/>
          <w:sz w:val="28"/>
          <w:szCs w:val="28"/>
        </w:rPr>
        <w:t>4</w:t>
      </w:r>
    </w:p>
    <w:p w:rsidR="00606AB3" w:rsidRPr="00152C0F" w:rsidRDefault="00152C0F" w:rsidP="00AE4FCD">
      <w:pPr>
        <w:rPr>
          <w:rFonts w:ascii="Times New Roman" w:hAnsi="Times New Roman" w:cs="Times New Roman"/>
          <w:b/>
          <w:bCs/>
          <w:sz w:val="28"/>
          <w:szCs w:val="28"/>
        </w:rPr>
      </w:pPr>
    </w:p>
    <w:p w:rsidR="00830481" w:rsidRPr="00152C0F" w:rsidRDefault="00152C0F" w:rsidP="00AE4FCD">
      <w:pPr>
        <w:rPr>
          <w:rFonts w:ascii="Times New Roman" w:hAnsi="Times New Roman" w:cs="Times New Roman"/>
          <w:b/>
          <w:bCs/>
          <w:sz w:val="28"/>
          <w:szCs w:val="28"/>
        </w:rPr>
      </w:pPr>
    </w:p>
    <w:p w:rsidR="00B65877" w:rsidRPr="00152C0F" w:rsidRDefault="00152C0F" w:rsidP="00830481">
      <w:pPr>
        <w:ind w:left="3969"/>
        <w:rPr>
          <w:rFonts w:ascii="Times New Roman" w:hAnsi="Times New Roman" w:cs="Times New Roman"/>
          <w:sz w:val="28"/>
          <w:szCs w:val="28"/>
        </w:rPr>
      </w:pPr>
      <w:r w:rsidRPr="00152C0F">
        <w:rPr>
          <w:rFonts w:ascii="Times New Roman" w:hAnsi="Times New Roman" w:cs="Times New Roman"/>
          <w:sz w:val="28"/>
          <w:szCs w:val="28"/>
        </w:rPr>
        <w:t xml:space="preserve">Referencia: </w:t>
      </w:r>
      <w:r w:rsidRPr="00152C0F">
        <w:rPr>
          <w:rFonts w:ascii="Times New Roman" w:hAnsi="Times New Roman" w:cs="Times New Roman"/>
          <w:sz w:val="28"/>
          <w:szCs w:val="28"/>
        </w:rPr>
        <w:t xml:space="preserve">expediente </w:t>
      </w:r>
      <w:r w:rsidRPr="00152C0F">
        <w:rPr>
          <w:rFonts w:ascii="Times New Roman" w:hAnsi="Times New Roman" w:cs="Times New Roman"/>
          <w:sz w:val="28"/>
          <w:szCs w:val="28"/>
        </w:rPr>
        <w:t>D-</w:t>
      </w:r>
      <w:r w:rsidRPr="00152C0F">
        <w:rPr>
          <w:rFonts w:ascii="Times New Roman" w:hAnsi="Times New Roman" w:cs="Times New Roman"/>
          <w:sz w:val="28"/>
          <w:szCs w:val="28"/>
        </w:rPr>
        <w:t>15.682</w:t>
      </w:r>
    </w:p>
    <w:p w:rsidR="00B65877" w:rsidRPr="00152C0F" w:rsidRDefault="00152C0F" w:rsidP="00830481">
      <w:pPr>
        <w:ind w:left="3969"/>
        <w:rPr>
          <w:rFonts w:ascii="Times New Roman" w:hAnsi="Times New Roman" w:cs="Times New Roman"/>
          <w:sz w:val="28"/>
          <w:szCs w:val="28"/>
          <w:shd w:val="clear" w:color="auto" w:fill="FFFFFF"/>
        </w:rPr>
      </w:pPr>
    </w:p>
    <w:p w:rsidR="00B65877" w:rsidRPr="00152C0F" w:rsidRDefault="00152C0F" w:rsidP="00830481">
      <w:pPr>
        <w:ind w:left="3969"/>
        <w:rPr>
          <w:rFonts w:ascii="Times New Roman" w:hAnsi="Times New Roman" w:cs="Times New Roman"/>
          <w:sz w:val="28"/>
          <w:szCs w:val="28"/>
        </w:rPr>
      </w:pPr>
      <w:r w:rsidRPr="00152C0F">
        <w:rPr>
          <w:rFonts w:ascii="Times New Roman" w:hAnsi="Times New Roman" w:cs="Times New Roman"/>
          <w:sz w:val="28"/>
          <w:szCs w:val="28"/>
          <w:shd w:val="clear" w:color="auto" w:fill="FFFFFF"/>
        </w:rPr>
        <w:t>Asunto:</w:t>
      </w:r>
      <w:r w:rsidRPr="00152C0F">
        <w:rPr>
          <w:rFonts w:ascii="Times New Roman" w:hAnsi="Times New Roman" w:cs="Times New Roman"/>
          <w:sz w:val="28"/>
          <w:szCs w:val="28"/>
          <w:lang w:val="es-ES" w:eastAsia="es-ES"/>
        </w:rPr>
        <w:t xml:space="preserve"> </w:t>
      </w:r>
      <w:r w:rsidRPr="00152C0F">
        <w:rPr>
          <w:rFonts w:ascii="Times New Roman" w:hAnsi="Times New Roman" w:cs="Times New Roman"/>
          <w:sz w:val="28"/>
          <w:szCs w:val="28"/>
        </w:rPr>
        <w:t>demanda de inconstitucionalidad contra los artículos 211 y 212 de la Ley 2294 de 2023</w:t>
      </w:r>
    </w:p>
    <w:p w:rsidR="002A274B" w:rsidRPr="00152C0F" w:rsidRDefault="00152C0F" w:rsidP="00830481">
      <w:pPr>
        <w:spacing w:after="120"/>
        <w:ind w:left="3969" w:right="-68"/>
        <w:contextualSpacing/>
        <w:outlineLvl w:val="0"/>
        <w:rPr>
          <w:rFonts w:ascii="Times New Roman" w:hAnsi="Times New Roman" w:cs="Times New Roman"/>
          <w:sz w:val="28"/>
          <w:szCs w:val="28"/>
        </w:rPr>
      </w:pPr>
    </w:p>
    <w:p w:rsidR="002A274B" w:rsidRPr="00152C0F" w:rsidRDefault="00152C0F" w:rsidP="00830481">
      <w:pPr>
        <w:ind w:left="3969" w:right="-68"/>
        <w:contextualSpacing/>
        <w:rPr>
          <w:rFonts w:ascii="Times New Roman" w:hAnsi="Times New Roman" w:cs="Times New Roman"/>
          <w:sz w:val="28"/>
          <w:szCs w:val="28"/>
        </w:rPr>
      </w:pPr>
      <w:r w:rsidRPr="00152C0F">
        <w:rPr>
          <w:rFonts w:ascii="Times New Roman" w:hAnsi="Times New Roman" w:cs="Times New Roman"/>
          <w:sz w:val="28"/>
          <w:szCs w:val="28"/>
        </w:rPr>
        <w:t xml:space="preserve">Magistrado </w:t>
      </w:r>
      <w:r w:rsidRPr="00152C0F">
        <w:rPr>
          <w:rFonts w:ascii="Times New Roman" w:hAnsi="Times New Roman" w:cs="Times New Roman"/>
          <w:sz w:val="28"/>
          <w:szCs w:val="28"/>
        </w:rPr>
        <w:t>p</w:t>
      </w:r>
      <w:r w:rsidRPr="00152C0F">
        <w:rPr>
          <w:rFonts w:ascii="Times New Roman" w:hAnsi="Times New Roman" w:cs="Times New Roman"/>
          <w:sz w:val="28"/>
          <w:szCs w:val="28"/>
        </w:rPr>
        <w:t xml:space="preserve">onente: </w:t>
      </w:r>
    </w:p>
    <w:p w:rsidR="002A274B" w:rsidRPr="00152C0F" w:rsidRDefault="00152C0F" w:rsidP="00830481">
      <w:pPr>
        <w:ind w:left="3969" w:right="-68"/>
        <w:contextualSpacing/>
        <w:rPr>
          <w:rFonts w:ascii="Times New Roman" w:hAnsi="Times New Roman" w:cs="Times New Roman"/>
          <w:sz w:val="28"/>
          <w:szCs w:val="28"/>
        </w:rPr>
      </w:pPr>
      <w:r w:rsidRPr="00152C0F">
        <w:rPr>
          <w:rFonts w:ascii="Times New Roman" w:hAnsi="Times New Roman" w:cs="Times New Roman"/>
          <w:sz w:val="28"/>
          <w:szCs w:val="28"/>
        </w:rPr>
        <w:t>ANTONIO JOSÉ LIZARAZO OCAMPO</w:t>
      </w:r>
    </w:p>
    <w:p w:rsidR="002415F9" w:rsidRPr="00152C0F" w:rsidRDefault="00152C0F" w:rsidP="002A274B">
      <w:pPr>
        <w:ind w:right="-70"/>
        <w:contextualSpacing/>
        <w:rPr>
          <w:rFonts w:ascii="Times New Roman" w:hAnsi="Times New Roman" w:cs="Times New Roman"/>
          <w:sz w:val="28"/>
          <w:szCs w:val="28"/>
        </w:rPr>
      </w:pPr>
    </w:p>
    <w:p w:rsidR="00830481" w:rsidRPr="00152C0F" w:rsidRDefault="00152C0F" w:rsidP="002A274B">
      <w:pPr>
        <w:ind w:right="-70"/>
        <w:contextualSpacing/>
        <w:rPr>
          <w:rFonts w:ascii="Times New Roman" w:hAnsi="Times New Roman" w:cs="Times New Roman"/>
          <w:sz w:val="28"/>
          <w:szCs w:val="28"/>
        </w:rPr>
      </w:pPr>
    </w:p>
    <w:p w:rsidR="00983AE1" w:rsidRPr="00152C0F" w:rsidRDefault="00152C0F" w:rsidP="00983AE1">
      <w:pPr>
        <w:pStyle w:val="Sinespaciado"/>
        <w:jc w:val="both"/>
        <w:rPr>
          <w:rFonts w:ascii="Times New Roman" w:hAnsi="Times New Roman"/>
          <w:sz w:val="28"/>
          <w:szCs w:val="28"/>
          <w:lang w:val="es-MX"/>
        </w:rPr>
      </w:pPr>
      <w:r w:rsidRPr="00152C0F">
        <w:rPr>
          <w:rFonts w:ascii="Times New Roman" w:hAnsi="Times New Roman"/>
          <w:sz w:val="28"/>
          <w:szCs w:val="28"/>
        </w:rPr>
        <w:t>Con el acostumbrado respeto por las decisiones de la Corte Constitucional, a continuación expongo las razones que me motivaron a aclarar el voto respecto de la Sentencia C-430 de 2024.</w:t>
      </w:r>
      <w:r w:rsidRPr="00152C0F">
        <w:rPr>
          <w:rFonts w:ascii="Times New Roman" w:hAnsi="Times New Roman"/>
          <w:sz w:val="28"/>
          <w:szCs w:val="28"/>
          <w:lang w:val="es-MX"/>
        </w:rPr>
        <w:t> </w:t>
      </w:r>
    </w:p>
    <w:p w:rsidR="00983AE1" w:rsidRPr="00152C0F" w:rsidRDefault="00152C0F" w:rsidP="00983AE1">
      <w:pPr>
        <w:pStyle w:val="Sinespaciado"/>
        <w:jc w:val="both"/>
        <w:rPr>
          <w:rFonts w:ascii="Times New Roman" w:hAnsi="Times New Roman"/>
          <w:sz w:val="28"/>
          <w:szCs w:val="28"/>
          <w:lang w:val="es-MX"/>
        </w:rPr>
      </w:pPr>
    </w:p>
    <w:p w:rsidR="00802D37" w:rsidRPr="00152C0F" w:rsidRDefault="00152C0F" w:rsidP="00802D37">
      <w:pPr>
        <w:pStyle w:val="Prrafodelista"/>
        <w:numPr>
          <w:ilvl w:val="0"/>
          <w:numId w:val="5"/>
        </w:numPr>
        <w:adjustRightInd w:val="0"/>
        <w:ind w:left="0" w:firstLine="0"/>
        <w:rPr>
          <w:rFonts w:ascii="Times New Roman" w:hAnsi="Times New Roman" w:cs="Times New Roman"/>
          <w:sz w:val="28"/>
          <w:szCs w:val="28"/>
          <w:lang w:val="es-ES_tradnl"/>
        </w:rPr>
      </w:pPr>
      <w:r w:rsidRPr="00152C0F">
        <w:rPr>
          <w:rFonts w:ascii="Times New Roman" w:hAnsi="Times New Roman" w:cs="Times New Roman"/>
          <w:sz w:val="28"/>
          <w:szCs w:val="28"/>
          <w:lang w:val="es-ES_tradnl"/>
        </w:rPr>
        <w:t>C</w:t>
      </w:r>
      <w:r w:rsidRPr="00152C0F">
        <w:rPr>
          <w:rFonts w:ascii="Times New Roman" w:hAnsi="Times New Roman" w:cs="Times New Roman"/>
          <w:sz w:val="28"/>
          <w:szCs w:val="28"/>
          <w:lang w:val="es-ES_tradnl"/>
        </w:rPr>
        <w:t xml:space="preserve">omparto la decisión de declarar </w:t>
      </w:r>
      <w:r w:rsidRPr="00152C0F">
        <w:rPr>
          <w:rFonts w:ascii="Times New Roman" w:hAnsi="Times New Roman" w:cs="Times New Roman"/>
          <w:sz w:val="28"/>
          <w:szCs w:val="28"/>
          <w:lang w:val="es-ES_tradnl"/>
        </w:rPr>
        <w:t>inexequibles los artículos 211 y 212</w:t>
      </w:r>
      <w:r w:rsidRPr="00152C0F">
        <w:rPr>
          <w:rFonts w:ascii="Times New Roman" w:hAnsi="Times New Roman" w:cs="Times New Roman"/>
          <w:sz w:val="28"/>
          <w:szCs w:val="28"/>
          <w:lang w:val="es-ES_tradnl"/>
        </w:rPr>
        <w:t xml:space="preserve"> de la Ley 2294 de 2023,</w:t>
      </w:r>
      <w:r w:rsidRPr="00152C0F">
        <w:rPr>
          <w:rFonts w:ascii="Times New Roman" w:hAnsi="Times New Roman" w:cs="Times New Roman"/>
          <w:sz w:val="28"/>
          <w:szCs w:val="28"/>
          <w:lang w:val="es-ES_tradnl"/>
        </w:rPr>
        <w:t xml:space="preserve"> </w:t>
      </w:r>
      <w:r w:rsidRPr="00152C0F">
        <w:rPr>
          <w:rFonts w:ascii="Times New Roman" w:hAnsi="Times New Roman" w:cs="Times New Roman"/>
          <w:sz w:val="28"/>
          <w:szCs w:val="28"/>
          <w:lang w:val="es-ES_tradnl"/>
        </w:rPr>
        <w:t>como consecuencia de que introducen modificaciones permanentes y estructurales al régimen jurídico de la extinción de dominio</w:t>
      </w:r>
      <w:r w:rsidRPr="00152C0F">
        <w:rPr>
          <w:rFonts w:ascii="Times New Roman" w:hAnsi="Times New Roman" w:cs="Times New Roman"/>
          <w:sz w:val="28"/>
          <w:szCs w:val="28"/>
          <w:lang w:val="es-ES_tradnl"/>
        </w:rPr>
        <w:t>. En efecto, estoy de acuerdo con que el artículo 211 es una modificac</w:t>
      </w:r>
      <w:r w:rsidRPr="00152C0F">
        <w:rPr>
          <w:rFonts w:ascii="Times New Roman" w:hAnsi="Times New Roman" w:cs="Times New Roman"/>
          <w:sz w:val="28"/>
          <w:szCs w:val="28"/>
          <w:lang w:val="es-ES_tradnl"/>
        </w:rPr>
        <w:t xml:space="preserve">ión estructural del </w:t>
      </w:r>
      <w:r w:rsidRPr="00152C0F">
        <w:rPr>
          <w:rFonts w:ascii="Times New Roman" w:hAnsi="Times New Roman" w:cs="Times New Roman"/>
          <w:sz w:val="28"/>
          <w:szCs w:val="28"/>
          <w:lang w:val="es-ES_tradnl"/>
        </w:rPr>
        <w:t xml:space="preserve">proceso de extinción de dominio, pues extiende la garantía de imprescriptibilidad a bienes diferentes a los de propiedad del Estado. Por su parte, el artículo 212 resuelve una controversia sobre la duración de las medidas cautelares en </w:t>
      </w:r>
      <w:r w:rsidRPr="00152C0F">
        <w:rPr>
          <w:rFonts w:ascii="Times New Roman" w:hAnsi="Times New Roman" w:cs="Times New Roman"/>
          <w:sz w:val="28"/>
          <w:szCs w:val="28"/>
          <w:lang w:val="es-ES_tradnl"/>
        </w:rPr>
        <w:t xml:space="preserve">los procesos de extinción de dominio. </w:t>
      </w:r>
    </w:p>
    <w:p w:rsidR="00802D37" w:rsidRPr="00152C0F" w:rsidRDefault="00152C0F" w:rsidP="00802D37">
      <w:pPr>
        <w:pStyle w:val="Prrafodelista"/>
        <w:adjustRightInd w:val="0"/>
        <w:ind w:left="0"/>
        <w:rPr>
          <w:rFonts w:ascii="Times New Roman" w:hAnsi="Times New Roman" w:cs="Times New Roman"/>
          <w:sz w:val="28"/>
          <w:szCs w:val="28"/>
          <w:lang w:val="es-ES_tradnl"/>
        </w:rPr>
      </w:pPr>
    </w:p>
    <w:p w:rsidR="00A42B75" w:rsidRPr="00152C0F" w:rsidRDefault="00152C0F" w:rsidP="00A42B75">
      <w:pPr>
        <w:pStyle w:val="Prrafodelista"/>
        <w:numPr>
          <w:ilvl w:val="0"/>
          <w:numId w:val="5"/>
        </w:numPr>
        <w:adjustRightInd w:val="0"/>
        <w:ind w:left="0" w:firstLine="0"/>
        <w:rPr>
          <w:rFonts w:ascii="Times New Roman" w:hAnsi="Times New Roman" w:cs="Times New Roman"/>
          <w:sz w:val="28"/>
          <w:szCs w:val="28"/>
          <w:lang w:val="es-ES_tradnl"/>
        </w:rPr>
      </w:pPr>
      <w:r w:rsidRPr="00152C0F">
        <w:rPr>
          <w:rFonts w:ascii="Times New Roman" w:hAnsi="Times New Roman" w:cs="Times New Roman"/>
          <w:sz w:val="28"/>
          <w:szCs w:val="28"/>
        </w:rPr>
        <w:t>Así, considero que la medida no cumplía con el requisito de temporalidad y, en consecuencia, implicaba un vaciamiento de las competencias ordinarias del legislador. En concreto, como lo ha advertido la Corte en otras</w:t>
      </w:r>
      <w:r w:rsidRPr="00152C0F">
        <w:rPr>
          <w:rFonts w:ascii="Times New Roman" w:hAnsi="Times New Roman" w:cs="Times New Roman"/>
          <w:sz w:val="28"/>
          <w:szCs w:val="28"/>
        </w:rPr>
        <w:t xml:space="preserve"> oportunidades (entre ellas en la Sentencia C-276 de 2021), la disposición configuraba una regulación permanente y estructural o compleja que desplazó las competencias ordinarias del legislador y afectó el principio democrático.</w:t>
      </w:r>
    </w:p>
    <w:p w:rsidR="00A42B75" w:rsidRPr="00152C0F" w:rsidRDefault="00152C0F" w:rsidP="00A42B75">
      <w:pPr>
        <w:pStyle w:val="Prrafodelista"/>
        <w:adjustRightInd w:val="0"/>
        <w:ind w:left="0"/>
        <w:rPr>
          <w:rFonts w:ascii="Times New Roman" w:hAnsi="Times New Roman" w:cs="Times New Roman"/>
          <w:sz w:val="28"/>
          <w:szCs w:val="28"/>
          <w:lang w:val="es-ES_tradnl"/>
        </w:rPr>
      </w:pPr>
    </w:p>
    <w:p w:rsidR="00983AE1" w:rsidRPr="00152C0F" w:rsidRDefault="00152C0F" w:rsidP="003C6B9B">
      <w:pPr>
        <w:pStyle w:val="Prrafodelista"/>
        <w:numPr>
          <w:ilvl w:val="0"/>
          <w:numId w:val="5"/>
        </w:numPr>
        <w:adjustRightInd w:val="0"/>
        <w:ind w:left="0" w:firstLine="0"/>
        <w:rPr>
          <w:rFonts w:ascii="Times New Roman" w:hAnsi="Times New Roman" w:cs="Times New Roman"/>
          <w:sz w:val="28"/>
          <w:szCs w:val="28"/>
          <w:lang w:val="es-ES_tradnl"/>
        </w:rPr>
      </w:pPr>
      <w:r w:rsidRPr="00152C0F">
        <w:rPr>
          <w:rFonts w:ascii="Times New Roman" w:hAnsi="Times New Roman" w:cs="Times New Roman"/>
          <w:sz w:val="28"/>
          <w:szCs w:val="28"/>
          <w:lang w:val="es-ES_tradnl"/>
        </w:rPr>
        <w:t>Ahora bien, a</w:t>
      </w:r>
      <w:r w:rsidRPr="00152C0F">
        <w:rPr>
          <w:rFonts w:ascii="Times New Roman" w:hAnsi="Times New Roman" w:cs="Times New Roman"/>
          <w:sz w:val="28"/>
          <w:szCs w:val="28"/>
          <w:lang w:val="es-ES_tradnl"/>
        </w:rPr>
        <w:t xml:space="preserve"> </w:t>
      </w:r>
      <w:r w:rsidRPr="00152C0F">
        <w:rPr>
          <w:rFonts w:ascii="Times New Roman" w:hAnsi="Times New Roman" w:cs="Times New Roman"/>
          <w:sz w:val="28"/>
          <w:szCs w:val="28"/>
        </w:rPr>
        <w:t>diferencia d</w:t>
      </w:r>
      <w:r w:rsidRPr="00152C0F">
        <w:rPr>
          <w:rFonts w:ascii="Times New Roman" w:hAnsi="Times New Roman" w:cs="Times New Roman"/>
          <w:sz w:val="28"/>
          <w:szCs w:val="28"/>
        </w:rPr>
        <w:t xml:space="preserve">e lo que advierte la mayoría, considero que las disposiciones demandadas </w:t>
      </w:r>
      <w:r w:rsidRPr="00152C0F">
        <w:rPr>
          <w:rFonts w:ascii="Times New Roman" w:hAnsi="Times New Roman" w:cs="Times New Roman"/>
          <w:sz w:val="28"/>
          <w:szCs w:val="28"/>
        </w:rPr>
        <w:t xml:space="preserve">tienen una relación </w:t>
      </w:r>
      <w:r w:rsidRPr="00152C0F">
        <w:rPr>
          <w:rFonts w:ascii="Times New Roman" w:hAnsi="Times New Roman" w:cs="Times New Roman"/>
          <w:sz w:val="28"/>
          <w:szCs w:val="28"/>
        </w:rPr>
        <w:t xml:space="preserve">de </w:t>
      </w:r>
      <w:r w:rsidRPr="00152C0F">
        <w:rPr>
          <w:rFonts w:ascii="Times New Roman" w:hAnsi="Times New Roman" w:cs="Times New Roman"/>
          <w:sz w:val="28"/>
          <w:szCs w:val="28"/>
        </w:rPr>
        <w:t>medio</w:t>
      </w:r>
      <w:r w:rsidRPr="00152C0F">
        <w:rPr>
          <w:rFonts w:ascii="Times New Roman" w:hAnsi="Times New Roman" w:cs="Times New Roman"/>
          <w:sz w:val="28"/>
          <w:szCs w:val="28"/>
        </w:rPr>
        <w:t xml:space="preserve"> a</w:t>
      </w:r>
      <w:r w:rsidRPr="00152C0F">
        <w:rPr>
          <w:rFonts w:ascii="Times New Roman" w:hAnsi="Times New Roman" w:cs="Times New Roman"/>
          <w:sz w:val="28"/>
          <w:szCs w:val="28"/>
        </w:rPr>
        <w:t xml:space="preserve"> fin</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Sentencia </w:t>
      </w:r>
      <w:r w:rsidRPr="00152C0F">
        <w:rPr>
          <w:rFonts w:ascii="Times New Roman" w:hAnsi="Times New Roman" w:cs="Times New Roman"/>
          <w:sz w:val="28"/>
          <w:szCs w:val="28"/>
        </w:rPr>
        <w:t>C-</w:t>
      </w:r>
      <w:r w:rsidRPr="00152C0F">
        <w:rPr>
          <w:rFonts w:ascii="Times New Roman" w:hAnsi="Times New Roman" w:cs="Times New Roman"/>
          <w:sz w:val="28"/>
          <w:szCs w:val="28"/>
        </w:rPr>
        <w:t>440 de 2020) c</w:t>
      </w:r>
      <w:r w:rsidRPr="00152C0F">
        <w:rPr>
          <w:rFonts w:ascii="Times New Roman" w:hAnsi="Times New Roman" w:cs="Times New Roman"/>
          <w:sz w:val="28"/>
          <w:szCs w:val="28"/>
        </w:rPr>
        <w:t xml:space="preserve">on el eje de transformación denominado </w:t>
      </w:r>
      <w:r w:rsidRPr="00152C0F">
        <w:rPr>
          <w:rFonts w:ascii="Times New Roman" w:hAnsi="Times New Roman" w:cs="Times New Roman"/>
          <w:i/>
          <w:iCs/>
          <w:sz w:val="28"/>
          <w:szCs w:val="28"/>
        </w:rPr>
        <w:t>Seguridad humana y justicia social</w:t>
      </w:r>
      <w:r w:rsidRPr="00152C0F">
        <w:rPr>
          <w:rFonts w:ascii="Times New Roman" w:hAnsi="Times New Roman" w:cs="Times New Roman"/>
          <w:sz w:val="28"/>
          <w:szCs w:val="28"/>
        </w:rPr>
        <w:t xml:space="preserve">, que es una meta y un objetivo del PND </w:t>
      </w:r>
      <w:r w:rsidRPr="00152C0F">
        <w:rPr>
          <w:rFonts w:ascii="Times New Roman" w:hAnsi="Times New Roman" w:cs="Times New Roman"/>
          <w:sz w:val="28"/>
          <w:szCs w:val="28"/>
        </w:rPr>
        <w:t>2022-2026</w:t>
      </w:r>
      <w:r w:rsidRPr="00152C0F">
        <w:rPr>
          <w:rFonts w:ascii="Times New Roman" w:hAnsi="Times New Roman" w:cs="Times New Roman"/>
          <w:sz w:val="28"/>
          <w:szCs w:val="28"/>
        </w:rPr>
        <w:t xml:space="preserve">. Esta meta </w:t>
      </w:r>
      <w:r w:rsidRPr="00152C0F">
        <w:rPr>
          <w:rFonts w:ascii="Times New Roman" w:hAnsi="Times New Roman" w:cs="Times New Roman"/>
          <w:sz w:val="28"/>
          <w:szCs w:val="28"/>
        </w:rPr>
        <w:t>pretende transformar la política social para la adaptación y mitigación del riesgo, la cual integra la protección de la vida con la seguridad jurídica e institucional, así como la seguridad económica y social. Para lograr esa transform</w:t>
      </w:r>
      <w:r w:rsidRPr="00152C0F">
        <w:rPr>
          <w:rFonts w:ascii="Times New Roman" w:hAnsi="Times New Roman" w:cs="Times New Roman"/>
          <w:sz w:val="28"/>
          <w:szCs w:val="28"/>
        </w:rPr>
        <w:t xml:space="preserve">ación, se construyeron catalizadores, habilitadores y mecanismos dirigidos a potenciar la seguridad humana y las oportunidades de bienestar. </w:t>
      </w:r>
    </w:p>
    <w:p w:rsidR="00983AE1" w:rsidRPr="00152C0F" w:rsidRDefault="00152C0F" w:rsidP="00983AE1">
      <w:pPr>
        <w:pStyle w:val="Prrafodelista"/>
        <w:rPr>
          <w:rFonts w:ascii="Times New Roman" w:hAnsi="Times New Roman" w:cs="Times New Roman"/>
          <w:sz w:val="28"/>
          <w:szCs w:val="28"/>
        </w:rPr>
      </w:pPr>
    </w:p>
    <w:p w:rsidR="00983AE1" w:rsidRPr="00152C0F" w:rsidRDefault="00152C0F" w:rsidP="00983AE1">
      <w:pPr>
        <w:pStyle w:val="Prrafodelista"/>
        <w:numPr>
          <w:ilvl w:val="0"/>
          <w:numId w:val="5"/>
        </w:numPr>
        <w:adjustRightInd w:val="0"/>
        <w:ind w:left="0" w:firstLine="0"/>
        <w:rPr>
          <w:rFonts w:ascii="Times New Roman" w:hAnsi="Times New Roman" w:cs="Times New Roman"/>
          <w:sz w:val="28"/>
        </w:rPr>
      </w:pPr>
      <w:r w:rsidRPr="00152C0F">
        <w:rPr>
          <w:rFonts w:ascii="Times New Roman" w:hAnsi="Times New Roman" w:cs="Times New Roman"/>
          <w:sz w:val="28"/>
          <w:szCs w:val="28"/>
        </w:rPr>
        <w:t xml:space="preserve">Entre los habilitadores que están más </w:t>
      </w:r>
      <w:r w:rsidRPr="00152C0F">
        <w:rPr>
          <w:rFonts w:ascii="Times New Roman" w:hAnsi="Times New Roman" w:cs="Times New Roman"/>
          <w:sz w:val="28"/>
          <w:szCs w:val="28"/>
        </w:rPr>
        <w:t xml:space="preserve">directamente </w:t>
      </w:r>
      <w:r w:rsidRPr="00152C0F">
        <w:rPr>
          <w:rFonts w:ascii="Times New Roman" w:hAnsi="Times New Roman" w:cs="Times New Roman"/>
          <w:sz w:val="28"/>
          <w:szCs w:val="28"/>
        </w:rPr>
        <w:t>asociados a las normas objeto de control, se pueden citar el d</w:t>
      </w:r>
      <w:r w:rsidRPr="00152C0F">
        <w:rPr>
          <w:rFonts w:ascii="Times New Roman" w:hAnsi="Times New Roman" w:cs="Times New Roman"/>
          <w:sz w:val="28"/>
          <w:szCs w:val="28"/>
        </w:rPr>
        <w:t xml:space="preserve">e </w:t>
      </w:r>
      <w:r w:rsidRPr="00152C0F">
        <w:rPr>
          <w:rFonts w:ascii="Times New Roman" w:hAnsi="Times New Roman" w:cs="Times New Roman"/>
          <w:sz w:val="28"/>
          <w:szCs w:val="28"/>
        </w:rPr>
        <w:t xml:space="preserve">control </w:t>
      </w:r>
      <w:r w:rsidRPr="00152C0F">
        <w:rPr>
          <w:rFonts w:ascii="Times New Roman" w:hAnsi="Times New Roman" w:cs="Times New Roman"/>
          <w:sz w:val="28"/>
          <w:szCs w:val="28"/>
        </w:rPr>
        <w:t>institucional del territorio para minimizar las amenazas al bienestar de las personas y las comunidades -relacionado con la desarticulación de redes criminales y sus bienes-</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el de </w:t>
      </w:r>
      <w:r w:rsidRPr="00152C0F">
        <w:rPr>
          <w:rFonts w:ascii="Times New Roman" w:hAnsi="Times New Roman" w:cs="Times New Roman"/>
          <w:sz w:val="28"/>
          <w:szCs w:val="28"/>
        </w:rPr>
        <w:t xml:space="preserve">regulación </w:t>
      </w:r>
      <w:r w:rsidRPr="00152C0F">
        <w:rPr>
          <w:rFonts w:ascii="Times New Roman" w:hAnsi="Times New Roman" w:cs="Times New Roman"/>
          <w:sz w:val="28"/>
          <w:szCs w:val="28"/>
        </w:rPr>
        <w:t xml:space="preserve">de las drogas: del prohibicionismo a la dignificación </w:t>
      </w:r>
      <w:r w:rsidRPr="00152C0F">
        <w:rPr>
          <w:rFonts w:ascii="Times New Roman" w:hAnsi="Times New Roman" w:cs="Times New Roman"/>
          <w:sz w:val="28"/>
          <w:szCs w:val="28"/>
        </w:rPr>
        <w:t>de las personas comunidades, territorios y el medio ambiente  -que articula el proceso de extinción de domino con la paz total</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 xml:space="preserve">y el de </w:t>
      </w:r>
      <w:r w:rsidRPr="00152C0F">
        <w:rPr>
          <w:rFonts w:ascii="Times New Roman" w:hAnsi="Times New Roman" w:cs="Times New Roman"/>
          <w:sz w:val="28"/>
          <w:szCs w:val="28"/>
        </w:rPr>
        <w:t xml:space="preserve">humanización </w:t>
      </w:r>
      <w:r w:rsidRPr="00152C0F">
        <w:rPr>
          <w:rFonts w:ascii="Times New Roman" w:hAnsi="Times New Roman" w:cs="Times New Roman"/>
          <w:sz w:val="28"/>
          <w:szCs w:val="28"/>
        </w:rPr>
        <w:t xml:space="preserve">de la política criminal y superación del </w:t>
      </w:r>
      <w:r w:rsidRPr="00152C0F">
        <w:rPr>
          <w:rFonts w:ascii="Times New Roman" w:hAnsi="Times New Roman" w:cs="Times New Roman"/>
          <w:sz w:val="28"/>
          <w:szCs w:val="28"/>
        </w:rPr>
        <w:t>e</w:t>
      </w:r>
      <w:r w:rsidRPr="00152C0F">
        <w:rPr>
          <w:rFonts w:ascii="Times New Roman" w:hAnsi="Times New Roman" w:cs="Times New Roman"/>
          <w:sz w:val="28"/>
          <w:szCs w:val="28"/>
        </w:rPr>
        <w:t xml:space="preserve">stado de </w:t>
      </w:r>
      <w:r w:rsidRPr="00152C0F">
        <w:rPr>
          <w:rFonts w:ascii="Times New Roman" w:hAnsi="Times New Roman" w:cs="Times New Roman"/>
          <w:sz w:val="28"/>
          <w:szCs w:val="28"/>
        </w:rPr>
        <w:t>c</w:t>
      </w:r>
      <w:r w:rsidRPr="00152C0F">
        <w:rPr>
          <w:rFonts w:ascii="Times New Roman" w:hAnsi="Times New Roman" w:cs="Times New Roman"/>
          <w:sz w:val="28"/>
          <w:szCs w:val="28"/>
        </w:rPr>
        <w:t>osas inconstitucional en materia penitenciaria y carce</w:t>
      </w:r>
      <w:r w:rsidRPr="00152C0F">
        <w:rPr>
          <w:rFonts w:ascii="Times New Roman" w:hAnsi="Times New Roman" w:cs="Times New Roman"/>
          <w:sz w:val="28"/>
          <w:szCs w:val="28"/>
        </w:rPr>
        <w:t>laria. Este último</w:t>
      </w:r>
      <w:r w:rsidRPr="00152C0F">
        <w:rPr>
          <w:rFonts w:ascii="Times New Roman" w:hAnsi="Times New Roman" w:cs="Times New Roman"/>
          <w:sz w:val="28"/>
          <w:szCs w:val="28"/>
        </w:rPr>
        <w:t xml:space="preserve"> habilitador, en su componente </w:t>
      </w:r>
      <w:r w:rsidRPr="00152C0F">
        <w:rPr>
          <w:rFonts w:ascii="Times New Roman" w:hAnsi="Times New Roman" w:cs="Times New Roman"/>
          <w:i/>
          <w:iCs/>
          <w:sz w:val="28"/>
          <w:szCs w:val="28"/>
        </w:rPr>
        <w:t xml:space="preserve">extinción </w:t>
      </w:r>
      <w:r w:rsidRPr="00152C0F">
        <w:rPr>
          <w:rFonts w:ascii="Times New Roman" w:hAnsi="Times New Roman" w:cs="Times New Roman"/>
          <w:i/>
          <w:iCs/>
          <w:sz w:val="28"/>
          <w:szCs w:val="28"/>
        </w:rPr>
        <w:t>de dominio para el beneficio social,</w:t>
      </w:r>
      <w:r w:rsidRPr="00152C0F">
        <w:rPr>
          <w:rFonts w:ascii="Times New Roman" w:hAnsi="Times New Roman" w:cs="Times New Roman"/>
          <w:sz w:val="28"/>
          <w:szCs w:val="28"/>
        </w:rPr>
        <w:t xml:space="preserve"> es quizás el más relevante, pues propone ajustes normativos para mayor efectividad de los procesos de extinción de dominio y de la consiguiente gestión de activ</w:t>
      </w:r>
      <w:r w:rsidRPr="00152C0F">
        <w:rPr>
          <w:rFonts w:ascii="Times New Roman" w:hAnsi="Times New Roman" w:cs="Times New Roman"/>
          <w:sz w:val="28"/>
          <w:szCs w:val="28"/>
        </w:rPr>
        <w:t xml:space="preserve">os por parte de la SAE, con lo cual los artículos 211 y 212 serían medios para potenciar la seguridad y las oportunidades de bienestar, y así aportar al cumplimiento del eje </w:t>
      </w:r>
      <w:r w:rsidRPr="00152C0F">
        <w:rPr>
          <w:rFonts w:ascii="Times New Roman" w:hAnsi="Times New Roman" w:cs="Times New Roman"/>
          <w:sz w:val="28"/>
          <w:szCs w:val="28"/>
        </w:rPr>
        <w:t xml:space="preserve">seguridad </w:t>
      </w:r>
      <w:r w:rsidRPr="00152C0F">
        <w:rPr>
          <w:rFonts w:ascii="Times New Roman" w:hAnsi="Times New Roman" w:cs="Times New Roman"/>
          <w:sz w:val="28"/>
          <w:szCs w:val="28"/>
        </w:rPr>
        <w:t>humana y justicia social.</w:t>
      </w:r>
    </w:p>
    <w:p w:rsidR="00983AE1" w:rsidRPr="00152C0F" w:rsidRDefault="00152C0F" w:rsidP="00983AE1">
      <w:pPr>
        <w:pStyle w:val="Prrafodelista"/>
        <w:adjustRightInd w:val="0"/>
        <w:ind w:left="0"/>
        <w:rPr>
          <w:rFonts w:ascii="Times New Roman" w:hAnsi="Times New Roman" w:cs="Times New Roman"/>
          <w:sz w:val="28"/>
        </w:rPr>
      </w:pPr>
    </w:p>
    <w:p w:rsidR="00983AE1" w:rsidRPr="00152C0F" w:rsidRDefault="00152C0F" w:rsidP="00983AE1">
      <w:pPr>
        <w:pStyle w:val="Prrafodelista"/>
        <w:numPr>
          <w:ilvl w:val="0"/>
          <w:numId w:val="5"/>
        </w:numPr>
        <w:adjustRightInd w:val="0"/>
        <w:ind w:left="0" w:firstLine="0"/>
        <w:rPr>
          <w:rFonts w:ascii="Times New Roman" w:hAnsi="Times New Roman" w:cs="Times New Roman"/>
          <w:sz w:val="28"/>
        </w:rPr>
      </w:pPr>
      <w:r w:rsidRPr="00152C0F">
        <w:rPr>
          <w:rFonts w:ascii="Times New Roman" w:hAnsi="Times New Roman" w:cs="Times New Roman"/>
          <w:sz w:val="28"/>
          <w:szCs w:val="28"/>
        </w:rPr>
        <w:t>En esa misma línea, el Plan Plurianual de Inv</w:t>
      </w:r>
      <w:r w:rsidRPr="00152C0F">
        <w:rPr>
          <w:rFonts w:ascii="Times New Roman" w:hAnsi="Times New Roman" w:cs="Times New Roman"/>
          <w:sz w:val="28"/>
          <w:szCs w:val="28"/>
        </w:rPr>
        <w:t>ersiones al que se refiere el artículo 5 de la Ley 2294</w:t>
      </w:r>
      <w:r w:rsidRPr="00152C0F">
        <w:rPr>
          <w:rFonts w:ascii="Times New Roman" w:hAnsi="Times New Roman" w:cs="Times New Roman"/>
          <w:sz w:val="28"/>
          <w:szCs w:val="28"/>
        </w:rPr>
        <w:t>,</w:t>
      </w:r>
      <w:r w:rsidRPr="00152C0F">
        <w:rPr>
          <w:rFonts w:ascii="Times New Roman" w:hAnsi="Times New Roman" w:cs="Times New Roman"/>
          <w:sz w:val="28"/>
          <w:szCs w:val="28"/>
        </w:rPr>
        <w:t xml:space="preserve"> asigna el mayor presupuesto al logro de los objetivos propios del eje de </w:t>
      </w:r>
      <w:r w:rsidRPr="00152C0F">
        <w:rPr>
          <w:rFonts w:ascii="Times New Roman" w:hAnsi="Times New Roman" w:cs="Times New Roman"/>
          <w:i/>
          <w:iCs/>
          <w:sz w:val="28"/>
          <w:szCs w:val="28"/>
        </w:rPr>
        <w:t xml:space="preserve">seguridad </w:t>
      </w:r>
      <w:r w:rsidRPr="00152C0F">
        <w:rPr>
          <w:rFonts w:ascii="Times New Roman" w:hAnsi="Times New Roman" w:cs="Times New Roman"/>
          <w:i/>
          <w:iCs/>
          <w:sz w:val="28"/>
          <w:szCs w:val="28"/>
        </w:rPr>
        <w:t>humana y justicia social</w:t>
      </w:r>
      <w:r w:rsidRPr="00152C0F">
        <w:rPr>
          <w:rFonts w:ascii="Times New Roman" w:hAnsi="Times New Roman" w:cs="Times New Roman"/>
          <w:sz w:val="28"/>
          <w:szCs w:val="28"/>
        </w:rPr>
        <w:t>, para lo cual se definen unas líneas de inversión y proyectos estratégicos. Es a este asunt</w:t>
      </w:r>
      <w:r w:rsidRPr="00152C0F">
        <w:rPr>
          <w:rFonts w:ascii="Times New Roman" w:hAnsi="Times New Roman" w:cs="Times New Roman"/>
          <w:sz w:val="28"/>
          <w:szCs w:val="28"/>
        </w:rPr>
        <w:t>o al que se asocian las disposiciones acusadas, pues las modificaciones en materia de imprescriptibilidad y caducidad de las medidas cautelares en los procesos de extinción de dominio podrían impactar en la financiación de esa transformación, por lo que gu</w:t>
      </w:r>
      <w:r w:rsidRPr="00152C0F">
        <w:rPr>
          <w:rFonts w:ascii="Times New Roman" w:hAnsi="Times New Roman" w:cs="Times New Roman"/>
          <w:sz w:val="28"/>
          <w:szCs w:val="28"/>
        </w:rPr>
        <w:t xml:space="preserve">ardan correspondencia con la ley del plan de inversiones y, consecuentemente, con el PND y </w:t>
      </w:r>
      <w:r w:rsidRPr="00152C0F">
        <w:rPr>
          <w:rFonts w:ascii="Times New Roman" w:hAnsi="Times New Roman" w:cs="Times New Roman"/>
          <w:sz w:val="28"/>
          <w:szCs w:val="28"/>
        </w:rPr>
        <w:t>sus b</w:t>
      </w:r>
      <w:r w:rsidRPr="00152C0F">
        <w:rPr>
          <w:rFonts w:ascii="Times New Roman" w:hAnsi="Times New Roman" w:cs="Times New Roman"/>
          <w:sz w:val="28"/>
          <w:szCs w:val="28"/>
        </w:rPr>
        <w:t>ases.</w:t>
      </w:r>
      <w:r w:rsidRPr="00152C0F">
        <w:rPr>
          <w:rFonts w:ascii="Times New Roman" w:hAnsi="Times New Roman" w:cs="Times New Roman"/>
          <w:sz w:val="28"/>
          <w:szCs w:val="28"/>
          <w:lang w:val="es-ES_tradnl"/>
        </w:rPr>
        <w:t> </w:t>
      </w:r>
    </w:p>
    <w:p w:rsidR="00983AE1" w:rsidRPr="00152C0F" w:rsidRDefault="00152C0F" w:rsidP="00983AE1">
      <w:pPr>
        <w:pStyle w:val="Prrafodelista"/>
        <w:rPr>
          <w:rFonts w:ascii="Times New Roman" w:hAnsi="Times New Roman" w:cs="Times New Roman"/>
          <w:sz w:val="28"/>
          <w:szCs w:val="28"/>
          <w:lang w:val="es-ES_tradnl"/>
        </w:rPr>
      </w:pPr>
    </w:p>
    <w:p w:rsidR="00983AE1" w:rsidRPr="00152C0F" w:rsidRDefault="00152C0F" w:rsidP="00983AE1">
      <w:pPr>
        <w:pStyle w:val="Prrafodelista"/>
        <w:numPr>
          <w:ilvl w:val="0"/>
          <w:numId w:val="5"/>
        </w:numPr>
        <w:adjustRightInd w:val="0"/>
        <w:ind w:left="0" w:firstLine="0"/>
        <w:rPr>
          <w:rFonts w:ascii="Times New Roman" w:hAnsi="Times New Roman" w:cs="Times New Roman"/>
          <w:sz w:val="28"/>
        </w:rPr>
      </w:pPr>
      <w:r w:rsidRPr="00152C0F">
        <w:rPr>
          <w:rFonts w:ascii="Times New Roman" w:hAnsi="Times New Roman" w:cs="Times New Roman"/>
          <w:sz w:val="28"/>
          <w:szCs w:val="28"/>
          <w:lang w:val="es-ES_tradnl"/>
        </w:rPr>
        <w:t xml:space="preserve">De ahí que resultara apenas lógico identificar </w:t>
      </w:r>
      <w:r w:rsidRPr="00152C0F">
        <w:rPr>
          <w:rFonts w:ascii="Times New Roman" w:hAnsi="Times New Roman" w:cs="Times New Roman"/>
          <w:sz w:val="28"/>
          <w:szCs w:val="28"/>
        </w:rPr>
        <w:t xml:space="preserve">una </w:t>
      </w:r>
      <w:bookmarkStart w:id="11" w:name="_Hlk189054829"/>
      <w:r w:rsidRPr="00152C0F">
        <w:rPr>
          <w:rFonts w:ascii="Times New Roman" w:hAnsi="Times New Roman" w:cs="Times New Roman"/>
          <w:sz w:val="28"/>
          <w:szCs w:val="28"/>
        </w:rPr>
        <w:t>relación directa e inmediata, de medio a fin, entre las disposiciones acusadas y el objetivo descrito</w:t>
      </w:r>
      <w:bookmarkEnd w:id="11"/>
      <w:r w:rsidRPr="00152C0F">
        <w:rPr>
          <w:rFonts w:ascii="Times New Roman" w:hAnsi="Times New Roman" w:cs="Times New Roman"/>
          <w:sz w:val="28"/>
          <w:szCs w:val="28"/>
        </w:rPr>
        <w:t>, pues contribuyen en forma inequívoca a su realización y consecución.</w:t>
      </w:r>
      <w:r w:rsidRPr="00152C0F">
        <w:rPr>
          <w:rFonts w:ascii="Times New Roman" w:hAnsi="Times New Roman" w:cs="Times New Roman"/>
          <w:sz w:val="28"/>
          <w:szCs w:val="28"/>
        </w:rPr>
        <w:t xml:space="preserve"> </w:t>
      </w:r>
      <w:r w:rsidRPr="00152C0F">
        <w:rPr>
          <w:rFonts w:ascii="Times New Roman" w:hAnsi="Times New Roman" w:cs="Times New Roman"/>
          <w:sz w:val="28"/>
          <w:szCs w:val="28"/>
        </w:rPr>
        <w:t>Hay entonces, al menos una relación medio a fin entre las disposiciones acusadas y los objetivos del PND, que puede calificarse como directa e inmediata.</w:t>
      </w:r>
    </w:p>
    <w:p w:rsidR="00983AE1" w:rsidRPr="00152C0F" w:rsidRDefault="00152C0F" w:rsidP="00983AE1">
      <w:pPr>
        <w:pStyle w:val="Prrafodelista"/>
        <w:rPr>
          <w:rFonts w:ascii="Times New Roman" w:hAnsi="Times New Roman" w:cs="Times New Roman"/>
          <w:sz w:val="28"/>
          <w:szCs w:val="28"/>
          <w:lang w:val="es-ES_tradnl"/>
        </w:rPr>
      </w:pPr>
    </w:p>
    <w:p w:rsidR="00983AE1" w:rsidRPr="00152C0F" w:rsidRDefault="00152C0F" w:rsidP="00983AE1">
      <w:pPr>
        <w:pStyle w:val="Prrafodelista"/>
        <w:numPr>
          <w:ilvl w:val="0"/>
          <w:numId w:val="5"/>
        </w:numPr>
        <w:adjustRightInd w:val="0"/>
        <w:ind w:left="0" w:firstLine="0"/>
        <w:rPr>
          <w:rFonts w:ascii="Times New Roman" w:hAnsi="Times New Roman" w:cs="Times New Roman"/>
          <w:sz w:val="28"/>
        </w:rPr>
      </w:pPr>
      <w:r w:rsidRPr="00152C0F">
        <w:rPr>
          <w:rFonts w:ascii="Times New Roman" w:hAnsi="Times New Roman" w:cs="Times New Roman"/>
          <w:sz w:val="28"/>
          <w:szCs w:val="28"/>
          <w:lang w:val="es-ES_tradnl"/>
        </w:rPr>
        <w:t>Empero, la ponencia señala (i)</w:t>
      </w:r>
      <w:r w:rsidRPr="00152C0F">
        <w:rPr>
          <w:rFonts w:ascii="Times New Roman" w:hAnsi="Times New Roman" w:cs="Times New Roman"/>
          <w:sz w:val="28"/>
          <w:szCs w:val="28"/>
          <w:lang w:val="es-ES_tradnl"/>
        </w:rPr>
        <w:t xml:space="preserve"> que el vínculo entre las disposiciones acusadas y las políticas y estrategias de la parte general del plan es apenas mediato e indirecto, al no generar un impacto verificable e inmediato en su materialización, (ii) así como que el vínculo con los programa</w:t>
      </w:r>
      <w:r w:rsidRPr="00152C0F">
        <w:rPr>
          <w:rFonts w:ascii="Times New Roman" w:hAnsi="Times New Roman" w:cs="Times New Roman"/>
          <w:sz w:val="28"/>
          <w:szCs w:val="28"/>
          <w:lang w:val="es-ES_tradnl"/>
        </w:rPr>
        <w:t>s y proyectos del plan plurianual de inversiones es meramente formal e indirecto por no tratarse de ninguna de estas categorías y porque las medidas que adoptan no constituyen mecanismos idóneos para la ejecución de los programas y proyectos del plan de in</w:t>
      </w:r>
      <w:r w:rsidRPr="00152C0F">
        <w:rPr>
          <w:rFonts w:ascii="Times New Roman" w:hAnsi="Times New Roman" w:cs="Times New Roman"/>
          <w:sz w:val="28"/>
          <w:szCs w:val="28"/>
          <w:lang w:val="es-ES_tradnl"/>
        </w:rPr>
        <w:t>versiones. La rigurosidad con la que se examina este aspecto en la Sentencia C-430 de 2024, impone cargas argumentativas que podrían resultar irrazonables para el legislador y el gobierno y, en todo caso</w:t>
      </w:r>
      <w:r w:rsidRPr="00152C0F">
        <w:rPr>
          <w:rFonts w:ascii="Times New Roman" w:hAnsi="Times New Roman" w:cs="Times New Roman"/>
          <w:sz w:val="28"/>
          <w:szCs w:val="28"/>
        </w:rPr>
        <w:t xml:space="preserve">, terminan por situar al juez constitucional como el </w:t>
      </w:r>
      <w:r w:rsidRPr="00152C0F">
        <w:rPr>
          <w:rFonts w:ascii="Times New Roman" w:hAnsi="Times New Roman" w:cs="Times New Roman"/>
          <w:sz w:val="28"/>
          <w:szCs w:val="28"/>
        </w:rPr>
        <w:t xml:space="preserve">encargado de establecer si una política pública o un instrumento que materializa la base del plan de gobierno es eficaz materialmente en términos del PND correspondiente, rol que ni el texto superior ni la jurisprudencia le han asignado. </w:t>
      </w:r>
    </w:p>
    <w:p w:rsidR="00A42B75" w:rsidRPr="00152C0F" w:rsidRDefault="00152C0F" w:rsidP="00A42B75">
      <w:pPr>
        <w:pStyle w:val="Prrafodelista"/>
        <w:rPr>
          <w:rFonts w:ascii="Times New Roman" w:hAnsi="Times New Roman" w:cs="Times New Roman"/>
          <w:sz w:val="28"/>
        </w:rPr>
      </w:pPr>
    </w:p>
    <w:p w:rsidR="005D0FD0" w:rsidRPr="00152C0F" w:rsidRDefault="00152C0F" w:rsidP="005D0FD0">
      <w:pPr>
        <w:pStyle w:val="Prrafodelista"/>
        <w:numPr>
          <w:ilvl w:val="0"/>
          <w:numId w:val="5"/>
        </w:numPr>
        <w:adjustRightInd w:val="0"/>
        <w:ind w:left="0" w:firstLine="0"/>
        <w:rPr>
          <w:rFonts w:ascii="Times New Roman" w:hAnsi="Times New Roman" w:cs="Times New Roman"/>
          <w:sz w:val="28"/>
        </w:rPr>
      </w:pPr>
      <w:r w:rsidRPr="00152C0F">
        <w:rPr>
          <w:rFonts w:ascii="Times New Roman" w:hAnsi="Times New Roman" w:cs="Times New Roman"/>
          <w:sz w:val="28"/>
        </w:rPr>
        <w:t>Considero que el</w:t>
      </w:r>
      <w:r w:rsidRPr="00152C0F">
        <w:rPr>
          <w:rFonts w:ascii="Times New Roman" w:hAnsi="Times New Roman" w:cs="Times New Roman"/>
          <w:sz w:val="28"/>
        </w:rPr>
        <w:t xml:space="preserve"> estándar según el cual la relación de conexidad tiene una dimensión </w:t>
      </w:r>
      <w:r w:rsidRPr="00152C0F">
        <w:rPr>
          <w:rFonts w:ascii="Times New Roman" w:hAnsi="Times New Roman" w:cs="Times New Roman"/>
          <w:sz w:val="28"/>
        </w:rPr>
        <w:t>formal y material</w:t>
      </w:r>
      <w:r w:rsidRPr="00152C0F">
        <w:rPr>
          <w:rFonts w:ascii="Times New Roman" w:hAnsi="Times New Roman" w:cs="Times New Roman"/>
          <w:sz w:val="28"/>
        </w:rPr>
        <w:t xml:space="preserve">, así como </w:t>
      </w:r>
      <w:r w:rsidRPr="00152C0F">
        <w:rPr>
          <w:rFonts w:ascii="Times New Roman" w:hAnsi="Times New Roman" w:cs="Times New Roman"/>
          <w:sz w:val="28"/>
        </w:rPr>
        <w:t xml:space="preserve">el </w:t>
      </w:r>
      <w:r w:rsidRPr="00152C0F">
        <w:rPr>
          <w:rFonts w:ascii="Times New Roman" w:hAnsi="Times New Roman" w:cs="Times New Roman"/>
          <w:sz w:val="28"/>
        </w:rPr>
        <w:t xml:space="preserve">nivel de análisis relativo al impacto verificable en la materialización de las políticas, </w:t>
      </w:r>
      <w:r w:rsidRPr="00152C0F">
        <w:rPr>
          <w:rFonts w:ascii="Times New Roman" w:hAnsi="Times New Roman" w:cs="Times New Roman"/>
          <w:sz w:val="28"/>
        </w:rPr>
        <w:t>no es el que ha utilizado la Corte en estos casos</w:t>
      </w:r>
      <w:r w:rsidRPr="00152C0F">
        <w:rPr>
          <w:rFonts w:ascii="Times New Roman" w:hAnsi="Times New Roman" w:cs="Times New Roman"/>
          <w:sz w:val="28"/>
        </w:rPr>
        <w:t xml:space="preserve">. </w:t>
      </w:r>
      <w:r w:rsidRPr="00152C0F">
        <w:rPr>
          <w:rFonts w:ascii="Times New Roman" w:hAnsi="Times New Roman" w:cs="Times New Roman"/>
          <w:sz w:val="28"/>
        </w:rPr>
        <w:t>Como lo sostuve</w:t>
      </w:r>
      <w:r w:rsidRPr="00152C0F">
        <w:rPr>
          <w:rFonts w:ascii="Times New Roman" w:hAnsi="Times New Roman" w:cs="Times New Roman"/>
          <w:sz w:val="28"/>
        </w:rPr>
        <w:t xml:space="preserve"> en mi aclaración de voto a la Sentencia C-037 de 2024</w:t>
      </w:r>
      <w:r w:rsidRPr="00152C0F">
        <w:rPr>
          <w:rFonts w:ascii="Times New Roman" w:hAnsi="Times New Roman" w:cs="Times New Roman"/>
          <w:sz w:val="28"/>
        </w:rPr>
        <w:t xml:space="preserve">, </w:t>
      </w:r>
      <w:r w:rsidRPr="00152C0F">
        <w:rPr>
          <w:rFonts w:ascii="Times New Roman" w:hAnsi="Times New Roman" w:cs="Times New Roman"/>
          <w:sz w:val="28"/>
        </w:rPr>
        <w:t>el uso de estas nociones implica</w:t>
      </w:r>
      <w:r w:rsidRPr="00152C0F">
        <w:rPr>
          <w:rFonts w:ascii="Times New Roman" w:hAnsi="Times New Roman" w:cs="Times New Roman"/>
          <w:sz w:val="28"/>
          <w:szCs w:val="28"/>
          <w:lang w:val="es-ES_tradnl"/>
        </w:rPr>
        <w:t xml:space="preserve"> escenarios altamente restrictivos que imponen cargas que podrían resultar irrazonables para el legislador y el gobierno y, en todo caso</w:t>
      </w:r>
      <w:r w:rsidRPr="00152C0F">
        <w:rPr>
          <w:rFonts w:ascii="Times New Roman" w:hAnsi="Times New Roman" w:cs="Times New Roman"/>
          <w:sz w:val="28"/>
          <w:szCs w:val="28"/>
        </w:rPr>
        <w:t xml:space="preserve">, sitúan al juez constitucional </w:t>
      </w:r>
      <w:r w:rsidRPr="00152C0F">
        <w:rPr>
          <w:rFonts w:ascii="Times New Roman" w:hAnsi="Times New Roman" w:cs="Times New Roman"/>
          <w:sz w:val="28"/>
          <w:szCs w:val="28"/>
        </w:rPr>
        <w:t xml:space="preserve">como el encargado de establecer si una política pública o un instrumento que materializa la base del plan de gobierno es eficaz materialmente en términos del PND correspondiente. </w:t>
      </w:r>
    </w:p>
    <w:p w:rsidR="00CE06FA" w:rsidRPr="00152C0F" w:rsidRDefault="00152C0F" w:rsidP="00983AE1">
      <w:pPr>
        <w:pStyle w:val="Prrafodelista"/>
        <w:adjustRightInd w:val="0"/>
        <w:ind w:left="0"/>
        <w:rPr>
          <w:rFonts w:ascii="Times New Roman" w:hAnsi="Times New Roman" w:cs="Times New Roman"/>
          <w:sz w:val="28"/>
        </w:rPr>
      </w:pPr>
    </w:p>
    <w:p w:rsidR="00983AE1" w:rsidRPr="00152C0F" w:rsidRDefault="00152C0F" w:rsidP="00983AE1">
      <w:pPr>
        <w:pStyle w:val="Prrafodelista"/>
        <w:adjustRightInd w:val="0"/>
        <w:ind w:left="0"/>
        <w:rPr>
          <w:rFonts w:ascii="Times New Roman" w:hAnsi="Times New Roman" w:cs="Times New Roman"/>
          <w:sz w:val="28"/>
          <w:szCs w:val="28"/>
        </w:rPr>
      </w:pPr>
      <w:r w:rsidRPr="00152C0F">
        <w:rPr>
          <w:rFonts w:ascii="Times New Roman" w:hAnsi="Times New Roman" w:cs="Times New Roman"/>
          <w:sz w:val="28"/>
          <w:szCs w:val="28"/>
        </w:rPr>
        <w:t>En estos términos quedan expuestas las razones por las cuales aclaro el vot</w:t>
      </w:r>
      <w:r w:rsidRPr="00152C0F">
        <w:rPr>
          <w:rFonts w:ascii="Times New Roman" w:hAnsi="Times New Roman" w:cs="Times New Roman"/>
          <w:sz w:val="28"/>
          <w:szCs w:val="28"/>
        </w:rPr>
        <w:t>o respecto de la Sentencia</w:t>
      </w:r>
      <w:r w:rsidRPr="00152C0F">
        <w:rPr>
          <w:rFonts w:ascii="Times New Roman" w:hAnsi="Times New Roman" w:cs="Times New Roman"/>
          <w:sz w:val="28"/>
          <w:szCs w:val="28"/>
        </w:rPr>
        <w:t xml:space="preserve"> C-430 de 2024. </w:t>
      </w:r>
    </w:p>
    <w:p w:rsidR="005D0FD0" w:rsidRPr="00152C0F" w:rsidRDefault="00152C0F" w:rsidP="00983AE1">
      <w:pPr>
        <w:pStyle w:val="Prrafodelista"/>
        <w:adjustRightInd w:val="0"/>
        <w:ind w:left="0"/>
        <w:rPr>
          <w:rFonts w:ascii="Times New Roman" w:hAnsi="Times New Roman" w:cs="Times New Roman"/>
          <w:sz w:val="28"/>
          <w:szCs w:val="28"/>
        </w:rPr>
      </w:pPr>
    </w:p>
    <w:p w:rsidR="001F399C" w:rsidRPr="00152C0F" w:rsidRDefault="00152C0F" w:rsidP="00081353">
      <w:pPr>
        <w:spacing w:line="235" w:lineRule="atLeast"/>
        <w:ind w:right="-70"/>
        <w:rPr>
          <w:rFonts w:ascii="Times New Roman" w:hAnsi="Times New Roman" w:cs="Times New Roman"/>
          <w:i/>
          <w:iCs/>
          <w:sz w:val="28"/>
          <w:szCs w:val="28"/>
          <w:lang w:eastAsia="es-MX"/>
        </w:rPr>
      </w:pPr>
      <w:r w:rsidRPr="00152C0F">
        <w:rPr>
          <w:rFonts w:ascii="Times New Roman" w:hAnsi="Times New Roman" w:cs="Times New Roman"/>
          <w:sz w:val="28"/>
          <w:szCs w:val="28"/>
          <w:lang w:eastAsia="es-MX"/>
        </w:rPr>
        <w:t>Fecha</w:t>
      </w:r>
      <w:r w:rsidRPr="00152C0F">
        <w:rPr>
          <w:rFonts w:ascii="Times New Roman" w:hAnsi="Times New Roman" w:cs="Times New Roman"/>
          <w:i/>
          <w:iCs/>
          <w:sz w:val="28"/>
          <w:szCs w:val="28"/>
          <w:lang w:eastAsia="es-MX"/>
        </w:rPr>
        <w:t> ut supra</w:t>
      </w:r>
    </w:p>
    <w:p w:rsidR="00607B94" w:rsidRPr="00152C0F" w:rsidRDefault="00152C0F" w:rsidP="00081353">
      <w:pPr>
        <w:spacing w:line="235" w:lineRule="atLeast"/>
        <w:ind w:right="-70"/>
        <w:rPr>
          <w:rFonts w:ascii="Times New Roman" w:hAnsi="Times New Roman" w:cs="Times New Roman"/>
          <w:sz w:val="28"/>
        </w:rPr>
      </w:pPr>
    </w:p>
    <w:p w:rsidR="00607B94" w:rsidRPr="00152C0F" w:rsidRDefault="00152C0F" w:rsidP="00081353">
      <w:pPr>
        <w:spacing w:line="235" w:lineRule="atLeast"/>
        <w:ind w:right="-70"/>
        <w:rPr>
          <w:rFonts w:ascii="Times New Roman" w:hAnsi="Times New Roman" w:cs="Times New Roman"/>
          <w:sz w:val="28"/>
        </w:rPr>
      </w:pPr>
    </w:p>
    <w:p w:rsidR="00607B94" w:rsidRPr="00152C0F" w:rsidRDefault="00152C0F" w:rsidP="00830481">
      <w:pPr>
        <w:ind w:right="-68"/>
        <w:jc w:val="center"/>
        <w:rPr>
          <w:rFonts w:ascii="Times New Roman" w:hAnsi="Times New Roman" w:cs="Times New Roman"/>
          <w:b/>
          <w:bCs/>
          <w:sz w:val="28"/>
        </w:rPr>
      </w:pPr>
      <w:r w:rsidRPr="00152C0F">
        <w:rPr>
          <w:rFonts w:ascii="Times New Roman" w:hAnsi="Times New Roman" w:cs="Times New Roman"/>
          <w:b/>
          <w:bCs/>
          <w:sz w:val="28"/>
        </w:rPr>
        <w:t>JUAN CARLOS CORTÉS GONZÁLEZ</w:t>
      </w:r>
    </w:p>
    <w:p w:rsidR="00607B94" w:rsidRPr="00152C0F" w:rsidRDefault="00152C0F" w:rsidP="00830481">
      <w:pPr>
        <w:ind w:right="-68"/>
        <w:jc w:val="center"/>
        <w:rPr>
          <w:rFonts w:ascii="Times New Roman" w:hAnsi="Times New Roman" w:cs="Times New Roman"/>
          <w:b/>
          <w:bCs/>
          <w:sz w:val="28"/>
        </w:rPr>
      </w:pPr>
      <w:r w:rsidRPr="00152C0F">
        <w:rPr>
          <w:rFonts w:ascii="Times New Roman" w:hAnsi="Times New Roman" w:cs="Times New Roman"/>
          <w:b/>
          <w:bCs/>
          <w:sz w:val="28"/>
        </w:rPr>
        <w:t>Magistrado</w:t>
      </w:r>
    </w:p>
    <w:sectPr w:rsidR="00607B94" w:rsidRPr="00152C0F">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52C0F">
      <w:pPr>
        <w:spacing w:after="0" w:line="240" w:lineRule="auto"/>
      </w:pPr>
      <w:r>
        <w:separator/>
      </w:r>
    </w:p>
  </w:endnote>
  <w:endnote w:type="continuationSeparator" w:id="0">
    <w:p w:rsidR="00000000" w:rsidRDefault="00152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52C0F">
      <w:pPr>
        <w:spacing w:after="0" w:line="240" w:lineRule="auto"/>
      </w:pPr>
      <w:r>
        <w:separator/>
      </w:r>
    </w:p>
  </w:footnote>
  <w:footnote w:type="continuationSeparator" w:id="0">
    <w:p w:rsidR="00000000" w:rsidRDefault="00152C0F">
      <w:pPr>
        <w:spacing w:after="0" w:line="240" w:lineRule="auto"/>
      </w:pPr>
      <w:r>
        <w:continuationSeparator/>
      </w:r>
    </w:p>
  </w:footnote>
  <w:footnote w:id="1">
    <w:p w:rsidR="00456375" w:rsidRPr="00FD40CE" w:rsidRDefault="00152C0F" w:rsidP="00047F70">
      <w:pPr>
        <w:pStyle w:val="Textonotapie"/>
        <w:jc w:val="both"/>
        <w:rPr>
          <w:lang w:val="es-ES"/>
        </w:rPr>
      </w:pPr>
      <w:r w:rsidRPr="00FD40CE">
        <w:rPr>
          <w:rStyle w:val="Refdenotaalpie"/>
          <w:lang w:val="es-ES"/>
        </w:rPr>
        <w:footnoteRef/>
      </w:r>
      <w:r w:rsidRPr="00FD40CE">
        <w:rPr>
          <w:lang w:val="es-ES"/>
        </w:rPr>
        <w:t xml:space="preserve"> </w:t>
      </w:r>
      <w:r w:rsidRPr="00FD40CE">
        <w:rPr>
          <w:lang w:val="es-ES"/>
        </w:rPr>
        <w:t xml:space="preserve">La demanda </w:t>
      </w:r>
      <w:r w:rsidRPr="00FD40CE">
        <w:rPr>
          <w:lang w:val="es-ES"/>
        </w:rPr>
        <w:t xml:space="preserve">se </w:t>
      </w:r>
      <w:r w:rsidRPr="00FD40CE">
        <w:rPr>
          <w:lang w:val="es-ES"/>
        </w:rPr>
        <w:t>admiti</w:t>
      </w:r>
      <w:r w:rsidRPr="00FD40CE">
        <w:rPr>
          <w:lang w:val="es-ES"/>
        </w:rPr>
        <w:t>ó</w:t>
      </w:r>
      <w:r w:rsidRPr="00FD40CE">
        <w:rPr>
          <w:lang w:val="es-ES"/>
        </w:rPr>
        <w:t xml:space="preserve"> </w:t>
      </w:r>
      <w:r w:rsidRPr="00FD40CE">
        <w:rPr>
          <w:lang w:val="es-ES"/>
        </w:rPr>
        <w:t xml:space="preserve">mediante los autos de </w:t>
      </w:r>
      <w:r w:rsidRPr="00FD40CE">
        <w:rPr>
          <w:lang w:val="es-ES"/>
        </w:rPr>
        <w:t xml:space="preserve">marzo 1 y </w:t>
      </w:r>
      <w:r w:rsidRPr="00FD40CE">
        <w:rPr>
          <w:lang w:val="es-ES"/>
        </w:rPr>
        <w:t>abril 2 de 2024</w:t>
      </w:r>
      <w:r w:rsidRPr="00FD40CE">
        <w:rPr>
          <w:lang w:val="es-ES"/>
        </w:rPr>
        <w:t>.</w:t>
      </w:r>
      <w:r w:rsidRPr="00FD40CE">
        <w:rPr>
          <w:lang w:val="es-ES"/>
        </w:rPr>
        <w:t xml:space="preserve"> En este último</w:t>
      </w:r>
      <w:r w:rsidRPr="00FD40CE">
        <w:rPr>
          <w:lang w:val="es-ES"/>
        </w:rPr>
        <w:t xml:space="preserve">, además, el magistrado sustanciador ordenó: (i) comunicar el inicio del proceso al presidente del Congreso de la República, </w:t>
      </w:r>
      <w:r w:rsidRPr="00FD40CE">
        <w:rPr>
          <w:lang w:val="es-ES"/>
        </w:rPr>
        <w:t xml:space="preserve">al presidente de la </w:t>
      </w:r>
      <w:r w:rsidRPr="00FD40CE">
        <w:rPr>
          <w:lang w:val="es-ES"/>
        </w:rPr>
        <w:t xml:space="preserve">República, </w:t>
      </w:r>
      <w:r w:rsidRPr="00FD40CE">
        <w:rPr>
          <w:lang w:val="es-ES"/>
        </w:rPr>
        <w:t>a</w:t>
      </w:r>
      <w:r w:rsidRPr="00FD40CE">
        <w:rPr>
          <w:lang w:val="es-ES"/>
        </w:rPr>
        <w:t xml:space="preserve"> </w:t>
      </w:r>
      <w:r w:rsidRPr="00FD40CE">
        <w:rPr>
          <w:lang w:val="es-ES"/>
        </w:rPr>
        <w:t>l</w:t>
      </w:r>
      <w:r w:rsidRPr="00FD40CE">
        <w:rPr>
          <w:lang w:val="es-ES"/>
        </w:rPr>
        <w:t>os</w:t>
      </w:r>
      <w:r w:rsidRPr="00FD40CE">
        <w:rPr>
          <w:lang w:val="es-ES"/>
        </w:rPr>
        <w:t xml:space="preserve"> ministro</w:t>
      </w:r>
      <w:r w:rsidRPr="00FD40CE">
        <w:rPr>
          <w:lang w:val="es-ES"/>
        </w:rPr>
        <w:t>s</w:t>
      </w:r>
      <w:r w:rsidRPr="00FD40CE">
        <w:rPr>
          <w:lang w:val="es-ES"/>
        </w:rPr>
        <w:t xml:space="preserve"> de </w:t>
      </w:r>
      <w:r w:rsidRPr="00FD40CE">
        <w:t xml:space="preserve">Hacienda y Crédito Público y de Justicia y del Derecho, y al director del Departamento Nacional de Planeación; </w:t>
      </w:r>
      <w:r w:rsidRPr="00FD40CE">
        <w:rPr>
          <w:lang w:val="es-ES"/>
        </w:rPr>
        <w:t xml:space="preserve">(ii) correr traslado para que la Procuradora General de la Nación rindiera </w:t>
      </w:r>
      <w:r w:rsidRPr="00FD40CE">
        <w:rPr>
          <w:lang w:val="es-ES"/>
        </w:rPr>
        <w:t xml:space="preserve">su </w:t>
      </w:r>
      <w:r w:rsidRPr="00FD40CE">
        <w:rPr>
          <w:lang w:val="es-ES"/>
        </w:rPr>
        <w:t>concepto y (iii) fijar en lista el proceso. Así mismo, invitó a par</w:t>
      </w:r>
      <w:r w:rsidRPr="00FD40CE">
        <w:rPr>
          <w:lang w:val="es-ES"/>
        </w:rPr>
        <w:t>ticipar a varias entidades, organizaciones y universidades.</w:t>
      </w:r>
    </w:p>
  </w:footnote>
  <w:footnote w:id="2">
    <w:p w:rsidR="00E125AC" w:rsidRPr="00FD40CE" w:rsidRDefault="00152C0F" w:rsidP="00047F70">
      <w:pPr>
        <w:ind w:right="618"/>
        <w:jc w:val="both"/>
        <w:rPr>
          <w:lang w:val="es-ES"/>
        </w:rPr>
      </w:pPr>
      <w:r w:rsidRPr="00FD40CE">
        <w:rPr>
          <w:rStyle w:val="Refdenotaalpie"/>
          <w:lang w:val="es-ES"/>
        </w:rPr>
        <w:footnoteRef/>
      </w:r>
      <w:r w:rsidRPr="00FD40CE">
        <w:rPr>
          <w:lang w:val="es-ES"/>
        </w:rPr>
        <w:t xml:space="preserve"> Diario Oficial </w:t>
      </w:r>
      <w:r w:rsidRPr="00FD40CE">
        <w:rPr>
          <w:lang w:val="es-ES"/>
        </w:rPr>
        <w:t xml:space="preserve">n.º </w:t>
      </w:r>
      <w:r w:rsidRPr="00FD40CE">
        <w:rPr>
          <w:lang w:val="es-ES"/>
        </w:rPr>
        <w:t xml:space="preserve">52.400 de </w:t>
      </w:r>
      <w:r w:rsidRPr="00FD40CE">
        <w:rPr>
          <w:lang w:val="es-ES"/>
        </w:rPr>
        <w:t xml:space="preserve">mayo </w:t>
      </w:r>
      <w:r w:rsidRPr="00FD40CE">
        <w:rPr>
          <w:lang w:val="es-ES"/>
        </w:rPr>
        <w:t>19 de 2023.</w:t>
      </w:r>
    </w:p>
  </w:footnote>
  <w:footnote w:id="3">
    <w:p w:rsidR="003C3279" w:rsidRPr="00FD40CE" w:rsidRDefault="00152C0F" w:rsidP="00047F70">
      <w:pPr>
        <w:pStyle w:val="Textonotapie"/>
        <w:jc w:val="both"/>
      </w:pPr>
      <w:r w:rsidRPr="00FD40CE">
        <w:rPr>
          <w:rStyle w:val="Refdenotaalpie"/>
        </w:rPr>
        <w:footnoteRef/>
      </w:r>
      <w:r w:rsidRPr="00FD40CE">
        <w:t xml:space="preserve"> </w:t>
      </w:r>
      <w:r w:rsidRPr="00FD40CE">
        <w:t>S</w:t>
      </w:r>
      <w:r w:rsidRPr="00FD40CE">
        <w:t>ubsanación</w:t>
      </w:r>
      <w:r w:rsidRPr="00FD40CE">
        <w:t xml:space="preserve"> de la demanda</w:t>
      </w:r>
      <w:r w:rsidRPr="00FD40CE">
        <w:t>, p. 5.</w:t>
      </w:r>
    </w:p>
  </w:footnote>
  <w:footnote w:id="4">
    <w:p w:rsidR="003C3279" w:rsidRPr="00FD40CE" w:rsidRDefault="00152C0F" w:rsidP="00047F70">
      <w:pPr>
        <w:pStyle w:val="Textonotapie"/>
        <w:jc w:val="both"/>
      </w:pPr>
      <w:r w:rsidRPr="00FD40CE">
        <w:rPr>
          <w:rStyle w:val="Refdenotaalpie"/>
        </w:rPr>
        <w:footnoteRef/>
      </w:r>
      <w:r w:rsidRPr="00FD40CE">
        <w:t xml:space="preserve"> </w:t>
      </w:r>
      <w:r w:rsidRPr="00FD40CE">
        <w:t>S</w:t>
      </w:r>
      <w:r w:rsidRPr="00FD40CE">
        <w:t>ubsanación</w:t>
      </w:r>
      <w:r w:rsidRPr="00FD40CE">
        <w:t xml:space="preserve"> de la demanda</w:t>
      </w:r>
      <w:r w:rsidRPr="00FD40CE">
        <w:t>, p. 9.</w:t>
      </w:r>
    </w:p>
  </w:footnote>
  <w:footnote w:id="5">
    <w:p w:rsidR="003C3279" w:rsidRPr="00FD40CE" w:rsidRDefault="00152C0F" w:rsidP="00047F70">
      <w:pPr>
        <w:pStyle w:val="Textonotapie"/>
        <w:jc w:val="both"/>
      </w:pPr>
      <w:r w:rsidRPr="00FD40CE">
        <w:rPr>
          <w:rStyle w:val="Refdenotaalpie"/>
        </w:rPr>
        <w:footnoteRef/>
      </w:r>
      <w:r w:rsidRPr="00FD40CE">
        <w:t xml:space="preserve"> Ibid. </w:t>
      </w:r>
    </w:p>
  </w:footnote>
  <w:footnote w:id="6">
    <w:p w:rsidR="00A4187A" w:rsidRPr="00FD40CE" w:rsidRDefault="00152C0F" w:rsidP="00047F70">
      <w:pPr>
        <w:pStyle w:val="Textonotapie"/>
        <w:jc w:val="both"/>
      </w:pPr>
      <w:r w:rsidRPr="00FD40CE">
        <w:rPr>
          <w:rStyle w:val="Refdenotaalpie"/>
        </w:rPr>
        <w:footnoteRef/>
      </w:r>
      <w:r w:rsidRPr="00FD40CE">
        <w:t xml:space="preserve"> Demanda, p. 8.</w:t>
      </w:r>
    </w:p>
  </w:footnote>
  <w:footnote w:id="7">
    <w:p w:rsidR="00132725" w:rsidRPr="00FD40CE" w:rsidRDefault="00152C0F" w:rsidP="00047F70">
      <w:pPr>
        <w:pStyle w:val="Textonotapie"/>
        <w:jc w:val="both"/>
      </w:pPr>
      <w:r w:rsidRPr="00FD40CE">
        <w:rPr>
          <w:rStyle w:val="Refdenotaalpie"/>
        </w:rPr>
        <w:footnoteRef/>
      </w:r>
      <w:r w:rsidRPr="00FD40CE">
        <w:t xml:space="preserve"> Subsanación de la demanda, p. 6.</w:t>
      </w:r>
    </w:p>
  </w:footnote>
  <w:footnote w:id="8">
    <w:p w:rsidR="00B6179F" w:rsidRPr="00FD40CE" w:rsidRDefault="00152C0F" w:rsidP="00047F70">
      <w:pPr>
        <w:pStyle w:val="Textonotapie"/>
        <w:jc w:val="both"/>
      </w:pPr>
      <w:r w:rsidRPr="00FD40CE">
        <w:rPr>
          <w:rStyle w:val="Refdenotaalpie"/>
        </w:rPr>
        <w:footnoteRef/>
      </w:r>
      <w:r w:rsidRPr="00FD40CE">
        <w:t xml:space="preserve"> Demanda, p. 8. </w:t>
      </w:r>
    </w:p>
  </w:footnote>
  <w:footnote w:id="9">
    <w:p w:rsidR="00925716" w:rsidRPr="00FD40CE" w:rsidRDefault="00152C0F" w:rsidP="00047F70">
      <w:pPr>
        <w:pStyle w:val="Textonotapie"/>
        <w:jc w:val="both"/>
        <w:rPr>
          <w:lang w:val="es-ES"/>
        </w:rPr>
      </w:pPr>
      <w:r w:rsidRPr="00FD40CE">
        <w:rPr>
          <w:rStyle w:val="Refdenotaalpie"/>
        </w:rPr>
        <w:footnoteRef/>
      </w:r>
      <w:r w:rsidRPr="00FD40CE">
        <w:t xml:space="preserve"> Demanda, p. 6.</w:t>
      </w:r>
    </w:p>
  </w:footnote>
  <w:footnote w:id="10">
    <w:p w:rsidR="00AC405C" w:rsidRPr="00FD40CE" w:rsidRDefault="00152C0F" w:rsidP="00047F70">
      <w:pPr>
        <w:pStyle w:val="Textonotapie"/>
        <w:jc w:val="both"/>
      </w:pPr>
      <w:r w:rsidRPr="00FD40CE">
        <w:rPr>
          <w:rStyle w:val="Refdenotaalpie"/>
        </w:rPr>
        <w:footnoteRef/>
      </w:r>
      <w:r w:rsidRPr="00FD40CE">
        <w:t xml:space="preserve"> Subsanación de la demanda, p. 6.</w:t>
      </w:r>
    </w:p>
  </w:footnote>
  <w:footnote w:id="11">
    <w:p w:rsidR="006E68B9" w:rsidRPr="00FD40CE" w:rsidRDefault="00152C0F" w:rsidP="00047F70">
      <w:pPr>
        <w:pStyle w:val="Textonotapie"/>
        <w:jc w:val="both"/>
      </w:pPr>
      <w:r w:rsidRPr="00FD40CE">
        <w:rPr>
          <w:rStyle w:val="Refdenotaalpie"/>
        </w:rPr>
        <w:footnoteRef/>
      </w:r>
      <w:r w:rsidRPr="00FD40CE">
        <w:t xml:space="preserve"> Ibid.</w:t>
      </w:r>
    </w:p>
  </w:footnote>
  <w:footnote w:id="12">
    <w:p w:rsidR="004F02A7" w:rsidRPr="00FD40CE" w:rsidRDefault="00152C0F" w:rsidP="00047F70">
      <w:pPr>
        <w:pStyle w:val="Textonotapie"/>
        <w:jc w:val="both"/>
      </w:pPr>
      <w:r w:rsidRPr="00FD40CE">
        <w:rPr>
          <w:rStyle w:val="Refdenotaalpie"/>
        </w:rPr>
        <w:footnoteRef/>
      </w:r>
      <w:r w:rsidRPr="00FD40CE">
        <w:t xml:space="preserve"> </w:t>
      </w:r>
      <w:r w:rsidRPr="00FD40CE">
        <w:t>S</w:t>
      </w:r>
      <w:r w:rsidRPr="00FD40CE">
        <w:t>ubsanación</w:t>
      </w:r>
      <w:r w:rsidRPr="00FD40CE">
        <w:t xml:space="preserve"> de la demanda</w:t>
      </w:r>
      <w:r w:rsidRPr="00FD40CE">
        <w:t>, p. 8.</w:t>
      </w:r>
    </w:p>
  </w:footnote>
  <w:footnote w:id="13">
    <w:p w:rsidR="004B7E37" w:rsidRPr="00FD40CE" w:rsidRDefault="00152C0F" w:rsidP="00047F70">
      <w:pPr>
        <w:pStyle w:val="Textonotapie"/>
        <w:jc w:val="both"/>
      </w:pPr>
      <w:r w:rsidRPr="00FD40CE">
        <w:rPr>
          <w:rStyle w:val="Refdenotaalpie"/>
        </w:rPr>
        <w:footnoteRef/>
      </w:r>
      <w:r w:rsidRPr="00FD40CE">
        <w:t xml:space="preserve"> Demanda, p. 9. </w:t>
      </w:r>
    </w:p>
  </w:footnote>
  <w:footnote w:id="14">
    <w:p w:rsidR="004B7E37" w:rsidRPr="00FD40CE" w:rsidRDefault="00152C0F" w:rsidP="00047F70">
      <w:pPr>
        <w:pStyle w:val="Textonotapie"/>
        <w:jc w:val="both"/>
      </w:pPr>
      <w:r w:rsidRPr="00FD40CE">
        <w:rPr>
          <w:rStyle w:val="Refdenotaalpie"/>
        </w:rPr>
        <w:footnoteRef/>
      </w:r>
      <w:r w:rsidRPr="00FD40CE">
        <w:t xml:space="preserve"> Demanda, p. 11. </w:t>
      </w:r>
    </w:p>
  </w:footnote>
  <w:footnote w:id="15">
    <w:p w:rsidR="00BC28D0" w:rsidRPr="00FD40CE" w:rsidRDefault="00152C0F" w:rsidP="00047F70">
      <w:pPr>
        <w:pStyle w:val="Textonotapie"/>
        <w:jc w:val="both"/>
        <w:rPr>
          <w:lang w:val="es-ES"/>
        </w:rPr>
      </w:pPr>
      <w:r w:rsidRPr="00FD40CE">
        <w:rPr>
          <w:rStyle w:val="Refdenotaalpie"/>
        </w:rPr>
        <w:footnoteRef/>
      </w:r>
      <w:r w:rsidRPr="00FD40CE">
        <w:t xml:space="preserve"> Según señala, presuntamente, la Fiscalía General de la Nación no habría solicitado de manera oportuna la renovación de las medidas cautelares que le correspondía y para corregir esta </w:t>
      </w:r>
      <w:r w:rsidRPr="00FD40CE">
        <w:t>presunt</w:t>
      </w:r>
      <w:r w:rsidRPr="00FD40CE">
        <w:t>a</w:t>
      </w:r>
      <w:r w:rsidRPr="00FD40CE">
        <w:t xml:space="preserve"> </w:t>
      </w:r>
      <w:r w:rsidRPr="00FD40CE">
        <w:t>omisión</w:t>
      </w:r>
      <w:r w:rsidRPr="00FD40CE">
        <w:t xml:space="preserve"> </w:t>
      </w:r>
      <w:r w:rsidRPr="00FD40CE">
        <w:rPr>
          <w:lang w:val="es-ES_tradnl"/>
        </w:rPr>
        <w:t xml:space="preserve">la norma demandada </w:t>
      </w:r>
      <w:r w:rsidRPr="00FD40CE">
        <w:t xml:space="preserve">dispuso </w:t>
      </w:r>
      <w:r w:rsidRPr="00FD40CE">
        <w:t xml:space="preserve">que solo </w:t>
      </w:r>
      <w:r w:rsidRPr="00FD40CE">
        <w:t xml:space="preserve">sería </w:t>
      </w:r>
      <w:r w:rsidRPr="00FD40CE">
        <w:t xml:space="preserve">posible </w:t>
      </w:r>
      <w:r w:rsidRPr="00FD40CE">
        <w:t>su le</w:t>
      </w:r>
      <w:r w:rsidRPr="00FD40CE">
        <w:t xml:space="preserve">vantamiento previa </w:t>
      </w:r>
      <w:r w:rsidRPr="00FD40CE">
        <w:t xml:space="preserve">orden judicial </w:t>
      </w:r>
      <w:r w:rsidRPr="00FD40CE">
        <w:t>(demanda, p. 16)</w:t>
      </w:r>
      <w:r w:rsidRPr="00FD40CE">
        <w:t>.</w:t>
      </w:r>
    </w:p>
  </w:footnote>
  <w:footnote w:id="16">
    <w:p w:rsidR="004F02A7" w:rsidRPr="00FD40CE" w:rsidRDefault="00152C0F" w:rsidP="00047F70">
      <w:pPr>
        <w:pStyle w:val="Textonotapie"/>
        <w:jc w:val="both"/>
      </w:pPr>
      <w:r w:rsidRPr="00FD40CE">
        <w:rPr>
          <w:rStyle w:val="Refdenotaalpie"/>
        </w:rPr>
        <w:footnoteRef/>
      </w:r>
      <w:r w:rsidRPr="00FD40CE">
        <w:t xml:space="preserve"> </w:t>
      </w:r>
      <w:r w:rsidRPr="00FD40CE">
        <w:t>S</w:t>
      </w:r>
      <w:r w:rsidRPr="00FD40CE">
        <w:t>ubsanación</w:t>
      </w:r>
      <w:r w:rsidRPr="00FD40CE">
        <w:t xml:space="preserve"> de la demanda</w:t>
      </w:r>
      <w:r w:rsidRPr="00FD40CE">
        <w:t>, p. 12.</w:t>
      </w:r>
    </w:p>
  </w:footnote>
  <w:footnote w:id="17">
    <w:p w:rsidR="004F02A7" w:rsidRPr="00FD40CE" w:rsidRDefault="00152C0F" w:rsidP="00047F70">
      <w:pPr>
        <w:pStyle w:val="Textonotapie"/>
        <w:jc w:val="both"/>
      </w:pPr>
      <w:r w:rsidRPr="00FD40CE">
        <w:rPr>
          <w:rStyle w:val="Refdenotaalpie"/>
        </w:rPr>
        <w:footnoteRef/>
      </w:r>
      <w:r w:rsidRPr="00FD40CE">
        <w:t xml:space="preserve"> </w:t>
      </w:r>
      <w:r w:rsidRPr="00FD40CE">
        <w:t>S</w:t>
      </w:r>
      <w:r w:rsidRPr="00FD40CE">
        <w:t>ubsanación</w:t>
      </w:r>
      <w:r w:rsidRPr="00FD40CE">
        <w:t xml:space="preserve"> de la demanda</w:t>
      </w:r>
      <w:r w:rsidRPr="00FD40CE">
        <w:t>, p. 7.</w:t>
      </w:r>
    </w:p>
  </w:footnote>
  <w:footnote w:id="18">
    <w:p w:rsidR="004F02A7" w:rsidRPr="00FD40CE" w:rsidRDefault="00152C0F" w:rsidP="00047F70">
      <w:pPr>
        <w:pStyle w:val="Textonotapie"/>
        <w:jc w:val="both"/>
      </w:pPr>
      <w:r w:rsidRPr="00FD40CE">
        <w:rPr>
          <w:rStyle w:val="Refdenotaalpie"/>
        </w:rPr>
        <w:footnoteRef/>
      </w:r>
      <w:r w:rsidRPr="00FD40CE">
        <w:t xml:space="preserve"> </w:t>
      </w:r>
      <w:r w:rsidRPr="00FD40CE">
        <w:t>S</w:t>
      </w:r>
      <w:r w:rsidRPr="00FD40CE">
        <w:t>ubsanación</w:t>
      </w:r>
      <w:r w:rsidRPr="00FD40CE">
        <w:t xml:space="preserve"> de la demanda</w:t>
      </w:r>
      <w:r w:rsidRPr="00FD40CE">
        <w:t>, p. 13.</w:t>
      </w:r>
    </w:p>
  </w:footnote>
  <w:footnote w:id="19">
    <w:p w:rsidR="00EB2D29" w:rsidRPr="00FD40CE" w:rsidRDefault="00152C0F" w:rsidP="00047F70">
      <w:pPr>
        <w:pStyle w:val="Textonotapie"/>
        <w:jc w:val="both"/>
      </w:pPr>
      <w:r w:rsidRPr="00FD40CE">
        <w:rPr>
          <w:rStyle w:val="Refdenotaalpie"/>
        </w:rPr>
        <w:footnoteRef/>
      </w:r>
      <w:r w:rsidRPr="00FD40CE">
        <w:t xml:space="preserve"> El artículo 242.1 de la Constitución y el artículo 7 del Decreto 2067 de 1991 reconocen a los ciudadanos el derecho procesal de intervenir en los trámites de constitucionalidad que se surten ante la Corte, con la finalidad de impugnar o defender las norma</w:t>
      </w:r>
      <w:r w:rsidRPr="00FD40CE">
        <w:t>s objeto de revisión.</w:t>
      </w:r>
    </w:p>
  </w:footnote>
  <w:footnote w:id="20">
    <w:p w:rsidR="00243E10" w:rsidRPr="00FD40CE" w:rsidRDefault="00152C0F" w:rsidP="00047F70">
      <w:pPr>
        <w:pStyle w:val="Textonotapie"/>
        <w:jc w:val="both"/>
        <w:rPr>
          <w:lang w:val="es-ES"/>
        </w:rPr>
      </w:pPr>
      <w:r w:rsidRPr="00FD40CE">
        <w:rPr>
          <w:rStyle w:val="Refdenotaalpie"/>
        </w:rPr>
        <w:footnoteRef/>
      </w:r>
      <w:r w:rsidRPr="00FD40CE">
        <w:t xml:space="preserve"> </w:t>
      </w:r>
      <w:r w:rsidRPr="00FD40CE">
        <w:rPr>
          <w:lang w:val="es-ES"/>
        </w:rPr>
        <w:t xml:space="preserve">Presentaron su intervención </w:t>
      </w:r>
      <w:r w:rsidRPr="00FD40CE">
        <w:rPr>
          <w:lang w:val="es-ES"/>
        </w:rPr>
        <w:t>de manera oportuna</w:t>
      </w:r>
      <w:r w:rsidRPr="00FD40CE">
        <w:rPr>
          <w:lang w:val="es-ES"/>
        </w:rPr>
        <w:t xml:space="preserve">, </w:t>
      </w:r>
      <w:r w:rsidRPr="00FD40CE">
        <w:rPr>
          <w:lang w:val="es-ES"/>
        </w:rPr>
        <w:t>el 24 de abril de 2024</w:t>
      </w:r>
      <w:r w:rsidRPr="00FD40CE">
        <w:rPr>
          <w:lang w:val="es-ES"/>
        </w:rPr>
        <w:t>.</w:t>
      </w:r>
    </w:p>
  </w:footnote>
  <w:footnote w:id="21">
    <w:p w:rsidR="003B15E3" w:rsidRPr="00FD40CE" w:rsidRDefault="00152C0F" w:rsidP="00047F70">
      <w:pPr>
        <w:pStyle w:val="Textonotapie"/>
        <w:jc w:val="both"/>
      </w:pPr>
      <w:r w:rsidRPr="00FD40CE">
        <w:rPr>
          <w:rStyle w:val="Refdenotaalpie"/>
        </w:rPr>
        <w:footnoteRef/>
      </w:r>
      <w:r w:rsidRPr="00FD40CE">
        <w:t xml:space="preserve"> Los artículos 244 de la Constitución y 11 del Decreto 2067 de 1991 disponen que es deber de la Corte Constitucional comunicar “al Presidente de la República o al Presidente del Congreso, según el caso, la iniciación de cualquier proceso que tenga por obje</w:t>
      </w:r>
      <w:r w:rsidRPr="00FD40CE">
        <w:t>to el examen de constitucionalidad de normas dictadas por ellos”. Esta comunicación, que se debe extender en el auto admisorio de la demanda, pretende que las respectivas autoridades rindan su concepto para justificar “la constitucionalidad de las normas s</w:t>
      </w:r>
      <w:r w:rsidRPr="00FD40CE">
        <w:t>ometidas a control” (apartado final del inciso segundo del artículo 11 del Decreto 2067 de 1991), la cual también puede hacerse extensiva “a los organismos o entidades del Estado que hubieren participado en la elaboración o expedición de la norma” (apartad</w:t>
      </w:r>
      <w:r w:rsidRPr="00FD40CE">
        <w:t>o inicial de la norma en cita).</w:t>
      </w:r>
    </w:p>
  </w:footnote>
  <w:footnote w:id="22">
    <w:p w:rsidR="003415B1" w:rsidRPr="00FD40CE" w:rsidRDefault="00152C0F" w:rsidP="00047F70">
      <w:pPr>
        <w:pStyle w:val="Textonotapie"/>
        <w:jc w:val="both"/>
        <w:rPr>
          <w:lang w:val="es-ES"/>
        </w:rPr>
      </w:pPr>
      <w:r w:rsidRPr="00FD40CE">
        <w:rPr>
          <w:rStyle w:val="Refdenotaalpie"/>
        </w:rPr>
        <w:footnoteRef/>
      </w:r>
      <w:r w:rsidRPr="00FD40CE">
        <w:t xml:space="preserve"> Los dos últimos solicitan como petición principal que la Corte se inhiba, y de manera subsidiaria la declaratoria de exequibilidad de las disposiciones.</w:t>
      </w:r>
    </w:p>
  </w:footnote>
  <w:footnote w:id="23">
    <w:p w:rsidR="00545D61" w:rsidRPr="00FD40CE" w:rsidRDefault="00152C0F" w:rsidP="00047F70">
      <w:pPr>
        <w:pStyle w:val="Textonotapie"/>
        <w:jc w:val="both"/>
      </w:pPr>
      <w:r w:rsidRPr="00FD40CE">
        <w:rPr>
          <w:rStyle w:val="Refdenotaalpie"/>
        </w:rPr>
        <w:footnoteRef/>
      </w:r>
      <w:r w:rsidRPr="00FD40CE">
        <w:t xml:space="preserve"> El artículo 13 del Decreto 2067 de 1991 faculta al magistrado susta</w:t>
      </w:r>
      <w:r w:rsidRPr="00FD40CE">
        <w:t>nciador para invitar “a entidades públicas, a organizaciones privadas y a expertos en las materias relacionadas con el tema del proceso” a conceptuar sobre aspectos relevantes para la elaboración del proyecto de fallo.</w:t>
      </w:r>
    </w:p>
  </w:footnote>
  <w:footnote w:id="24">
    <w:p w:rsidR="003415B1" w:rsidRPr="00FD40CE" w:rsidRDefault="00152C0F" w:rsidP="00047F70">
      <w:pPr>
        <w:pStyle w:val="Textonotapie"/>
        <w:jc w:val="both"/>
        <w:rPr>
          <w:lang w:val="es-ES"/>
        </w:rPr>
      </w:pPr>
      <w:r w:rsidRPr="00FD40CE">
        <w:rPr>
          <w:rStyle w:val="Refdenotaalpie"/>
        </w:rPr>
        <w:footnoteRef/>
      </w:r>
      <w:r w:rsidRPr="00FD40CE">
        <w:t xml:space="preserve"> Solicita como petición principal qu</w:t>
      </w:r>
      <w:r w:rsidRPr="00FD40CE">
        <w:t>e la Corte se inhiba, y de manera subsidiaria la declaratoria de exequibilidad de las disposiciones.</w:t>
      </w:r>
    </w:p>
  </w:footnote>
  <w:footnote w:id="25">
    <w:p w:rsidR="002A0790" w:rsidRPr="00FD40CE" w:rsidRDefault="00152C0F" w:rsidP="00047F70">
      <w:pPr>
        <w:pStyle w:val="Textonotapie"/>
        <w:jc w:val="both"/>
      </w:pPr>
      <w:r w:rsidRPr="00FD40CE">
        <w:rPr>
          <w:rStyle w:val="Refdenotaalpie"/>
        </w:rPr>
        <w:footnoteRef/>
      </w:r>
      <w:r w:rsidRPr="00FD40CE">
        <w:t xml:space="preserve"> Para el Ministerio de Justicia y del Derecho, los cargos carecen de </w:t>
      </w:r>
      <w:r w:rsidRPr="00FD40CE">
        <w:t>certeza, pertinencia y suficiencia</w:t>
      </w:r>
      <w:r w:rsidRPr="00FD40CE">
        <w:t xml:space="preserve">; para la Secretaría Jurídica de la Presidencia de </w:t>
      </w:r>
      <w:r w:rsidRPr="00FD40CE">
        <w:t>la República</w:t>
      </w:r>
      <w:r w:rsidRPr="00FD40CE">
        <w:t xml:space="preserve">, los cargos carecen de </w:t>
      </w:r>
      <w:r w:rsidRPr="00FD40CE">
        <w:t>certeza, especificidad y pertinencia,</w:t>
      </w:r>
      <w:r w:rsidRPr="00FD40CE">
        <w:t xml:space="preserve"> y para la </w:t>
      </w:r>
      <w:r w:rsidRPr="00FD40CE">
        <w:t xml:space="preserve">SAE, los cargos carecen </w:t>
      </w:r>
      <w:r w:rsidRPr="00FD40CE">
        <w:t xml:space="preserve">de </w:t>
      </w:r>
      <w:r w:rsidRPr="00FD40CE">
        <w:t>los cinco atributos.</w:t>
      </w:r>
    </w:p>
  </w:footnote>
  <w:footnote w:id="26">
    <w:p w:rsidR="00AE2406" w:rsidRPr="00FD40CE" w:rsidRDefault="00152C0F" w:rsidP="00047F70">
      <w:pPr>
        <w:pStyle w:val="Textonotapie"/>
        <w:jc w:val="both"/>
      </w:pPr>
      <w:r w:rsidRPr="00FD40CE">
        <w:rPr>
          <w:rStyle w:val="Refdenotaalpie"/>
        </w:rPr>
        <w:footnoteRef/>
      </w:r>
      <w:r w:rsidRPr="00FD40CE">
        <w:t xml:space="preserve"> Concepto de la SAE.</w:t>
      </w:r>
    </w:p>
  </w:footnote>
  <w:footnote w:id="27">
    <w:p w:rsidR="00606AD0" w:rsidRPr="00FD40CE" w:rsidRDefault="00152C0F" w:rsidP="00047F70">
      <w:pPr>
        <w:pStyle w:val="Textonotapie"/>
        <w:jc w:val="both"/>
      </w:pPr>
      <w:r w:rsidRPr="00FD40CE">
        <w:rPr>
          <w:rStyle w:val="Refdenotaalpie"/>
        </w:rPr>
        <w:footnoteRef/>
      </w:r>
      <w:r w:rsidRPr="00FD40CE">
        <w:t xml:space="preserve"> En particular, la Secretaría Jurídica de la Presidencia de la República </w:t>
      </w:r>
      <w:r w:rsidRPr="00FD40CE">
        <w:t>resalt</w:t>
      </w:r>
      <w:r w:rsidRPr="00FD40CE">
        <w:t>a</w:t>
      </w:r>
      <w:r w:rsidRPr="00FD40CE">
        <w:t>: “</w:t>
      </w:r>
      <w:r w:rsidRPr="00FD40CE">
        <w:t xml:space="preserve">Las medias </w:t>
      </w:r>
      <w:r w:rsidRPr="00FD40CE">
        <w:t>establecidas en los artículos demandados, disponen la imprescriptibilidad de los bienes del FRISCO y la intemporalidad de las medidas cautelares decretadas en virtud de los procesos de extinción de dominio, respectivamente; sin embargo, el actor no demuest</w:t>
      </w:r>
      <w:r w:rsidRPr="00FD40CE">
        <w:t>ra cómo dichas medidas son incompatibles con los artículos 158 y 169 de la Constitución, pues se limita a afirmar de manera indefinida y genérica que las normas censura</w:t>
      </w:r>
      <w:r w:rsidRPr="00FD40CE">
        <w:t>das</w:t>
      </w:r>
      <w:r w:rsidRPr="00FD40CE">
        <w:t xml:space="preserve"> no tienen relación con las bases del plan</w:t>
      </w:r>
      <w:r w:rsidRPr="00FD40CE">
        <w:t>”.</w:t>
      </w:r>
    </w:p>
  </w:footnote>
  <w:footnote w:id="28">
    <w:p w:rsidR="00545851" w:rsidRPr="00FD40CE" w:rsidRDefault="00152C0F" w:rsidP="00047F70">
      <w:pPr>
        <w:pStyle w:val="Textonotapie"/>
        <w:jc w:val="both"/>
      </w:pPr>
      <w:r w:rsidRPr="00FD40CE">
        <w:rPr>
          <w:rStyle w:val="Refdenotaalpie"/>
        </w:rPr>
        <w:footnoteRef/>
      </w:r>
      <w:r w:rsidRPr="00FD40CE">
        <w:t xml:space="preserve"> Concepto de la Secretaría Jurídica de </w:t>
      </w:r>
      <w:r w:rsidRPr="00FD40CE">
        <w:t>la Presidencia de la República.</w:t>
      </w:r>
    </w:p>
  </w:footnote>
  <w:footnote w:id="29">
    <w:p w:rsidR="00F21BBD" w:rsidRPr="00FD40CE" w:rsidRDefault="00152C0F" w:rsidP="00047F70">
      <w:pPr>
        <w:pStyle w:val="Textonotapie"/>
        <w:jc w:val="both"/>
      </w:pPr>
      <w:r w:rsidRPr="00FD40CE">
        <w:rPr>
          <w:rStyle w:val="Refdenotaalpie"/>
        </w:rPr>
        <w:footnoteRef/>
      </w:r>
      <w:r w:rsidRPr="00FD40CE">
        <w:t xml:space="preserve"> De manera particular, el Ministerio de Justicia y del Derecho precis</w:t>
      </w:r>
      <w:r w:rsidRPr="00FD40CE">
        <w:t>a</w:t>
      </w:r>
      <w:r w:rsidRPr="00FD40CE">
        <w:t>: “</w:t>
      </w:r>
      <w:r w:rsidRPr="00FD40CE">
        <w:t xml:space="preserve">De igual manera, la demanda no cumple con el requisito de suficiencia en las razones de inconstitucionalidad porque no logra desvirtuar el hecho de </w:t>
      </w:r>
      <w:r w:rsidRPr="00FD40CE">
        <w:t>que las normas demandadas, al estar en concordancia con los artículos 208 a 210 de la mi</w:t>
      </w:r>
      <w:r w:rsidRPr="00FD40CE">
        <w:t>s</w:t>
      </w:r>
      <w:r w:rsidRPr="00FD40CE">
        <w:t xml:space="preserve">ma ley </w:t>
      </w:r>
      <w:r w:rsidRPr="00FD40CE">
        <w:t xml:space="preserve">[sic] </w:t>
      </w:r>
      <w:r w:rsidRPr="00FD40CE">
        <w:t>2294 de 2023, constituyen medidas para impulsar el cumplimiento del Plan Nacional de Desarrollo en cuanto al potencial ingreso al patrimonio del Estado de</w:t>
      </w:r>
      <w:r w:rsidRPr="00FD40CE">
        <w:t xml:space="preserve"> los bienes sujetos a extinción de dominio, con los cuales, una vez declarada dicha extinción a favor del Estado, se financian múltiples proyectos contemplados en el Plan de Desarrollo, como la educación, la vivienda digna, el desarrollo rural, entre otros</w:t>
      </w:r>
      <w:r w:rsidRPr="00FD40CE">
        <w:t>”.</w:t>
      </w:r>
    </w:p>
  </w:footnote>
  <w:footnote w:id="30">
    <w:p w:rsidR="00013AC0" w:rsidRPr="00FD40CE" w:rsidRDefault="00152C0F" w:rsidP="00047F70">
      <w:pPr>
        <w:pStyle w:val="Textonotapie"/>
        <w:jc w:val="both"/>
      </w:pPr>
      <w:r w:rsidRPr="00FD40CE">
        <w:rPr>
          <w:rStyle w:val="Refdenotaalpie"/>
        </w:rPr>
        <w:footnoteRef/>
      </w:r>
      <w:r w:rsidRPr="00FD40CE">
        <w:t xml:space="preserve"> </w:t>
      </w:r>
      <w:r w:rsidRPr="00FD40CE">
        <w:t>J</w:t>
      </w:r>
      <w:r w:rsidRPr="00FD40CE">
        <w:t>ustifica</w:t>
      </w:r>
      <w:r w:rsidRPr="00FD40CE">
        <w:t>n</w:t>
      </w:r>
      <w:r w:rsidRPr="00FD40CE">
        <w:t xml:space="preserve"> la exequibilidad del artículo 211 </w:t>
      </w:r>
      <w:r w:rsidRPr="00FD40CE">
        <w:t>acusado</w:t>
      </w:r>
      <w:r w:rsidRPr="00FD40CE">
        <w:t>, así</w:t>
      </w:r>
      <w:r w:rsidRPr="00FD40CE">
        <w:t>:</w:t>
      </w:r>
      <w:r w:rsidRPr="00FD40CE">
        <w:t xml:space="preserve"> </w:t>
      </w:r>
      <w:r w:rsidRPr="00FD40CE">
        <w:t>“</w:t>
      </w:r>
      <w:r w:rsidRPr="00FD40CE">
        <w:t>dentro del Plan Nacional de Desarrollo se pueden cubrir varias materias y para el caso particular el FRISCO al ser un fondo que necesita recursos para su financiación, dentro de la estructura</w:t>
      </w:r>
      <w:r w:rsidRPr="00FD40CE">
        <w:t xml:space="preserve"> del plan de desarrollo se deben asegurar dichos recursos y por lo tanto, el gobierno buscó apalancarse a través de los bienes que tiene la Sociedad de Activos Especiales, por consiguiente, al encontrarse dentro del plan de inversiones no se viola la unida</w:t>
      </w:r>
      <w:r w:rsidRPr="00FD40CE">
        <w:t>d de materia, máxime que lo que la norma busca es que la Sociedad de Activos Especiales como administradora de los bienes incautados o sobre los cuales se ha extinguido el dominio por la comisión de hechos punibles, pueda transferirlos en</w:t>
      </w:r>
      <w:r w:rsidRPr="00FD40CE">
        <w:t xml:space="preserve"> </w:t>
      </w:r>
      <w:r w:rsidRPr="00FD40CE">
        <w:t>cualquier momento</w:t>
      </w:r>
      <w:r w:rsidRPr="00FD40CE">
        <w:t>, al Fondo para la Rehabilitación, Inversión y Lucha contra el Crimen Organizado FRISCO, y que los bienes inmuebles, no sean objeto de prescripción por aquellas personas que los posean de forma irregular, a través de acciones de pertenencia</w:t>
      </w:r>
      <w:r w:rsidRPr="00FD40CE">
        <w:t>”</w:t>
      </w:r>
      <w:r w:rsidRPr="00FD40CE">
        <w:rPr>
          <w:lang w:val="es-ES"/>
        </w:rPr>
        <w:t>.</w:t>
      </w:r>
    </w:p>
  </w:footnote>
  <w:footnote w:id="31">
    <w:p w:rsidR="002468C5" w:rsidRPr="00FD40CE" w:rsidRDefault="00152C0F" w:rsidP="00047F70">
      <w:pPr>
        <w:pStyle w:val="Textonotapie"/>
        <w:jc w:val="both"/>
      </w:pPr>
      <w:r w:rsidRPr="00FD40CE">
        <w:rPr>
          <w:rStyle w:val="Refdenotaalpie"/>
        </w:rPr>
        <w:footnoteRef/>
      </w:r>
      <w:r w:rsidRPr="00FD40CE">
        <w:t xml:space="preserve"> </w:t>
      </w:r>
      <w:r w:rsidRPr="00FD40CE">
        <w:t>Concepto de</w:t>
      </w:r>
      <w:r w:rsidRPr="00FD40CE">
        <w:t xml:space="preserve">l </w:t>
      </w:r>
      <w:r w:rsidRPr="00FD40CE">
        <w:t>Departamento Nacional de Planeación</w:t>
      </w:r>
      <w:r w:rsidRPr="00FD40CE">
        <w:t>.</w:t>
      </w:r>
    </w:p>
  </w:footnote>
  <w:footnote w:id="32">
    <w:p w:rsidR="00DB2DC1" w:rsidRPr="00FD40CE" w:rsidRDefault="00152C0F" w:rsidP="00047F70">
      <w:pPr>
        <w:pStyle w:val="Textonotapie"/>
        <w:jc w:val="both"/>
      </w:pPr>
      <w:r w:rsidRPr="00FD40CE">
        <w:rPr>
          <w:rStyle w:val="Refdenotaalpie"/>
        </w:rPr>
        <w:footnoteRef/>
      </w:r>
      <w:r w:rsidRPr="00FD40CE">
        <w:t xml:space="preserve"> </w:t>
      </w:r>
      <w:r w:rsidRPr="00FD40CE">
        <w:t>Ibid</w:t>
      </w:r>
      <w:r w:rsidRPr="00FD40CE">
        <w:t>.</w:t>
      </w:r>
      <w:r w:rsidRPr="00FD40CE">
        <w:t xml:space="preserve"> Al respecto, </w:t>
      </w:r>
      <w:r w:rsidRPr="00FD40CE">
        <w:t xml:space="preserve">el Departamento Nacional de Planeación </w:t>
      </w:r>
      <w:r w:rsidRPr="00FD40CE">
        <w:t>precisa: “</w:t>
      </w:r>
      <w:r w:rsidRPr="00FD40CE">
        <w:t xml:space="preserve">La norma impugnada asegura, en consecuencia, la preservación de la propiedad de los bienes objeto de un proceso de expropiación en cabeza del </w:t>
      </w:r>
      <w:r w:rsidRPr="00FD40CE">
        <w:t>Estado, mientras se adelanta la acción de extinción de dominio. Dado que esta acción es imprescriptible y puede llevarse a cabo en cualquier momento, la norma acusada se vuelve fundamental para garantizar que al final del proceso de extinción de dominio el</w:t>
      </w:r>
      <w:r w:rsidRPr="00FD40CE">
        <w:t xml:space="preserve"> Estado obtenga la titularidad del activo y pueda disponer de él de conformidad con lo previsto en la normativa vigente y aplicable</w:t>
      </w:r>
      <w:r w:rsidRPr="00FD40CE">
        <w:t>”.</w:t>
      </w:r>
    </w:p>
  </w:footnote>
  <w:footnote w:id="33">
    <w:p w:rsidR="00A84BD0" w:rsidRPr="00FD40CE" w:rsidRDefault="00152C0F" w:rsidP="00047F70">
      <w:pPr>
        <w:pStyle w:val="Textonotapie"/>
        <w:jc w:val="both"/>
      </w:pPr>
      <w:r w:rsidRPr="00FD40CE">
        <w:rPr>
          <w:rStyle w:val="Refdenotaalpie"/>
        </w:rPr>
        <w:footnoteRef/>
      </w:r>
      <w:r w:rsidRPr="00FD40CE">
        <w:t xml:space="preserve"> Concepto del Ministerio de Justicia y del Derecho</w:t>
      </w:r>
      <w:r w:rsidRPr="00FD40CE">
        <w:t>.</w:t>
      </w:r>
    </w:p>
  </w:footnote>
  <w:footnote w:id="34">
    <w:p w:rsidR="001B1935" w:rsidRPr="00FD40CE" w:rsidRDefault="00152C0F" w:rsidP="00047F70">
      <w:pPr>
        <w:pStyle w:val="Textonotapie"/>
        <w:jc w:val="both"/>
      </w:pPr>
      <w:r w:rsidRPr="00FD40CE">
        <w:rPr>
          <w:rStyle w:val="Refdenotaalpie"/>
        </w:rPr>
        <w:footnoteRef/>
      </w:r>
      <w:r w:rsidRPr="00FD40CE">
        <w:t xml:space="preserve"> </w:t>
      </w:r>
      <w:r w:rsidRPr="00FD40CE">
        <w:t xml:space="preserve">En este sentido, </w:t>
      </w:r>
      <w:r w:rsidRPr="00FD40CE">
        <w:t>según indica la SAE, se trata de una medida necesa</w:t>
      </w:r>
      <w:r w:rsidRPr="00FD40CE">
        <w:t xml:space="preserve">ria puesto que existe </w:t>
      </w:r>
      <w:r w:rsidRPr="00FD40CE">
        <w:t>“</w:t>
      </w:r>
      <w:r w:rsidRPr="00FD40CE">
        <w:t xml:space="preserve">el riesgo de pérdida de activos en proceso de extinción con ocasión a la posibilidad de que sobre los mismos se aplique la figura de la caducidad de las medidas cautelares, lo que permitiría a los afectados al interior de los </w:t>
      </w:r>
      <w:r w:rsidRPr="00FD40CE">
        <w:t>procesos disponer libremente de estos y desviar el objeto teleológico de la acción patrimonial de extinción de dominio</w:t>
      </w:r>
      <w:r w:rsidRPr="00FD40CE">
        <w:t>”.</w:t>
      </w:r>
    </w:p>
  </w:footnote>
  <w:footnote w:id="35">
    <w:p w:rsidR="00C75EC7" w:rsidRPr="00FD40CE" w:rsidRDefault="00152C0F" w:rsidP="00047F70">
      <w:pPr>
        <w:pStyle w:val="Textonotapie"/>
        <w:jc w:val="both"/>
      </w:pPr>
      <w:r w:rsidRPr="00FD40CE">
        <w:rPr>
          <w:rStyle w:val="Refdenotaalpie"/>
        </w:rPr>
        <w:footnoteRef/>
      </w:r>
      <w:r w:rsidRPr="00FD40CE">
        <w:t xml:space="preserve"> </w:t>
      </w:r>
      <w:r w:rsidRPr="00FD40CE">
        <w:t>Concepto del Departamento Nacional de Planeación.</w:t>
      </w:r>
    </w:p>
  </w:footnote>
  <w:footnote w:id="36">
    <w:p w:rsidR="005A4AB5" w:rsidRPr="00FD40CE" w:rsidRDefault="00152C0F" w:rsidP="00047F70">
      <w:pPr>
        <w:pStyle w:val="Textonotapie"/>
        <w:jc w:val="both"/>
      </w:pPr>
      <w:r w:rsidRPr="00FD40CE">
        <w:rPr>
          <w:rStyle w:val="Refdenotaalpie"/>
        </w:rPr>
        <w:footnoteRef/>
      </w:r>
      <w:r w:rsidRPr="00FD40CE">
        <w:t xml:space="preserve"> Concepto del Ministerio de Justicia y del Derecho.</w:t>
      </w:r>
    </w:p>
  </w:footnote>
  <w:footnote w:id="37">
    <w:p w:rsidR="004C7E30" w:rsidRPr="00FD40CE" w:rsidRDefault="00152C0F" w:rsidP="00047F70">
      <w:pPr>
        <w:pStyle w:val="Textonotapie"/>
        <w:jc w:val="both"/>
      </w:pPr>
      <w:r w:rsidRPr="00FD40CE">
        <w:rPr>
          <w:rStyle w:val="Refdenotaalpie"/>
        </w:rPr>
        <w:footnoteRef/>
      </w:r>
      <w:r w:rsidRPr="00FD40CE">
        <w:t xml:space="preserve"> Cfr., </w:t>
      </w:r>
      <w:r w:rsidRPr="00FD40CE">
        <w:t xml:space="preserve">lo dispuesto en el artículo 3 de la Ley 2294, </w:t>
      </w:r>
      <w:r w:rsidRPr="00FD40CE">
        <w:t xml:space="preserve">para efectos de </w:t>
      </w:r>
      <w:r w:rsidRPr="00FD40CE">
        <w:t xml:space="preserve">apreciar </w:t>
      </w:r>
      <w:r w:rsidRPr="00FD40CE">
        <w:t xml:space="preserve">la estructura del plan nacional de desarrollo y su </w:t>
      </w:r>
      <w:r w:rsidRPr="00FD40CE">
        <w:t>articulación a partir de “ejes de transformación”</w:t>
      </w:r>
      <w:r w:rsidRPr="00FD40CE">
        <w:t xml:space="preserve"> y</w:t>
      </w:r>
      <w:r w:rsidRPr="00FD40CE">
        <w:t xml:space="preserve"> “habilitadores estructurales”</w:t>
      </w:r>
      <w:r w:rsidRPr="00FD40CE">
        <w:t>.</w:t>
      </w:r>
    </w:p>
  </w:footnote>
  <w:footnote w:id="38">
    <w:p w:rsidR="000E75DE" w:rsidRPr="00FD40CE" w:rsidRDefault="00152C0F" w:rsidP="00047F70">
      <w:pPr>
        <w:pStyle w:val="Textonotapie"/>
        <w:jc w:val="both"/>
      </w:pPr>
      <w:r w:rsidRPr="00FD40CE">
        <w:rPr>
          <w:rStyle w:val="Refdenotaalpie"/>
        </w:rPr>
        <w:footnoteRef/>
      </w:r>
      <w:r w:rsidRPr="00FD40CE">
        <w:t xml:space="preserve"> </w:t>
      </w:r>
      <w:r w:rsidRPr="00FD40CE">
        <w:t xml:space="preserve">De conformidad con la tabla </w:t>
      </w:r>
      <w:r w:rsidRPr="00FD40CE">
        <w:t>II de</w:t>
      </w:r>
      <w:r w:rsidRPr="00FD40CE">
        <w:t>l</w:t>
      </w:r>
      <w:r w:rsidRPr="00FD40CE">
        <w:t xml:space="preserve"> artículo </w:t>
      </w:r>
      <w:r w:rsidRPr="00FD40CE">
        <w:t xml:space="preserve">5 de la Ley 2294, </w:t>
      </w:r>
      <w:r w:rsidRPr="00FD40CE">
        <w:t>a</w:t>
      </w:r>
      <w:r w:rsidRPr="00FD40CE">
        <w:t>l cumplimiento de los fines de</w:t>
      </w:r>
      <w:r w:rsidRPr="00FD40CE">
        <w:t xml:space="preserve"> </w:t>
      </w:r>
      <w:r w:rsidRPr="00FD40CE">
        <w:t xml:space="preserve">que trata </w:t>
      </w:r>
      <w:r w:rsidRPr="00FD40CE">
        <w:t xml:space="preserve">este eje de transformación </w:t>
      </w:r>
      <w:r w:rsidRPr="00FD40CE">
        <w:t xml:space="preserve">se estima destinar </w:t>
      </w:r>
      <w:r w:rsidRPr="00FD40CE">
        <w:t>la mayor cantidad de recursos</w:t>
      </w:r>
      <w:r w:rsidRPr="00FD40CE">
        <w:t xml:space="preserve"> del plan plurianual de inversiones, en un monto de 743,7 billones de peso</w:t>
      </w:r>
      <w:r w:rsidRPr="00FD40CE">
        <w:t>s de 2022.</w:t>
      </w:r>
    </w:p>
  </w:footnote>
  <w:footnote w:id="39">
    <w:p w:rsidR="006E6AE7" w:rsidRPr="00FD40CE" w:rsidRDefault="00152C0F" w:rsidP="00047F70">
      <w:pPr>
        <w:pStyle w:val="Textonotapie"/>
        <w:jc w:val="both"/>
      </w:pPr>
      <w:r w:rsidRPr="00FD40CE">
        <w:rPr>
          <w:rStyle w:val="Refdenotaalpie"/>
        </w:rPr>
        <w:footnoteRef/>
      </w:r>
      <w:r w:rsidRPr="00FD40CE">
        <w:t xml:space="preserve"> Concepto del Departamento Nacional</w:t>
      </w:r>
      <w:r w:rsidRPr="00FD40CE">
        <w:t xml:space="preserve"> de Planeación.</w:t>
      </w:r>
    </w:p>
  </w:footnote>
  <w:footnote w:id="40">
    <w:p w:rsidR="008C0A90" w:rsidRPr="00FD40CE" w:rsidRDefault="00152C0F" w:rsidP="00047F70">
      <w:pPr>
        <w:pStyle w:val="Textonotapie"/>
        <w:jc w:val="both"/>
      </w:pPr>
      <w:r w:rsidRPr="00FD40CE">
        <w:rPr>
          <w:rStyle w:val="Refdenotaalpie"/>
        </w:rPr>
        <w:footnoteRef/>
      </w:r>
      <w:r w:rsidRPr="00FD40CE">
        <w:t xml:space="preserve"> </w:t>
      </w:r>
      <w:r w:rsidRPr="00FD40CE">
        <w:t>El artículo 2 de la Ley 2294 dispone que este documento</w:t>
      </w:r>
      <w:r w:rsidRPr="00FD40CE">
        <w:t>, junto con sus anexos, “es parte integral del Plan Nacional de Desarrollo, y se incorpora a la presente ley como un anexo”.</w:t>
      </w:r>
    </w:p>
  </w:footnote>
  <w:footnote w:id="41">
    <w:p w:rsidR="00896CDF" w:rsidRPr="00FD40CE" w:rsidRDefault="00152C0F" w:rsidP="00047F70">
      <w:pPr>
        <w:pStyle w:val="Textonotapie"/>
        <w:jc w:val="both"/>
      </w:pPr>
      <w:r w:rsidRPr="00FD40CE">
        <w:rPr>
          <w:rStyle w:val="Refdenotaalpie"/>
        </w:rPr>
        <w:footnoteRef/>
      </w:r>
      <w:r w:rsidRPr="00FD40CE">
        <w:t xml:space="preserve"> De manera particular, en relación con el artículo 211, el Departamento Nacional de Planeación resalta que la disposición “contribuye eficazmente a la estrategia de desarticulación del multicrimen al impedir su utilización en actividades ilegales como el l</w:t>
      </w:r>
      <w:r w:rsidRPr="00FD40CE">
        <w:t>avado de activos, la extorsión y el contrabando”.</w:t>
      </w:r>
    </w:p>
  </w:footnote>
  <w:footnote w:id="42">
    <w:p w:rsidR="00233CBC" w:rsidRPr="00FD40CE" w:rsidRDefault="00152C0F" w:rsidP="00047F70">
      <w:pPr>
        <w:pStyle w:val="Textonotapie"/>
        <w:jc w:val="both"/>
      </w:pPr>
      <w:r w:rsidRPr="00FD40CE">
        <w:rPr>
          <w:rStyle w:val="Refdenotaalpie"/>
        </w:rPr>
        <w:footnoteRef/>
      </w:r>
      <w:r w:rsidRPr="00FD40CE">
        <w:t xml:space="preserve"> Al respecto, el Departamento Nacional de Planeación afirma: “esta disposición asegura una gestión eficiente y transparente de los activos administrados por la Sociedad de Activos Especiales (SAE), al impe</w:t>
      </w:r>
      <w:r w:rsidRPr="00FD40CE">
        <w:t>dir que el derecho real de dominio o propiedad de los bienes administrados por el FRISCO o por terceros en su nombre, sea reclamado mediante la prescripción adquisitiva. Este mecanismo garantiza que los activos permanezcan bajo el control del administrador</w:t>
      </w:r>
      <w:r w:rsidRPr="00FD40CE">
        <w:t xml:space="preserve"> del Frisco -la SAE-, brindando estabilidad y continuidad en su gestión, y evitando conflictos legales (procesos judiciales de declaración de pertenencia) que podrían entorpecer su administración. Este aspecto es fundamental para asegurar que los recursos </w:t>
      </w:r>
      <w:r w:rsidRPr="00FD40CE">
        <w:t>obtenidos a través de la extinción de dominio se dirijan efectivamente hacia el beneficio social”.</w:t>
      </w:r>
    </w:p>
  </w:footnote>
  <w:footnote w:id="43">
    <w:p w:rsidR="005724EF" w:rsidRPr="00FD40CE" w:rsidRDefault="00152C0F" w:rsidP="00047F70">
      <w:pPr>
        <w:pStyle w:val="Textonotapie"/>
        <w:jc w:val="both"/>
      </w:pPr>
      <w:r w:rsidRPr="00FD40CE">
        <w:rPr>
          <w:rStyle w:val="Refdenotaalpie"/>
        </w:rPr>
        <w:footnoteRef/>
      </w:r>
      <w:r w:rsidRPr="00FD40CE">
        <w:t xml:space="preserve"> De manera específica, el Departamento Nacional de Planeación </w:t>
      </w:r>
      <w:r w:rsidRPr="00FD40CE">
        <w:t>señala</w:t>
      </w:r>
      <w:r w:rsidRPr="00FD40CE">
        <w:t>: “</w:t>
      </w:r>
      <w:r w:rsidRPr="00FD40CE">
        <w:t xml:space="preserve">la norma impugnada tiene como propósito impedir que las medidas cautelares que pesan </w:t>
      </w:r>
      <w:r w:rsidRPr="00FD40CE">
        <w:t>sobre los bienes en proceso de extinción de dominio, y que buscan preservar la integridad y disponibilidad jurídica en favor del Estado, se extingan por el solo hecho del paso del tiempo; de tal suerte que dichos bienes puedan ser destinados de manera prov</w:t>
      </w:r>
      <w:r w:rsidRPr="00FD40CE">
        <w:t>isional o definitiva, a las finalidades previstas en la normativa vigente</w:t>
      </w:r>
      <w:r w:rsidRPr="00FD40CE">
        <w:t>”.</w:t>
      </w:r>
    </w:p>
  </w:footnote>
  <w:footnote w:id="44">
    <w:p w:rsidR="00B46EDC" w:rsidRPr="00FD40CE" w:rsidRDefault="00152C0F" w:rsidP="00047F70">
      <w:pPr>
        <w:pStyle w:val="Textonotapie"/>
        <w:jc w:val="both"/>
      </w:pPr>
      <w:r w:rsidRPr="00FD40CE">
        <w:rPr>
          <w:rStyle w:val="Refdenotaalpie"/>
        </w:rPr>
        <w:footnoteRef/>
      </w:r>
      <w:r w:rsidRPr="00FD40CE">
        <w:t xml:space="preserve"> Concepto del Departamento Nacional de Planeación.</w:t>
      </w:r>
    </w:p>
  </w:footnote>
  <w:footnote w:id="45">
    <w:p w:rsidR="00655B19" w:rsidRPr="00FD40CE" w:rsidRDefault="00152C0F" w:rsidP="00047F70">
      <w:pPr>
        <w:pStyle w:val="Textonotapie"/>
        <w:jc w:val="both"/>
      </w:pPr>
      <w:r w:rsidRPr="00FD40CE">
        <w:rPr>
          <w:rStyle w:val="Refdenotaalpie"/>
        </w:rPr>
        <w:footnoteRef/>
      </w:r>
      <w:r w:rsidRPr="00FD40CE">
        <w:t xml:space="preserve"> Ibid.</w:t>
      </w:r>
    </w:p>
  </w:footnote>
  <w:footnote w:id="46">
    <w:p w:rsidR="00ED5D78" w:rsidRPr="00FD40CE" w:rsidRDefault="00152C0F" w:rsidP="00047F70">
      <w:pPr>
        <w:pStyle w:val="Textonotapie"/>
        <w:jc w:val="both"/>
      </w:pPr>
      <w:r w:rsidRPr="00FD40CE">
        <w:rPr>
          <w:rStyle w:val="Refdenotaalpie"/>
        </w:rPr>
        <w:footnoteRef/>
      </w:r>
      <w:r w:rsidRPr="00FD40CE">
        <w:t xml:space="preserve"> Ibid.</w:t>
      </w:r>
    </w:p>
  </w:footnote>
  <w:footnote w:id="47">
    <w:p w:rsidR="005E2DE3" w:rsidRPr="00FD40CE" w:rsidRDefault="00152C0F" w:rsidP="00047F70">
      <w:pPr>
        <w:pStyle w:val="Textonotapie"/>
        <w:jc w:val="both"/>
      </w:pPr>
      <w:r w:rsidRPr="00FD40CE">
        <w:rPr>
          <w:rStyle w:val="Refdenotaalpie"/>
        </w:rPr>
        <w:footnoteRef/>
      </w:r>
      <w:r w:rsidRPr="00FD40CE">
        <w:t xml:space="preserve"> Concepto de la Universidad Externado de Colombia.</w:t>
      </w:r>
    </w:p>
  </w:footnote>
  <w:footnote w:id="48">
    <w:p w:rsidR="0026086B" w:rsidRPr="00FD40CE" w:rsidRDefault="00152C0F" w:rsidP="00047F70">
      <w:pPr>
        <w:pStyle w:val="Textonotapie"/>
        <w:jc w:val="both"/>
      </w:pPr>
      <w:r w:rsidRPr="00FD40CE">
        <w:rPr>
          <w:rStyle w:val="Refdenotaalpie"/>
        </w:rPr>
        <w:footnoteRef/>
      </w:r>
      <w:r w:rsidRPr="00FD40CE">
        <w:t xml:space="preserve"> Concepto de la Universidad Externado de Colombia. Por su parte, el Instituto Colombiano de Derecho Procesal afirma: “Dado que no hay una relación clara que justifique la imprescriptibilidad de los bienes en el contexto de los objetivos del plan, es eviden</w:t>
      </w:r>
      <w:r w:rsidRPr="00FD40CE">
        <w:t>te que incluir una reforma con vocación de permanencia sin justificar su necesidad o relevancia específica para los fines del PND constituye una violación al principio de unidad de materia, según lo establecido por el precedente constitucional anteriorment</w:t>
      </w:r>
      <w:r w:rsidRPr="00FD40CE">
        <w:t>e referenciado”.</w:t>
      </w:r>
    </w:p>
  </w:footnote>
  <w:footnote w:id="49">
    <w:p w:rsidR="00135509" w:rsidRPr="00FD40CE" w:rsidRDefault="00152C0F" w:rsidP="00047F70">
      <w:pPr>
        <w:pStyle w:val="Textonotapie"/>
        <w:jc w:val="both"/>
      </w:pPr>
      <w:r w:rsidRPr="00FD40CE">
        <w:rPr>
          <w:rStyle w:val="Refdenotaalpie"/>
        </w:rPr>
        <w:footnoteRef/>
      </w:r>
      <w:r w:rsidRPr="00FD40CE">
        <w:t xml:space="preserve"> Cfr., en especial, lo indicado en las sentencias C-087 de 2024 (párrafo, § 25) y C-100 de 2022. E</w:t>
      </w:r>
      <w:r w:rsidRPr="00FD40CE">
        <w:rPr>
          <w:lang w:val="es-ES_tradnl"/>
        </w:rPr>
        <w:t>n el auto que admite una demanda de inconstitucionalidad, el magistrado sustanciador valora si esta cumple con los requisitos mínimos de apt</w:t>
      </w:r>
      <w:r w:rsidRPr="00FD40CE">
        <w:rPr>
          <w:lang w:val="es-ES_tradnl"/>
        </w:rPr>
        <w:t xml:space="preserve">itud sustantiva. Este estudio corresponde a una revisión sumaria que </w:t>
      </w:r>
      <w:r w:rsidRPr="00FD40CE">
        <w:rPr>
          <w:iCs/>
          <w:lang w:val="es-ES_tradnl"/>
        </w:rPr>
        <w:t>no compromete ni define la competencia de la Sala Plena, depositaria de la función de decidir de fondo sobre las demandas de inconstitucionalidad que presenten los ciudadanos, en los térm</w:t>
      </w:r>
      <w:r w:rsidRPr="00FD40CE">
        <w:rPr>
          <w:iCs/>
          <w:lang w:val="es-ES_tradnl"/>
        </w:rPr>
        <w:t xml:space="preserve">inos del artículo 241 de la Constitución (en este sentido, entre muchas otras, </w:t>
      </w:r>
      <w:r w:rsidRPr="00FD40CE">
        <w:t xml:space="preserve">las sentencias C-190 de 2022, </w:t>
      </w:r>
      <w:r w:rsidRPr="00FD40CE">
        <w:rPr>
          <w:shd w:val="clear" w:color="auto" w:fill="FFFFFF"/>
        </w:rPr>
        <w:t>C-165 de 2019</w:t>
      </w:r>
      <w:r w:rsidRPr="00FD40CE">
        <w:t xml:space="preserve">, C-281 de 2013 y </w:t>
      </w:r>
      <w:r w:rsidRPr="00FD40CE">
        <w:rPr>
          <w:shd w:val="clear" w:color="auto" w:fill="FFFFFF"/>
        </w:rPr>
        <w:t>C-894 de 2009)</w:t>
      </w:r>
      <w:r w:rsidRPr="00FD40CE">
        <w:rPr>
          <w:iCs/>
          <w:lang w:val="es-ES_tradnl"/>
        </w:rPr>
        <w:t xml:space="preserve">. </w:t>
      </w:r>
      <w:r w:rsidRPr="00FD40CE">
        <w:rPr>
          <w:iCs/>
          <w:lang w:val="es-ES_tradnl"/>
        </w:rPr>
        <w:t>C</w:t>
      </w:r>
      <w:r w:rsidRPr="00FD40CE">
        <w:rPr>
          <w:iCs/>
          <w:lang w:val="es-ES_tradnl"/>
        </w:rPr>
        <w:t xml:space="preserve">uando ninguno de los intervinientes en el trámite cuestiona la aptitud de la demanda es plausible inferir que se trabó de manera adecuada la </w:t>
      </w:r>
      <w:r w:rsidRPr="00FD40CE">
        <w:rPr>
          <w:i/>
          <w:lang w:val="es-ES_tradnl"/>
        </w:rPr>
        <w:t xml:space="preserve">litis </w:t>
      </w:r>
      <w:r w:rsidRPr="00FD40CE">
        <w:rPr>
          <w:iCs/>
          <w:lang w:val="es-ES_tradnl"/>
        </w:rPr>
        <w:t>constitucional y, por tanto, que aquellos pudieron presentar argumentos razonables para impugnar o defender l</w:t>
      </w:r>
      <w:r w:rsidRPr="00FD40CE">
        <w:rPr>
          <w:iCs/>
          <w:lang w:val="es-ES_tradnl"/>
        </w:rPr>
        <w:t>a constitucionalidad de la disposición acusada, finalidad adscrita a esta etapa, en los términos de</w:t>
      </w:r>
      <w:r w:rsidRPr="00FD40CE">
        <w:rPr>
          <w:iCs/>
          <w:lang w:val="es-ES_tradnl"/>
        </w:rPr>
        <w:t xml:space="preserve"> </w:t>
      </w:r>
      <w:r w:rsidRPr="00FD40CE">
        <w:rPr>
          <w:iCs/>
          <w:lang w:val="es-ES_tradnl"/>
        </w:rPr>
        <w:t>l</w:t>
      </w:r>
      <w:r w:rsidRPr="00FD40CE">
        <w:rPr>
          <w:iCs/>
          <w:lang w:val="es-ES_tradnl"/>
        </w:rPr>
        <w:t>os</w:t>
      </w:r>
      <w:r w:rsidRPr="00FD40CE">
        <w:rPr>
          <w:iCs/>
          <w:lang w:val="es-ES_tradnl"/>
        </w:rPr>
        <w:t xml:space="preserve"> artículo</w:t>
      </w:r>
      <w:r w:rsidRPr="00FD40CE">
        <w:rPr>
          <w:iCs/>
          <w:lang w:val="es-ES_tradnl"/>
        </w:rPr>
        <w:t xml:space="preserve">s 242.1 de la Constitución y </w:t>
      </w:r>
      <w:r w:rsidRPr="00FD40CE">
        <w:rPr>
          <w:iCs/>
          <w:lang w:val="es-ES_tradnl"/>
        </w:rPr>
        <w:t xml:space="preserve">7 del Decreto 2067 de 1991. </w:t>
      </w:r>
      <w:r w:rsidRPr="00FD40CE">
        <w:rPr>
          <w:i/>
          <w:lang w:val="es-ES_tradnl"/>
        </w:rPr>
        <w:t>Contrario sensu</w:t>
      </w:r>
      <w:r w:rsidRPr="00FD40CE">
        <w:rPr>
          <w:iCs/>
          <w:lang w:val="es-ES_tradnl"/>
        </w:rPr>
        <w:t xml:space="preserve">, si los intervinientes presentan </w:t>
      </w:r>
      <w:r w:rsidRPr="00FD40CE">
        <w:t>“un análisis mínimo que permita colegi</w:t>
      </w:r>
      <w:r w:rsidRPr="00FD40CE">
        <w:t xml:space="preserve">r las razones del incumplimiento de cada uno de los requisitos de la carga argumentativa”, es adecuado que la Sala Plena </w:t>
      </w:r>
      <w:r w:rsidRPr="00FD40CE">
        <w:rPr>
          <w:iCs/>
          <w:lang w:val="es-ES_tradnl"/>
        </w:rPr>
        <w:t xml:space="preserve">valore nuevamente </w:t>
      </w:r>
      <w:r w:rsidRPr="00FD40CE">
        <w:t xml:space="preserve">la aptitud sustantiva de la demanda (Sentencia C-100 de 2022), claro está, sin que </w:t>
      </w:r>
      <w:r w:rsidRPr="00FD40CE">
        <w:t xml:space="preserve">constituya </w:t>
      </w:r>
      <w:r w:rsidRPr="00FD40CE">
        <w:t>una exigencia que limit</w:t>
      </w:r>
      <w:r w:rsidRPr="00FD40CE">
        <w:t>e su competencia para el efecto, sea por las razones alegadas por los intervinientes, o por otras, de considerarlo necesario; en este sentido, las intervenciones no limitan la competencia de la Sala para valorar la aptitud sustantiva de los cargos de las d</w:t>
      </w:r>
      <w:r w:rsidRPr="00FD40CE">
        <w:t>emandas de inconstitucionalidad.</w:t>
      </w:r>
    </w:p>
  </w:footnote>
  <w:footnote w:id="50">
    <w:p w:rsidR="00A0139C" w:rsidRPr="00FD40CE" w:rsidRDefault="00152C0F" w:rsidP="00047F70">
      <w:pPr>
        <w:pStyle w:val="Textonotapie"/>
        <w:jc w:val="both"/>
      </w:pPr>
      <w:r w:rsidRPr="00FD40CE">
        <w:rPr>
          <w:rStyle w:val="Refdenotaalpie"/>
        </w:rPr>
        <w:footnoteRef/>
      </w:r>
      <w:r w:rsidRPr="00FD40CE">
        <w:t xml:space="preserve"> En este sentido, el Departamento Nacional de Planeación indicó que la medida de que trata el artículo 211 es necesari</w:t>
      </w:r>
      <w:r w:rsidRPr="00FD40CE">
        <w:t>a</w:t>
      </w:r>
      <w:r w:rsidRPr="00FD40CE">
        <w:t>, ya que se dirige a los bienes del FRISCO “afectados con medidas cautelares en proceso de extinción de</w:t>
      </w:r>
      <w:r w:rsidRPr="00FD40CE">
        <w:t xml:space="preserve"> dominio”</w:t>
      </w:r>
      <w:r w:rsidRPr="00FD40CE">
        <w:t>.</w:t>
      </w:r>
    </w:p>
  </w:footnote>
  <w:footnote w:id="51">
    <w:p w:rsidR="00765B32" w:rsidRPr="00FD40CE" w:rsidRDefault="00152C0F" w:rsidP="00047F70">
      <w:pPr>
        <w:pStyle w:val="Textonotapie"/>
        <w:jc w:val="both"/>
      </w:pPr>
      <w:r w:rsidRPr="00FD40CE">
        <w:rPr>
          <w:rStyle w:val="Refdenotaalpie"/>
        </w:rPr>
        <w:footnoteRef/>
      </w:r>
      <w:r w:rsidRPr="00FD40CE">
        <w:t xml:space="preserve"> </w:t>
      </w:r>
      <w:r w:rsidRPr="00FD40CE">
        <w:t>L</w:t>
      </w:r>
      <w:r w:rsidRPr="00FD40CE">
        <w:t>a Corte ha valorado la compatibilidad de disposiciones de</w:t>
      </w:r>
      <w:r w:rsidRPr="00FD40CE">
        <w:t xml:space="preserve"> leyes aprobatorias del</w:t>
      </w:r>
      <w:r w:rsidRPr="00FD40CE">
        <w:t xml:space="preserve"> plan nacional de desarrollo que introducen modificaciones permanentes al ordenamiento jurídico o cuya vigencia supera el respectivo periodo cuatrienal de gobierno en las siguientes </w:t>
      </w:r>
      <w:r w:rsidRPr="00FD40CE">
        <w:t xml:space="preserve">providencias: </w:t>
      </w:r>
      <w:r w:rsidRPr="00FD40CE">
        <w:t xml:space="preserve">C-305 de 2004, </w:t>
      </w:r>
      <w:r w:rsidRPr="00FD40CE">
        <w:t xml:space="preserve">C-219 de 2019, </w:t>
      </w:r>
      <w:r w:rsidRPr="00FD40CE">
        <w:t xml:space="preserve">C-068 de 2020, </w:t>
      </w:r>
      <w:r w:rsidRPr="00FD40CE">
        <w:t>C-415 de 2020,</w:t>
      </w:r>
      <w:r w:rsidRPr="00FD40CE">
        <w:t xml:space="preserve"> </w:t>
      </w:r>
      <w:r w:rsidRPr="00FD40CE">
        <w:t>C-440 de 2020, C-464 de 2020, C-493 de 2020, C-030 de 2021, C-047 de 2021, C-063 de 2021, C-095 de 2021, C-105 de 2021, C-276 de 2021, C-049 de 2022, C-084 de 2022, C-161 de 2022, C-537 de 2023 y C-037 de 2024</w:t>
      </w:r>
      <w:r w:rsidRPr="00FD40CE">
        <w:t>.</w:t>
      </w:r>
    </w:p>
  </w:footnote>
  <w:footnote w:id="52">
    <w:p w:rsidR="00DE250E" w:rsidRPr="00FD40CE" w:rsidRDefault="00152C0F" w:rsidP="00047F70">
      <w:pPr>
        <w:pStyle w:val="Textonotapie"/>
        <w:jc w:val="both"/>
      </w:pPr>
      <w:r w:rsidRPr="00FD40CE">
        <w:rPr>
          <w:rStyle w:val="Refdenotaalpie"/>
        </w:rPr>
        <w:footnoteRef/>
      </w:r>
      <w:r w:rsidRPr="00FD40CE">
        <w:t xml:space="preserve"> Concepto del Ministerio de Justicia y del D</w:t>
      </w:r>
      <w:r w:rsidRPr="00FD40CE">
        <w:t>erecho.</w:t>
      </w:r>
    </w:p>
  </w:footnote>
  <w:footnote w:id="53">
    <w:p w:rsidR="007A0F68" w:rsidRPr="00FD40CE" w:rsidRDefault="00152C0F" w:rsidP="00047F70">
      <w:pPr>
        <w:pStyle w:val="Textonotapie"/>
        <w:jc w:val="both"/>
      </w:pPr>
      <w:r w:rsidRPr="00FD40CE">
        <w:rPr>
          <w:rStyle w:val="Refdenotaalpie"/>
        </w:rPr>
        <w:footnoteRef/>
      </w:r>
      <w:r w:rsidRPr="00FD40CE">
        <w:t xml:space="preserve"> Cfr., el listado de sentencias </w:t>
      </w:r>
      <w:r w:rsidRPr="00FD40CE">
        <w:t>antes trascrito</w:t>
      </w:r>
      <w:r w:rsidRPr="00FD40CE">
        <w:t xml:space="preserve"> a pie de página</w:t>
      </w:r>
      <w:r w:rsidRPr="00FD40CE">
        <w:t>.</w:t>
      </w:r>
    </w:p>
  </w:footnote>
  <w:footnote w:id="54">
    <w:p w:rsidR="00322D34" w:rsidRPr="00FD40CE" w:rsidRDefault="00152C0F" w:rsidP="00047F70">
      <w:pPr>
        <w:pStyle w:val="Textonotapie"/>
        <w:jc w:val="both"/>
      </w:pPr>
      <w:r w:rsidRPr="00FD40CE">
        <w:rPr>
          <w:rStyle w:val="Refdenotaalpie"/>
        </w:rPr>
        <w:footnoteRef/>
      </w:r>
      <w:r w:rsidRPr="00FD40CE">
        <w:t xml:space="preserve"> El presente acápite </w:t>
      </w:r>
      <w:r w:rsidRPr="00FD40CE">
        <w:t>reitera</w:t>
      </w:r>
      <w:r w:rsidRPr="00FD40CE">
        <w:t xml:space="preserve"> </w:t>
      </w:r>
      <w:r w:rsidRPr="00FD40CE">
        <w:t>la Sentencia C-037 de 2024.</w:t>
      </w:r>
    </w:p>
  </w:footnote>
  <w:footnote w:id="55">
    <w:p w:rsidR="00322D34" w:rsidRPr="00FD40CE" w:rsidRDefault="00152C0F" w:rsidP="00047F70">
      <w:pPr>
        <w:pStyle w:val="Textonotapie"/>
        <w:tabs>
          <w:tab w:val="left" w:pos="3822"/>
        </w:tabs>
        <w:jc w:val="both"/>
      </w:pPr>
      <w:r w:rsidRPr="00FD40CE">
        <w:rPr>
          <w:vertAlign w:val="superscript"/>
        </w:rPr>
        <w:footnoteRef/>
      </w:r>
      <w:r w:rsidRPr="00FD40CE">
        <w:t xml:space="preserve"> </w:t>
      </w:r>
      <w:r w:rsidRPr="00FD40CE">
        <w:t>Los cuales forman parte del Capítulo 2 del Título XII</w:t>
      </w:r>
      <w:r w:rsidRPr="00FD40CE">
        <w:rPr>
          <w:lang w:val="es-ES"/>
        </w:rPr>
        <w:t xml:space="preserve"> de la Constitución</w:t>
      </w:r>
      <w:r w:rsidRPr="00FD40CE">
        <w:rPr>
          <w:lang w:val="es-ES"/>
        </w:rPr>
        <w:t>. Este Título</w:t>
      </w:r>
      <w:r w:rsidRPr="00FD40CE">
        <w:rPr>
          <w:lang w:val="es-ES"/>
        </w:rPr>
        <w:t xml:space="preserve"> agrupa la regulación del régimen económico y de la hacienda pública, y en su Capítulo </w:t>
      </w:r>
      <w:r w:rsidRPr="00FD40CE">
        <w:rPr>
          <w:lang w:val="es-ES"/>
        </w:rPr>
        <w:t>2</w:t>
      </w:r>
      <w:r w:rsidRPr="00FD40CE">
        <w:rPr>
          <w:lang w:val="es-ES"/>
        </w:rPr>
        <w:t xml:space="preserve"> dispone lo pertinente acerca de los planes de desarrollo nacional y de las entidades territoriales. Por fuera de este capítulo, también se refieren a la materia los ar</w:t>
      </w:r>
      <w:r w:rsidRPr="00FD40CE">
        <w:rPr>
          <w:lang w:val="es-ES"/>
        </w:rPr>
        <w:t>tículos 150.3, 200.3, 330.2, 346, 352, 355, 361 y el artículo transitorio adicionado por el artículo 3 del Acto Legislativo 1 d</w:t>
      </w:r>
      <w:r w:rsidRPr="00FD40CE">
        <w:rPr>
          <w:lang w:val="es-ES"/>
        </w:rPr>
        <w:t>e</w:t>
      </w:r>
      <w:r w:rsidRPr="00FD40CE">
        <w:rPr>
          <w:lang w:val="es-ES"/>
        </w:rPr>
        <w:t xml:space="preserve"> 2016, según el cual, “[e]l Gobierno nacional durante los próximos veinte años incluirá en el Plan Plurianual de Inversiones del</w:t>
      </w:r>
      <w:r w:rsidRPr="00FD40CE">
        <w:rPr>
          <w:lang w:val="es-ES"/>
        </w:rPr>
        <w:t xml:space="preserve"> Plan Nacional de Desarrollo, un componente específico para la paz…”.</w:t>
      </w:r>
    </w:p>
  </w:footnote>
  <w:footnote w:id="56">
    <w:p w:rsidR="00322D34" w:rsidRPr="00FD40CE" w:rsidRDefault="00152C0F" w:rsidP="00047F70">
      <w:pPr>
        <w:pStyle w:val="Textonotapie"/>
        <w:jc w:val="both"/>
      </w:pPr>
      <w:r w:rsidRPr="00FD40CE">
        <w:rPr>
          <w:rStyle w:val="Refdenotaalpie"/>
        </w:rPr>
        <w:footnoteRef/>
      </w:r>
      <w:r w:rsidRPr="00FD40CE">
        <w:t xml:space="preserve"> Cfr., entre otras, las sentencias </w:t>
      </w:r>
      <w:r w:rsidRPr="00FD40CE">
        <w:rPr>
          <w:lang w:val="es-ES"/>
        </w:rPr>
        <w:t xml:space="preserve">C-440 de 2020, C-415 de 2020, C-016 de 2016 y C-557 de 2000. </w:t>
      </w:r>
      <w:r w:rsidRPr="00FD40CE">
        <w:t>Al respecto, la jurisprudencia constitucional ha reiterado que el plan nacional de desarr</w:t>
      </w:r>
      <w:r w:rsidRPr="00FD40CE">
        <w:t>ollo “</w:t>
      </w:r>
      <w:r w:rsidRPr="00FD40CE">
        <w:rPr>
          <w:shd w:val="clear" w:color="auto" w:fill="FFFFFF"/>
          <w:lang w:val="es-ES"/>
        </w:rPr>
        <w:t>sirve de base y provee los lineamientos estratégicos de las políticas públicas formuladas por el presidente de la República, por medio de su equipo de gobierno” (Sentencia C-415 de 2020, § 50).</w:t>
      </w:r>
    </w:p>
  </w:footnote>
  <w:footnote w:id="57">
    <w:p w:rsidR="00322D34" w:rsidRPr="00FD40CE" w:rsidRDefault="00152C0F" w:rsidP="00047F70">
      <w:pPr>
        <w:pStyle w:val="Textonotapie"/>
        <w:jc w:val="both"/>
      </w:pPr>
      <w:r w:rsidRPr="00FD40CE">
        <w:rPr>
          <w:rStyle w:val="Refdenotaalpie"/>
        </w:rPr>
        <w:footnoteRef/>
      </w:r>
      <w:r w:rsidRPr="00FD40CE">
        <w:t xml:space="preserve"> Cfr., al respecto, lo dispuesto por el </w:t>
      </w:r>
      <w:r w:rsidRPr="00FD40CE">
        <w:rPr>
          <w:lang w:val="es-ES"/>
        </w:rPr>
        <w:t>artículo 341, i</w:t>
      </w:r>
      <w:r w:rsidRPr="00FD40CE">
        <w:rPr>
          <w:lang w:val="es-ES"/>
        </w:rPr>
        <w:t>nciso primero, de la Constitución y el artículo 14 de la Ley 152 de 1994.</w:t>
      </w:r>
    </w:p>
  </w:footnote>
  <w:footnote w:id="58">
    <w:p w:rsidR="00322D34" w:rsidRPr="00FD40CE" w:rsidRDefault="00152C0F" w:rsidP="00047F70">
      <w:pPr>
        <w:pStyle w:val="Textonotapie"/>
        <w:jc w:val="both"/>
      </w:pPr>
      <w:r w:rsidRPr="00FD40CE">
        <w:rPr>
          <w:rStyle w:val="Refdenotaalpie"/>
        </w:rPr>
        <w:footnoteRef/>
      </w:r>
      <w:r w:rsidRPr="00FD40CE">
        <w:t xml:space="preserve"> Cfr., al respecto, lo dispuesto por el </w:t>
      </w:r>
      <w:r w:rsidRPr="00FD40CE">
        <w:rPr>
          <w:lang w:val="es-ES"/>
        </w:rPr>
        <w:t>artículo 341, incisos primero y tercero, de la Constitución y los artículos 13, 20, 21 y 25 de la Ley 152 de 1994.</w:t>
      </w:r>
    </w:p>
  </w:footnote>
  <w:footnote w:id="59">
    <w:p w:rsidR="00322D34" w:rsidRPr="00FD40CE" w:rsidRDefault="00152C0F" w:rsidP="00047F70">
      <w:pPr>
        <w:pStyle w:val="Textonotapie"/>
        <w:jc w:val="both"/>
      </w:pPr>
      <w:r w:rsidRPr="00FD40CE">
        <w:rPr>
          <w:rStyle w:val="Refdenotaalpie"/>
        </w:rPr>
        <w:footnoteRef/>
      </w:r>
      <w:r w:rsidRPr="00FD40CE">
        <w:t xml:space="preserve"> </w:t>
      </w:r>
      <w:r w:rsidRPr="00FD40CE">
        <w:rPr>
          <w:lang w:val="es-ES"/>
        </w:rPr>
        <w:t>En este sentido, d</w:t>
      </w:r>
      <w:r w:rsidRPr="00FD40CE">
        <w:rPr>
          <w:shd w:val="clear" w:color="auto" w:fill="FFFFFF"/>
          <w:lang w:val="es-ES"/>
        </w:rPr>
        <w:t>e un l</w:t>
      </w:r>
      <w:r w:rsidRPr="00FD40CE">
        <w:rPr>
          <w:shd w:val="clear" w:color="auto" w:fill="FFFFFF"/>
          <w:lang w:val="es-ES"/>
        </w:rPr>
        <w:t>ado, el artículo 340 de la Constitución dispone que habrá un Consejo Nacional de Planeación, “integrado por representantes de las entidades territoriales y de los sectores económicos, sociales, ecológicos, comunitarios y culturales”, el cual tendrá carácte</w:t>
      </w:r>
      <w:r w:rsidRPr="00FD40CE">
        <w:rPr>
          <w:shd w:val="clear" w:color="auto" w:fill="FFFFFF"/>
          <w:lang w:val="es-ES"/>
        </w:rPr>
        <w:t>r “consultivo” y servirá de “foro para la discusión del Plan”.</w:t>
      </w:r>
      <w:bookmarkStart w:id="7" w:name="341"/>
      <w:bookmarkEnd w:id="7"/>
      <w:r w:rsidRPr="00FD40CE">
        <w:rPr>
          <w:shd w:val="clear" w:color="auto" w:fill="FFFFFF"/>
          <w:lang w:val="es-ES"/>
        </w:rPr>
        <w:t xml:space="preserve"> De otro lado, su artículo 341 prescribe que el gobierno elaborará el plan nacional de desarrollo con “participación” de las autoridades de planeación, de las entidades territoriales y del Conse</w:t>
      </w:r>
      <w:r w:rsidRPr="00FD40CE">
        <w:rPr>
          <w:shd w:val="clear" w:color="auto" w:fill="FFFFFF"/>
          <w:lang w:val="es-ES"/>
        </w:rPr>
        <w:t>jo Superior de la Judicatura, someterá el proyecto correspondiente al “concepto” del Consejo Nacional de Planeación y efectuará las enmiendas que considere pertinentes luego de oída la “opinión” del Consejo Nacional de Planeación. Finalmente, su artículo 3</w:t>
      </w:r>
      <w:r w:rsidRPr="00FD40CE">
        <w:rPr>
          <w:shd w:val="clear" w:color="auto" w:fill="FFFFFF"/>
          <w:lang w:val="es-ES"/>
        </w:rPr>
        <w:t>42 dispone que la ley orgánica de planeación determinará los “procedimientos conforme a los cuales se hará efectiva la participación ciudadana” en la discusión de los planes de desarrollo y en las modificaciones correspondientes.</w:t>
      </w:r>
    </w:p>
  </w:footnote>
  <w:footnote w:id="60">
    <w:p w:rsidR="004D1A2C" w:rsidRPr="00FD40CE" w:rsidRDefault="00152C0F" w:rsidP="00047F70">
      <w:pPr>
        <w:pStyle w:val="Textonotapie"/>
        <w:jc w:val="both"/>
        <w:rPr>
          <w:lang w:val="es-ES_tradnl"/>
        </w:rPr>
      </w:pPr>
      <w:r w:rsidRPr="00FD40CE">
        <w:rPr>
          <w:rStyle w:val="Refdenotaalpie"/>
        </w:rPr>
        <w:footnoteRef/>
      </w:r>
      <w:r w:rsidRPr="00FD40CE">
        <w:t xml:space="preserve"> </w:t>
      </w:r>
      <w:r w:rsidRPr="00FD40CE">
        <w:rPr>
          <w:lang w:val="es-ES"/>
        </w:rPr>
        <w:t>Artículo 3.n</w:t>
      </w:r>
      <w:r w:rsidRPr="00FD40CE">
        <w:rPr>
          <w:lang w:val="es-ES"/>
        </w:rPr>
        <w:t>,</w:t>
      </w:r>
      <w:r w:rsidRPr="00FD40CE">
        <w:rPr>
          <w:lang w:val="es-ES"/>
        </w:rPr>
        <w:t xml:space="preserve"> Ley 152 de 1994.</w:t>
      </w:r>
    </w:p>
  </w:footnote>
  <w:footnote w:id="61">
    <w:p w:rsidR="002D6887" w:rsidRPr="00FD40CE" w:rsidRDefault="00152C0F" w:rsidP="002D6887">
      <w:pPr>
        <w:pStyle w:val="Textonotapie"/>
        <w:jc w:val="both"/>
      </w:pPr>
      <w:r w:rsidRPr="00FD40CE">
        <w:rPr>
          <w:rStyle w:val="Refdenotaalpie"/>
        </w:rPr>
        <w:footnoteRef/>
      </w:r>
      <w:r w:rsidRPr="00FD40CE">
        <w:t xml:space="preserve"> </w:t>
      </w:r>
      <w:r w:rsidRPr="00FD40CE">
        <w:rPr>
          <w:lang w:val="es-ES"/>
        </w:rPr>
        <w:t>Artículo 3.n, Ley 152 de 1994</w:t>
      </w:r>
      <w:r w:rsidRPr="00FD40CE">
        <w:rPr>
          <w:lang w:val="es-ES"/>
        </w:rPr>
        <w:t>.</w:t>
      </w:r>
    </w:p>
  </w:footnote>
  <w:footnote w:id="62">
    <w:p w:rsidR="004D1A2C" w:rsidRPr="00FD40CE" w:rsidRDefault="00152C0F" w:rsidP="00047F70">
      <w:pPr>
        <w:pStyle w:val="Textonotapie"/>
        <w:jc w:val="both"/>
      </w:pPr>
      <w:r w:rsidRPr="00FD40CE">
        <w:rPr>
          <w:rStyle w:val="Refdenotaalpie"/>
        </w:rPr>
        <w:footnoteRef/>
      </w:r>
      <w:r w:rsidRPr="00FD40CE">
        <w:t xml:space="preserve"> </w:t>
      </w:r>
      <w:r w:rsidRPr="00FD40CE">
        <w:rPr>
          <w:lang w:val="es-ES"/>
        </w:rPr>
        <w:t>Artículo 3.n, Ley 152 de 1994</w:t>
      </w:r>
    </w:p>
  </w:footnote>
  <w:footnote w:id="63">
    <w:p w:rsidR="00FF7E46" w:rsidRPr="00FD40CE" w:rsidRDefault="00152C0F">
      <w:pPr>
        <w:pStyle w:val="Textonotapie"/>
      </w:pPr>
      <w:r w:rsidRPr="00FD40CE">
        <w:rPr>
          <w:rStyle w:val="Refdenotaalpie"/>
        </w:rPr>
        <w:footnoteRef/>
      </w:r>
      <w:r w:rsidRPr="00FD40CE">
        <w:t xml:space="preserve"> </w:t>
      </w:r>
      <w:r w:rsidRPr="00FD40CE">
        <w:rPr>
          <w:lang w:val="es-ES"/>
        </w:rPr>
        <w:t>Informe de la sesión de la Comisión Quinta del 6 de mayo de 1991.</w:t>
      </w:r>
    </w:p>
  </w:footnote>
  <w:footnote w:id="64">
    <w:p w:rsidR="00322D34" w:rsidRPr="00FD40CE" w:rsidRDefault="00152C0F" w:rsidP="00047F70">
      <w:pPr>
        <w:pStyle w:val="Textonotapie"/>
        <w:jc w:val="both"/>
        <w:rPr>
          <w:lang w:val="es-ES"/>
        </w:rPr>
      </w:pPr>
      <w:r w:rsidRPr="00FD40CE">
        <w:rPr>
          <w:rStyle w:val="Refdenotaalpie"/>
        </w:rPr>
        <w:footnoteRef/>
      </w:r>
      <w:r w:rsidRPr="00FD40CE">
        <w:t xml:space="preserve"> P</w:t>
      </w:r>
      <w:r w:rsidRPr="00FD40CE">
        <w:rPr>
          <w:shd w:val="clear" w:color="auto" w:fill="FFFFFF"/>
          <w:lang w:val="es-ES"/>
        </w:rPr>
        <w:t>ara efectos de la aprobación del plan nacional de desarrollo, el CONPES se amplía con el CONPES SOCIAL</w:t>
      </w:r>
      <w:r w:rsidRPr="00FD40CE">
        <w:rPr>
          <w:shd w:val="clear" w:color="auto" w:fill="FFFFFF"/>
          <w:lang w:val="es-ES"/>
        </w:rPr>
        <w:t xml:space="preserve"> y se invita a participar a cinco gobernadores y cinco alcaldes, “en representación de las entidades territoriales”, a los representantes legales de las regiones a que se refiere el artículo 307 de la Constitución y al presidente del Consejo Superior de la</w:t>
      </w:r>
      <w:r w:rsidRPr="00FD40CE">
        <w:rPr>
          <w:shd w:val="clear" w:color="auto" w:fill="FFFFFF"/>
          <w:lang w:val="es-ES"/>
        </w:rPr>
        <w:t xml:space="preserve"> Judicatura (artículo 17</w:t>
      </w:r>
      <w:r w:rsidRPr="00FD40CE">
        <w:rPr>
          <w:shd w:val="clear" w:color="auto" w:fill="FFFFFF"/>
          <w:lang w:val="es-ES"/>
        </w:rPr>
        <w:t>,</w:t>
      </w:r>
      <w:r w:rsidRPr="00FD40CE">
        <w:rPr>
          <w:shd w:val="clear" w:color="auto" w:fill="FFFFFF"/>
          <w:lang w:val="es-ES"/>
        </w:rPr>
        <w:t xml:space="preserve"> Ley 152 de 1994).</w:t>
      </w:r>
    </w:p>
  </w:footnote>
  <w:footnote w:id="65">
    <w:p w:rsidR="00322D34" w:rsidRPr="00FD40CE" w:rsidRDefault="00152C0F" w:rsidP="00047F70">
      <w:pPr>
        <w:pStyle w:val="Textonotapie"/>
        <w:jc w:val="both"/>
        <w:rPr>
          <w:lang w:val="es-ES"/>
        </w:rPr>
      </w:pPr>
      <w:r w:rsidRPr="00FD40CE">
        <w:rPr>
          <w:rStyle w:val="Refdenotaalpie"/>
        </w:rPr>
        <w:footnoteRef/>
      </w:r>
      <w:r w:rsidRPr="00FD40CE">
        <w:t xml:space="preserve"> El artículo 340 de la Constitución regula la integración del CNP.</w:t>
      </w:r>
    </w:p>
  </w:footnote>
  <w:footnote w:id="66">
    <w:p w:rsidR="00322D34" w:rsidRPr="00FD40CE" w:rsidRDefault="00152C0F" w:rsidP="00047F70">
      <w:pPr>
        <w:pStyle w:val="Textonotapie"/>
        <w:jc w:val="both"/>
        <w:rPr>
          <w:lang w:val="es-ES"/>
        </w:rPr>
      </w:pPr>
      <w:r w:rsidRPr="00FD40CE">
        <w:rPr>
          <w:rStyle w:val="Refdenotaalpie"/>
          <w:lang w:val="es-ES"/>
        </w:rPr>
        <w:footnoteRef/>
      </w:r>
      <w:r w:rsidRPr="00FD40CE">
        <w:rPr>
          <w:lang w:val="es-ES"/>
        </w:rPr>
        <w:t xml:space="preserve"> Ley 152 de 1994, artículo 19</w:t>
      </w:r>
    </w:p>
  </w:footnote>
  <w:footnote w:id="67">
    <w:p w:rsidR="009D4B62" w:rsidRPr="00FD40CE" w:rsidRDefault="00152C0F" w:rsidP="00047F70">
      <w:pPr>
        <w:pStyle w:val="Textonotapie"/>
        <w:jc w:val="both"/>
      </w:pPr>
      <w:r w:rsidRPr="00FD40CE">
        <w:rPr>
          <w:rStyle w:val="Refdenotaalpie"/>
        </w:rPr>
        <w:footnoteRef/>
      </w:r>
      <w:r w:rsidRPr="00FD40CE">
        <w:t xml:space="preserve"> El presente acápite reitera la Sentencia C-037 de 2024.</w:t>
      </w:r>
    </w:p>
  </w:footnote>
  <w:footnote w:id="68">
    <w:p w:rsidR="00FD5162" w:rsidRPr="00FD40CE" w:rsidRDefault="00152C0F" w:rsidP="00FD5162">
      <w:pPr>
        <w:shd w:val="clear" w:color="auto" w:fill="FFFFFF"/>
        <w:jc w:val="both"/>
        <w:rPr>
          <w:lang w:val="es-ES"/>
        </w:rPr>
      </w:pPr>
      <w:r w:rsidRPr="00FD40CE">
        <w:rPr>
          <w:rStyle w:val="Refdenotaalpie"/>
          <w:lang w:val="es-ES"/>
        </w:rPr>
        <w:footnoteRef/>
      </w:r>
      <w:r w:rsidRPr="00FD40CE">
        <w:rPr>
          <w:lang w:val="es-ES"/>
        </w:rPr>
        <w:t xml:space="preserve"> </w:t>
      </w:r>
      <w:r w:rsidRPr="00FD40CE">
        <w:rPr>
          <w:lang w:val="es-ES" w:eastAsia="es-419"/>
        </w:rPr>
        <w:t xml:space="preserve">Es importante reiterar, como se indicó en la </w:t>
      </w:r>
      <w:r w:rsidRPr="00FD40CE">
        <w:rPr>
          <w:lang w:val="es-ES" w:eastAsia="es-419"/>
        </w:rPr>
        <w:t>Sentencia C-030 de 2021, que “</w:t>
      </w:r>
      <w:r w:rsidRPr="00FD40CE">
        <w:t xml:space="preserve">en la Constitución anterior [Constitución Nacional de 1886], el proceso de </w:t>
      </w:r>
      <w:r w:rsidRPr="00FD40CE">
        <w:rPr>
          <w:i/>
          <w:iCs/>
        </w:rPr>
        <w:t>fijación</w:t>
      </w:r>
      <w:r w:rsidRPr="00FD40CE">
        <w:t xml:space="preserve"> del plan por parte del Congreso consistía en un conjunto de mecanismos y procedimientos complejos y dispendiosos que</w:t>
      </w:r>
      <w:r w:rsidRPr="00FD40CE">
        <w:rPr>
          <w:shd w:val="clear" w:color="auto" w:fill="FFFFFF"/>
        </w:rPr>
        <w:t xml:space="preserve"> tenía lugar mediante un p</w:t>
      </w:r>
      <w:r w:rsidRPr="00FD40CE">
        <w:rPr>
          <w:shd w:val="clear" w:color="auto" w:fill="FFFFFF"/>
        </w:rPr>
        <w:t>rocedimiento legislativo de 3 debates consecutivos que debían adelantarse en un plazo de 11 meses (5 meses para el primer debate en la Comisión Especial, 3 meses para el segundo debate en la Cámara de Representantes y 3 meses para su aprobación en el Senad</w:t>
      </w:r>
      <w:r w:rsidRPr="00FD40CE">
        <w:rPr>
          <w:shd w:val="clear" w:color="auto" w:fill="FFFFFF"/>
        </w:rPr>
        <w:t xml:space="preserve">o de la República), </w:t>
      </w:r>
      <w:r w:rsidRPr="00FD40CE">
        <w:rPr>
          <w:i/>
          <w:iCs/>
          <w:shd w:val="clear" w:color="auto" w:fill="FFFFFF"/>
        </w:rPr>
        <w:t xml:space="preserve">a cuyo vencimiento, si no hubiere decisión, </w:t>
      </w:r>
      <w:r w:rsidRPr="00FD40CE">
        <w:rPr>
          <w:shd w:val="clear" w:color="auto" w:fill="FFFFFF"/>
        </w:rPr>
        <w:t xml:space="preserve">el gobierno podía </w:t>
      </w:r>
      <w:r w:rsidRPr="00FD40CE">
        <w:rPr>
          <w:i/>
          <w:iCs/>
          <w:shd w:val="clear" w:color="auto" w:fill="FFFFFF"/>
        </w:rPr>
        <w:t>poner en vigencia mediante decreto con fuerza de ley el proyecto</w:t>
      </w:r>
      <w:r w:rsidRPr="00FD40CE">
        <w:rPr>
          <w:shd w:val="clear" w:color="auto" w:fill="FFFFFF"/>
        </w:rPr>
        <w:t xml:space="preserve"> presentado por el gobierno. Para efectos del primer debate la Constitución contemplaba una </w:t>
      </w:r>
      <w:r w:rsidRPr="00FD40CE">
        <w:rPr>
          <w:i/>
          <w:iCs/>
          <w:shd w:val="clear" w:color="auto" w:fill="FFFFFF"/>
        </w:rPr>
        <w:t xml:space="preserve">Comisión Especial </w:t>
      </w:r>
      <w:r w:rsidRPr="00FD40CE">
        <w:rPr>
          <w:i/>
          <w:iCs/>
          <w:shd w:val="clear" w:color="auto" w:fill="FFFFFF"/>
        </w:rPr>
        <w:t>Permanente</w:t>
      </w:r>
      <w:r w:rsidRPr="00FD40CE">
        <w:rPr>
          <w:shd w:val="clear" w:color="auto" w:fill="FFFFFF"/>
        </w:rPr>
        <w:t xml:space="preserve"> integrada por senadores y representantes por departamento, elegidos por las cámaras en proporción a la representación de los partidos. Así mismo, se señalaba que correspondía al legislador, al adoptar la ley del plan, determinar ‘</w:t>
      </w:r>
      <w:r w:rsidRPr="00FD40CE">
        <w:rPr>
          <w:i/>
          <w:iCs/>
          <w:shd w:val="clear" w:color="auto" w:fill="FFFFFF"/>
        </w:rPr>
        <w:t xml:space="preserve">los recursos e </w:t>
      </w:r>
      <w:r w:rsidRPr="00FD40CE">
        <w:rPr>
          <w:i/>
          <w:iCs/>
          <w:shd w:val="clear" w:color="auto" w:fill="FFFFFF"/>
        </w:rPr>
        <w:t>inversiones que se autoricen para su ejecución</w:t>
      </w:r>
      <w:r w:rsidRPr="00FD40CE">
        <w:rPr>
          <w:shd w:val="clear" w:color="auto" w:fill="FFFFFF"/>
        </w:rPr>
        <w:t>’</w:t>
      </w:r>
      <w:r w:rsidRPr="00FD40CE">
        <w:rPr>
          <w:i/>
          <w:iCs/>
          <w:shd w:val="clear" w:color="auto" w:fill="FFFFFF"/>
        </w:rPr>
        <w:t xml:space="preserve"> </w:t>
      </w:r>
      <w:r w:rsidRPr="00FD40CE">
        <w:rPr>
          <w:shd w:val="clear" w:color="auto" w:fill="FFFFFF"/>
        </w:rPr>
        <w:t>y ‘</w:t>
      </w:r>
      <w:r w:rsidRPr="00FD40CE">
        <w:rPr>
          <w:i/>
          <w:iCs/>
          <w:shd w:val="clear" w:color="auto" w:fill="FFFFFF"/>
        </w:rPr>
        <w:t>las medidas necesarias para impulsar el cumplimiento de los mismos</w:t>
      </w:r>
      <w:r w:rsidRPr="00FD40CE">
        <w:rPr>
          <w:shd w:val="clear" w:color="auto" w:fill="FFFFFF"/>
        </w:rPr>
        <w:t>”.</w:t>
      </w:r>
    </w:p>
  </w:footnote>
  <w:footnote w:id="69">
    <w:p w:rsidR="00282514" w:rsidRPr="00FD40CE" w:rsidRDefault="00152C0F" w:rsidP="00047F70">
      <w:pPr>
        <w:autoSpaceDE w:val="0"/>
        <w:autoSpaceDN w:val="0"/>
        <w:adjustRightInd w:val="0"/>
        <w:jc w:val="both"/>
        <w:rPr>
          <w:lang w:val="es-ES"/>
        </w:rPr>
      </w:pPr>
      <w:r w:rsidRPr="00FD40CE">
        <w:rPr>
          <w:rStyle w:val="Refdenotaalpie"/>
        </w:rPr>
        <w:footnoteRef/>
      </w:r>
      <w:r w:rsidRPr="00FD40CE">
        <w:t xml:space="preserve"> </w:t>
      </w:r>
      <w:r w:rsidRPr="00FD40CE">
        <w:rPr>
          <w:lang w:val="es-ES"/>
        </w:rPr>
        <w:t xml:space="preserve">En relación con este aspecto, </w:t>
      </w:r>
      <w:r w:rsidRPr="00FD40CE">
        <w:t xml:space="preserve">en el proyecto de articulado presentado por el Gobierno para consideración de la Asamblea Nacional </w:t>
      </w:r>
      <w:r w:rsidRPr="00FD40CE">
        <w:t>Constituyente se indicó en la exposición de motivos: “</w:t>
      </w:r>
      <w:r w:rsidRPr="00FD40CE">
        <w:rPr>
          <w:lang w:eastAsia="en-US"/>
        </w:rPr>
        <w:t>Se prevé un plan con dos partes: Una parte programática y otra compuesta por planes sectoriales de Inversión. || La primera no requiere aprobación del Parlamento porque ya lo apoyaron los electores en l</w:t>
      </w:r>
      <w:r w:rsidRPr="00FD40CE">
        <w:rPr>
          <w:lang w:eastAsia="en-US"/>
        </w:rPr>
        <w:t>a campaña. || Una Ley orgánica de planeación permitirá tener los procedimientos para que dichos planes se incorporen con flexibilidad en los presupuestos anuales de la Nación, igualmente, se crearán normas para la Planeación Departamental y Municipal”. A e</w:t>
      </w:r>
      <w:r w:rsidRPr="00FD40CE">
        <w:rPr>
          <w:lang w:eastAsia="en-US"/>
        </w:rPr>
        <w:t>ste proyecto se hace referencia en la Gaceta Constitucional n.º 55, de abril 19 de 1991, en el informe-ponencia sobre “Planeación”, presentado por los constituyentes Mariano Ospina Hernández, Germán Rojas Niño y Álvaro Cala Hederich (p. 9).</w:t>
      </w:r>
    </w:p>
  </w:footnote>
  <w:footnote w:id="70">
    <w:p w:rsidR="00322D34" w:rsidRPr="00FD40CE" w:rsidRDefault="00152C0F" w:rsidP="00047F70">
      <w:pPr>
        <w:jc w:val="both"/>
      </w:pPr>
      <w:r w:rsidRPr="00FD40CE">
        <w:rPr>
          <w:rStyle w:val="Refdenotaalpie"/>
        </w:rPr>
        <w:footnoteRef/>
      </w:r>
      <w:r w:rsidRPr="00FD40CE">
        <w:t xml:space="preserve"> A este respec</w:t>
      </w:r>
      <w:r w:rsidRPr="00FD40CE">
        <w:t xml:space="preserve">to, en el informe de ponencia de la Subcomisión 2.ª de la Comisión V de la Asamblea Nacional Constituyente, se </w:t>
      </w:r>
      <w:r w:rsidRPr="00FD40CE">
        <w:t>señaló</w:t>
      </w:r>
      <w:r w:rsidRPr="00FD40CE">
        <w:t>: “Debe observarse que en varios de los proyectos de la reforma constitucional se hace referencia a la concordancia que ha de existir entre</w:t>
      </w:r>
      <w:r w:rsidRPr="00FD40CE">
        <w:t xml:space="preserve"> los Planes y los Presupuestos de la nación […] La clave jurídica para asegurar esta concordancia parece encontrarse en la </w:t>
      </w:r>
      <w:r w:rsidRPr="00FD40CE">
        <w:rPr>
          <w:i/>
          <w:iCs/>
        </w:rPr>
        <w:t>fuerza de Ley</w:t>
      </w:r>
      <w:r w:rsidRPr="00FD40CE">
        <w:t xml:space="preserve"> que proponen numerosos proyectos de reforma para el Plan Nacional de Desarrollo. Para este fin se prevé, en muchos de e</w:t>
      </w:r>
      <w:r w:rsidRPr="00FD40CE">
        <w:t>llos, que si el Congreso no llegare a dar aprobación para convertir en Ley a dicho Plan, éste podrá ser adoptado como decreto-ley por el Ejecutivo. Se añade en los proyectos mencionados la advertencia de que la Ley del Plan tendrá supremacía sobre las demá</w:t>
      </w:r>
      <w:r w:rsidRPr="00FD40CE">
        <w:t xml:space="preserve">s con lo cual se quiere decir, según lo entiendo, que a ella deberán ajustarse las demás que se expidan para el desarrollo del Plan y en especial para formar el Presupuesto anual de la Nación, tanto para inversión como para funcionamiento”. </w:t>
      </w:r>
      <w:r w:rsidRPr="00FD40CE">
        <w:rPr>
          <w:lang w:eastAsia="en-US"/>
        </w:rPr>
        <w:t>Gaceta Constitu</w:t>
      </w:r>
      <w:r w:rsidRPr="00FD40CE">
        <w:rPr>
          <w:lang w:eastAsia="en-US"/>
        </w:rPr>
        <w:t>cional n.º 55, de abril 19 de 1991, informe-ponencia sobre “Planeación”, presentado por los constituyentes Mariano Ospina Hernández, Germán Rojas Niño y Álvaro Cala Hederich (p. 6).</w:t>
      </w:r>
    </w:p>
  </w:footnote>
  <w:footnote w:id="71">
    <w:p w:rsidR="00322D34" w:rsidRPr="00FD40CE" w:rsidRDefault="00152C0F" w:rsidP="00047F70">
      <w:pPr>
        <w:pStyle w:val="Textonotapie"/>
        <w:jc w:val="both"/>
      </w:pPr>
      <w:r w:rsidRPr="00FD40CE">
        <w:rPr>
          <w:rStyle w:val="Refdenotaalpie"/>
        </w:rPr>
        <w:footnoteRef/>
      </w:r>
      <w:r w:rsidRPr="00FD40CE">
        <w:t xml:space="preserve"> En cuanto a la necesidad de dotar de fuerza vinculante a la ley aprobato</w:t>
      </w:r>
      <w:r w:rsidRPr="00FD40CE">
        <w:t xml:space="preserve">ria del plan nacional de desarrollo, en la Asamblea Nacional Constituyente se </w:t>
      </w:r>
      <w:r w:rsidRPr="00FD40CE">
        <w:t>indicó</w:t>
      </w:r>
      <w:r w:rsidRPr="00FD40CE">
        <w:t xml:space="preserve">: </w:t>
      </w:r>
      <w:r w:rsidRPr="00FD40CE">
        <w:rPr>
          <w:lang w:val="es-ES"/>
        </w:rPr>
        <w:t>“El Plan aprobado debe otorgar al Gobierno los instrumentos necesarios para su ejecución, por eso, resulta fundamental que contenga no solamente las orientaciones general</w:t>
      </w:r>
      <w:r w:rsidRPr="00FD40CE">
        <w:rPr>
          <w:lang w:val="es-ES"/>
        </w:rPr>
        <w:t>es de la política económica y social ‘artículo 2 literal a)’ y las metas de cobertura y calidad de los servicios públicos ‘literal b)’, sino también las normas de carácter legal necesarias para su ejecución ‘literal e)’. || Asimismo, en el proyecto propues</w:t>
      </w:r>
      <w:r w:rsidRPr="00FD40CE">
        <w:rPr>
          <w:lang w:val="es-ES"/>
        </w:rPr>
        <w:t xml:space="preserve">to, al aprobar el Plan de Inversiones Públicas se estará aprobando un presupuesto plurianual </w:t>
      </w:r>
      <w:r w:rsidRPr="00FD40CE">
        <w:rPr>
          <w:i/>
          <w:iCs/>
          <w:lang w:val="es-ES"/>
        </w:rPr>
        <w:t>que no necesita ser refrendado mediante aprobaciones anuales de la ley de presupuesto para su ejecución</w:t>
      </w:r>
      <w:r w:rsidRPr="00FD40CE">
        <w:rPr>
          <w:lang w:val="es-ES"/>
        </w:rPr>
        <w:t xml:space="preserve">. Además, este Plan de Inversiones Públicas se aprobará conjuntamente con los recursos necesarios para su ejecución, </w:t>
      </w:r>
      <w:r w:rsidRPr="00FD40CE">
        <w:rPr>
          <w:i/>
          <w:iCs/>
          <w:lang w:val="es-ES"/>
        </w:rPr>
        <w:t>lo que conlleva, entre otras cosas, las autorizaciones respectivas de endeudamiento externo e interno para el período de su vigencia</w:t>
      </w:r>
      <w:r w:rsidRPr="00FD40CE">
        <w:rPr>
          <w:lang w:val="es-ES"/>
        </w:rPr>
        <w:t xml:space="preserve"> (artíc</w:t>
      </w:r>
      <w:r w:rsidRPr="00FD40CE">
        <w:rPr>
          <w:lang w:val="es-ES"/>
        </w:rPr>
        <w:t>ulo 2º)”. Proyecto de Acto Reformatorio de la Constitución Política n.º 60. Gaceta Constitucional n.º 22, de marzo 18 de 1991. Título: planeación económica y social y presupuesto. Autores: Guillermo Perry Rubio, Horacio Serpa Uribe y Eduardo Verano De la R</w:t>
      </w:r>
      <w:r w:rsidRPr="00FD40CE">
        <w:rPr>
          <w:lang w:val="es-ES"/>
        </w:rPr>
        <w:t xml:space="preserve">osa (p. 58). En cuanto a la incorporación de esta modificación respecto de la naturaleza y el contenido del plan, se </w:t>
      </w:r>
      <w:r w:rsidRPr="00FD40CE">
        <w:rPr>
          <w:lang w:val="es-ES"/>
        </w:rPr>
        <w:t>señaló</w:t>
      </w:r>
      <w:r w:rsidRPr="00FD40CE">
        <w:rPr>
          <w:lang w:val="es-ES"/>
        </w:rPr>
        <w:t xml:space="preserve"> que con ella se pretendía “la máxima eficiencia legislativa, de tal manera que la discusión del Plan conduzca no solamente a la apro</w:t>
      </w:r>
      <w:r w:rsidRPr="00FD40CE">
        <w:rPr>
          <w:lang w:val="es-ES"/>
        </w:rPr>
        <w:t xml:space="preserve">bación de unas orientaciones de tipo general, sino que, además, dote al Gobierno de todos los instrumentos legales necesarios para ponerlos en ejecución. Constituiría una enorme pérdida de tiempo y energías el que, después de varios meses de discusión, el </w:t>
      </w:r>
      <w:r w:rsidRPr="00FD40CE">
        <w:rPr>
          <w:lang w:val="es-ES"/>
        </w:rPr>
        <w:t>Plan no tenga poder vinculante, ni tampoco otorgue instrumento legal alguno al gobierno para su ejecución y se deba recurrir a leyes separadas para este fin” (</w:t>
      </w:r>
      <w:r w:rsidRPr="00FD40CE">
        <w:rPr>
          <w:lang w:val="es-ES"/>
        </w:rPr>
        <w:t>Ibid.</w:t>
      </w:r>
      <w:r w:rsidRPr="00FD40CE">
        <w:rPr>
          <w:lang w:val="es-ES"/>
        </w:rPr>
        <w:t>).</w:t>
      </w:r>
    </w:p>
  </w:footnote>
  <w:footnote w:id="72">
    <w:p w:rsidR="007E1949" w:rsidRPr="00FD40CE" w:rsidRDefault="00152C0F" w:rsidP="00047F70">
      <w:pPr>
        <w:pStyle w:val="Textonotapie"/>
        <w:jc w:val="both"/>
      </w:pPr>
      <w:r w:rsidRPr="00FD40CE">
        <w:rPr>
          <w:rStyle w:val="Refdenotaalpie"/>
        </w:rPr>
        <w:footnoteRef/>
      </w:r>
      <w:r w:rsidRPr="00FD40CE">
        <w:t xml:space="preserve"> El presente acápite reitera</w:t>
      </w:r>
      <w:r w:rsidRPr="00FD40CE">
        <w:t>, en términos general</w:t>
      </w:r>
      <w:r w:rsidRPr="00FD40CE">
        <w:t>es</w:t>
      </w:r>
      <w:r w:rsidRPr="00FD40CE">
        <w:t>, las consideraciones de</w:t>
      </w:r>
      <w:r w:rsidRPr="00FD40CE">
        <w:t xml:space="preserve"> </w:t>
      </w:r>
      <w:r w:rsidRPr="00FD40CE">
        <w:t>la Sentencia</w:t>
      </w:r>
      <w:r w:rsidRPr="00FD40CE">
        <w:t xml:space="preserve"> C-037 de 2024.</w:t>
      </w:r>
    </w:p>
  </w:footnote>
  <w:footnote w:id="73">
    <w:p w:rsidR="00322D34" w:rsidRPr="00FD40CE" w:rsidRDefault="00152C0F" w:rsidP="00047F70">
      <w:pPr>
        <w:pStyle w:val="Textonotapie"/>
        <w:tabs>
          <w:tab w:val="left" w:pos="3822"/>
        </w:tabs>
        <w:jc w:val="both"/>
      </w:pPr>
      <w:r w:rsidRPr="00FD40CE">
        <w:rPr>
          <w:vertAlign w:val="superscript"/>
        </w:rPr>
        <w:footnoteRef/>
      </w:r>
      <w:r w:rsidRPr="00FD40CE">
        <w:t xml:space="preserve"> </w:t>
      </w:r>
      <w:r w:rsidRPr="00FD40CE">
        <w:rPr>
          <w:shd w:val="clear" w:color="auto" w:fill="FFFFFF"/>
        </w:rPr>
        <w:t>E</w:t>
      </w:r>
      <w:r w:rsidRPr="00FD40CE">
        <w:rPr>
          <w:shd w:val="clear" w:color="auto" w:fill="FFFFFF"/>
        </w:rPr>
        <w:t>l artículo 148 de la Ley 5 de 1992 constituye un desarrollo orgánico de este principio (c</w:t>
      </w:r>
      <w:r w:rsidRPr="00FD40CE">
        <w:rPr>
          <w:lang w:val="es-419"/>
        </w:rPr>
        <w:t>fr., las sentencias C-415 de 2020 y C-100 de 2013</w:t>
      </w:r>
      <w:r w:rsidRPr="00FD40CE">
        <w:rPr>
          <w:shd w:val="clear" w:color="auto" w:fill="FFFFFF"/>
        </w:rPr>
        <w:t xml:space="preserve">). </w:t>
      </w:r>
      <w:r w:rsidRPr="00FD40CE">
        <w:t xml:space="preserve">El citado artículo dispone: </w:t>
      </w:r>
      <w:r w:rsidRPr="00FD40CE">
        <w:rPr>
          <w:iCs/>
        </w:rPr>
        <w:t xml:space="preserve">“[r]echazo de disposiciones. Cuando un proyecto haya pasado al </w:t>
      </w:r>
      <w:r w:rsidRPr="00FD40CE">
        <w:rPr>
          <w:iCs/>
        </w:rPr>
        <w:t>estudio de una Comisión Permanente, el Presidente de la misma deberá rechazar las disposiciones o modificaciones que no se relacionen con una misma materia. Sus decisiones serán apelables ante la Comisión”</w:t>
      </w:r>
      <w:r w:rsidRPr="00FD40CE">
        <w:t>.</w:t>
      </w:r>
    </w:p>
  </w:footnote>
  <w:footnote w:id="74">
    <w:p w:rsidR="00322D34" w:rsidRPr="00FD40CE" w:rsidRDefault="00152C0F" w:rsidP="00047F70">
      <w:pPr>
        <w:pStyle w:val="Textonotapie"/>
        <w:tabs>
          <w:tab w:val="left" w:pos="3822"/>
        </w:tabs>
        <w:jc w:val="both"/>
      </w:pPr>
      <w:r w:rsidRPr="00FD40CE">
        <w:rPr>
          <w:vertAlign w:val="superscript"/>
        </w:rPr>
        <w:footnoteRef/>
      </w:r>
      <w:r w:rsidRPr="00FD40CE">
        <w:t xml:space="preserve"> Cfr., al respecto, las sentencias C-415 de 2020</w:t>
      </w:r>
      <w:r w:rsidRPr="00FD40CE">
        <w:t xml:space="preserve"> y C-473 de 2004.</w:t>
      </w:r>
    </w:p>
  </w:footnote>
  <w:footnote w:id="75">
    <w:p w:rsidR="00322D34" w:rsidRPr="00FD40CE" w:rsidRDefault="00152C0F" w:rsidP="00047F70">
      <w:pPr>
        <w:pStyle w:val="Textonotapie"/>
        <w:tabs>
          <w:tab w:val="left" w:pos="3822"/>
        </w:tabs>
        <w:jc w:val="both"/>
      </w:pPr>
      <w:r w:rsidRPr="00FD40CE">
        <w:rPr>
          <w:vertAlign w:val="superscript"/>
        </w:rPr>
        <w:footnoteRef/>
      </w:r>
      <w:r w:rsidRPr="00FD40CE">
        <w:t xml:space="preserve"> Cfr., al respecto, entre otras, las sentencias C-215 de 2021, C-047 de 2021, </w:t>
      </w:r>
      <w:r w:rsidRPr="00FD40CE">
        <w:rPr>
          <w:lang w:val="es-419"/>
        </w:rPr>
        <w:t>C-030 de 2021, C-440 de 2020, C-068 de 2020, C-518 de 2016, C-721 de 2015, C-133 de 2012, C-1177 de 2004, C-460 de 2004, C-570 de 2003,</w:t>
      </w:r>
      <w:r w:rsidRPr="00FD40CE">
        <w:t xml:space="preserve"> </w:t>
      </w:r>
      <w:r w:rsidRPr="00FD40CE">
        <w:rPr>
          <w:lang w:val="es-419"/>
        </w:rPr>
        <w:t xml:space="preserve">C-501 de 2001 y </w:t>
      </w:r>
      <w:r w:rsidRPr="00FD40CE">
        <w:t>C-531 d</w:t>
      </w:r>
      <w:r w:rsidRPr="00FD40CE">
        <w:t>e 1995.</w:t>
      </w:r>
    </w:p>
  </w:footnote>
  <w:footnote w:id="76">
    <w:p w:rsidR="00322D34" w:rsidRPr="00FD40CE" w:rsidRDefault="00152C0F" w:rsidP="00047F70">
      <w:pPr>
        <w:pStyle w:val="Textonotapie"/>
        <w:tabs>
          <w:tab w:val="left" w:pos="3822"/>
        </w:tabs>
        <w:jc w:val="both"/>
      </w:pPr>
      <w:r w:rsidRPr="00FD40CE">
        <w:rPr>
          <w:vertAlign w:val="superscript"/>
        </w:rPr>
        <w:footnoteRef/>
      </w:r>
      <w:r w:rsidRPr="00FD40CE">
        <w:t xml:space="preserve"> Entre otras, </w:t>
      </w:r>
      <w:r w:rsidRPr="00FD40CE">
        <w:rPr>
          <w:lang w:val="es-419"/>
        </w:rPr>
        <w:t xml:space="preserve">en la Sentencia C-896 de 2012 se afirmó que al momento de evaluar el desconocimiento del principio de unidad de materia, en la generalidad de las leyes, “[e]xiste </w:t>
      </w:r>
      <w:r w:rsidRPr="00FD40CE">
        <w:rPr>
          <w:shd w:val="clear" w:color="auto" w:fill="FFFFFF"/>
        </w:rPr>
        <w:t xml:space="preserve">una preferencia </w:t>
      </w:r>
      <w:r w:rsidRPr="00FD40CE">
        <w:rPr>
          <w:i/>
          <w:shd w:val="clear" w:color="auto" w:fill="FFFFFF"/>
        </w:rPr>
        <w:t>prima facie</w:t>
      </w:r>
      <w:r w:rsidRPr="00FD40CE">
        <w:rPr>
          <w:shd w:val="clear" w:color="auto" w:fill="FFFFFF"/>
        </w:rPr>
        <w:t xml:space="preserve"> por el respeto de la determinación legisla</w:t>
      </w:r>
      <w:r w:rsidRPr="00FD40CE">
        <w:rPr>
          <w:shd w:val="clear" w:color="auto" w:fill="FFFFFF"/>
        </w:rPr>
        <w:t>tiva. Ello implica que es exigible, para afirmar la violación del artículo 158 de la Constitución, un esfuerzo argumentativo especial por parte del demandante y por parte de la Corte Constitucional, para una decisión de inexequibilidad</w:t>
      </w:r>
      <w:r w:rsidRPr="00FD40CE">
        <w:rPr>
          <w:lang w:val="es-419"/>
        </w:rPr>
        <w:t>”.</w:t>
      </w:r>
    </w:p>
  </w:footnote>
  <w:footnote w:id="77">
    <w:p w:rsidR="00322D34" w:rsidRPr="00FD40CE" w:rsidRDefault="00152C0F" w:rsidP="00047F70">
      <w:pPr>
        <w:pStyle w:val="Textonotapie"/>
        <w:tabs>
          <w:tab w:val="left" w:pos="3822"/>
        </w:tabs>
        <w:jc w:val="both"/>
      </w:pPr>
      <w:r w:rsidRPr="00FD40CE">
        <w:rPr>
          <w:vertAlign w:val="superscript"/>
        </w:rPr>
        <w:footnoteRef/>
      </w:r>
      <w:r w:rsidRPr="00FD40CE">
        <w:rPr>
          <w:lang w:val="es-419"/>
        </w:rPr>
        <w:t xml:space="preserve"> Estas considerac</w:t>
      </w:r>
      <w:r w:rsidRPr="00FD40CE">
        <w:rPr>
          <w:lang w:val="es-419"/>
        </w:rPr>
        <w:t>iones se han reiterado</w:t>
      </w:r>
      <w:r w:rsidRPr="00FD40CE">
        <w:rPr>
          <w:lang w:val="es-419"/>
        </w:rPr>
        <w:t>,</w:t>
      </w:r>
      <w:r w:rsidRPr="00FD40CE">
        <w:rPr>
          <w:lang w:val="es-419"/>
        </w:rPr>
        <w:t xml:space="preserve"> entre otras, en las sentencias C-215 de 2021, C-047 de 2021, C-030 de 2021, C-440 de 2020, C-415 de 2020, C-147 de 2015, C-896 de 2012, C-277 de 2011, C-501 de 2001, C-567 de 2000 y C-095 de 1993. En estos casos, e</w:t>
      </w:r>
      <w:r w:rsidRPr="00FD40CE">
        <w:t>l examen de consti</w:t>
      </w:r>
      <w:r w:rsidRPr="00FD40CE">
        <w:t>tucionalidad por vulneración del principio de unidad de materia admite la existencia de vínculos sustanciales que, en atención a “</w:t>
      </w:r>
      <w:r w:rsidRPr="00FD40CE">
        <w:rPr>
          <w:shd w:val="clear" w:color="auto" w:fill="FFFFFF"/>
        </w:rPr>
        <w:t>las finalidades perseguidas, […] las repercusiones de unas decisiones […], o, […] por razones de orden fáctico” permiten al le</w:t>
      </w:r>
      <w:r w:rsidRPr="00FD40CE">
        <w:rPr>
          <w:shd w:val="clear" w:color="auto" w:fill="FFFFFF"/>
        </w:rPr>
        <w:t>gislador incluir disposiciones que, aparentemente, podrían responder a temáticas diferentes en un mismo cuerpo normativo (c</w:t>
      </w:r>
      <w:r w:rsidRPr="00FD40CE">
        <w:t xml:space="preserve">fr., la Sentencia C-390 de 1996, </w:t>
      </w:r>
      <w:r w:rsidRPr="00FD40CE">
        <w:rPr>
          <w:lang w:val="es-419"/>
        </w:rPr>
        <w:t>reiterada en la Sentencia C-054 de 1998</w:t>
      </w:r>
      <w:r w:rsidRPr="00FD40CE">
        <w:rPr>
          <w:shd w:val="clear" w:color="auto" w:fill="FFFFFF"/>
        </w:rPr>
        <w:t>).</w:t>
      </w:r>
    </w:p>
  </w:footnote>
  <w:footnote w:id="78">
    <w:p w:rsidR="00322D34" w:rsidRPr="00FD40CE" w:rsidRDefault="00152C0F" w:rsidP="00047F70">
      <w:pPr>
        <w:pStyle w:val="Textonotapie"/>
        <w:jc w:val="both"/>
      </w:pPr>
      <w:r w:rsidRPr="00FD40CE">
        <w:rPr>
          <w:rStyle w:val="Refdenotaalpie"/>
        </w:rPr>
        <w:footnoteRef/>
      </w:r>
      <w:r w:rsidRPr="00FD40CE">
        <w:t xml:space="preserve"> En el mismo sentido, entre otras, las sentencias </w:t>
      </w:r>
      <w:r w:rsidRPr="00FD40CE">
        <w:rPr>
          <w:shd w:val="clear" w:color="auto" w:fill="FFFFFF"/>
        </w:rPr>
        <w:t>C-440 d</w:t>
      </w:r>
      <w:r w:rsidRPr="00FD40CE">
        <w:rPr>
          <w:shd w:val="clear" w:color="auto" w:fill="FFFFFF"/>
        </w:rPr>
        <w:t>e 2020,</w:t>
      </w:r>
      <w:r w:rsidRPr="00FD40CE">
        <w:rPr>
          <w:lang w:val="es-419"/>
        </w:rPr>
        <w:t xml:space="preserve"> C-121 de 2020, C-044 de 2017, C-204 de 2016, C-896 de 2012, C-077 de 2012</w:t>
      </w:r>
      <w:r w:rsidRPr="00FD40CE">
        <w:t xml:space="preserve">, </w:t>
      </w:r>
      <w:r w:rsidRPr="00FD40CE">
        <w:rPr>
          <w:lang w:val="es-419"/>
        </w:rPr>
        <w:t xml:space="preserve">C-211 de 2007 y </w:t>
      </w:r>
      <w:r w:rsidRPr="00FD40CE">
        <w:t>C-025 de 1993.</w:t>
      </w:r>
    </w:p>
  </w:footnote>
  <w:footnote w:id="79">
    <w:p w:rsidR="0017698E" w:rsidRPr="00FD40CE" w:rsidRDefault="00152C0F" w:rsidP="00047F70">
      <w:pPr>
        <w:pStyle w:val="Textonotapie"/>
        <w:jc w:val="both"/>
      </w:pPr>
      <w:r w:rsidRPr="00FD40CE">
        <w:rPr>
          <w:rStyle w:val="Refdenotaalpie"/>
        </w:rPr>
        <w:footnoteRef/>
      </w:r>
      <w:r w:rsidRPr="00FD40CE">
        <w:t xml:space="preserve"> Al respecto, en la sentencia en cita, se indica: </w:t>
      </w:r>
      <w:r w:rsidRPr="00FD40CE">
        <w:t>“Adicionalmente cuando los propósitos que justifican el reconocimiento del principio de uni</w:t>
      </w:r>
      <w:r w:rsidRPr="00FD40CE">
        <w:t>dad de materia han sido satisfechos durante el debate legislativo, el rigor en el examen que debe adelantarse puede disminuir significativamente haciendo posible, en consecuencia, el empleo de criterios interpretativos más deferentes con la actividad legis</w:t>
      </w:r>
      <w:r w:rsidRPr="00FD40CE">
        <w:t>lativa. En efecto si una disposición con una conexión lejana a la materia del proyecto fue objeto de discusión y votación a lo largo de todo el trámite legislativo y, en esa medida, alrededor de la misma se desarrolló un adecuado proceso de deliberación, e</w:t>
      </w:r>
      <w:r w:rsidRPr="00FD40CE">
        <w:t>l requerimiento de conexidad podrá resultar menos exigente, en tanto ya se habría controlado uno de los riesgos que pretende enfrentarse con el reconocimiento constitucional del principio de unidad de materia”.</w:t>
      </w:r>
    </w:p>
  </w:footnote>
  <w:footnote w:id="80">
    <w:p w:rsidR="00322D34" w:rsidRPr="00FD40CE" w:rsidRDefault="00152C0F" w:rsidP="00047F70">
      <w:pPr>
        <w:pStyle w:val="Textonotapie"/>
        <w:tabs>
          <w:tab w:val="left" w:pos="3822"/>
        </w:tabs>
        <w:jc w:val="both"/>
      </w:pPr>
      <w:r w:rsidRPr="00FD40CE">
        <w:rPr>
          <w:vertAlign w:val="superscript"/>
        </w:rPr>
        <w:footnoteRef/>
      </w:r>
      <w:r w:rsidRPr="00FD40CE">
        <w:t xml:space="preserve"> Acerca de estas especiales características de la ley aprobatoria del plan nacional de desarrollo, cfr., </w:t>
      </w:r>
      <w:r w:rsidRPr="00FD40CE">
        <w:rPr>
          <w:lang w:val="es-419"/>
        </w:rPr>
        <w:t>entre otras, las sentencias C-537 de 2023, C-047 de 2021, C-030 de 2021, C-440 de 2020</w:t>
      </w:r>
      <w:r w:rsidRPr="00FD40CE">
        <w:t xml:space="preserve">, </w:t>
      </w:r>
      <w:r w:rsidRPr="00FD40CE">
        <w:rPr>
          <w:lang w:val="es-419"/>
        </w:rPr>
        <w:t>C-415 de 2020, C-068 de 2020, C-008 de 2018, C-453 de 2016, C-0</w:t>
      </w:r>
      <w:r w:rsidRPr="00FD40CE">
        <w:rPr>
          <w:lang w:val="es-419"/>
        </w:rPr>
        <w:t>16 de 2016</w:t>
      </w:r>
      <w:r w:rsidRPr="00FD40CE">
        <w:t xml:space="preserve">, </w:t>
      </w:r>
      <w:r w:rsidRPr="00FD40CE">
        <w:rPr>
          <w:lang w:val="es-419"/>
        </w:rPr>
        <w:t>C-747 de 2012</w:t>
      </w:r>
      <w:r w:rsidRPr="00FD40CE">
        <w:t>, C-1062 de 2008,</w:t>
      </w:r>
      <w:r w:rsidRPr="00FD40CE">
        <w:rPr>
          <w:lang w:val="es-419"/>
        </w:rPr>
        <w:t xml:space="preserve"> </w:t>
      </w:r>
      <w:r w:rsidRPr="00FD40CE">
        <w:t>C-714 de 2008</w:t>
      </w:r>
      <w:r w:rsidRPr="00FD40CE">
        <w:rPr>
          <w:lang w:val="es-419"/>
        </w:rPr>
        <w:t>, C-377 de 2008, C-795 de 2004 y C-305 de 2004.</w:t>
      </w:r>
    </w:p>
  </w:footnote>
  <w:footnote w:id="81">
    <w:p w:rsidR="00103C69" w:rsidRPr="00FD40CE" w:rsidRDefault="00152C0F" w:rsidP="00047F70">
      <w:pPr>
        <w:pStyle w:val="Textonotapie"/>
        <w:jc w:val="both"/>
      </w:pPr>
      <w:r w:rsidRPr="00FD40CE">
        <w:rPr>
          <w:rStyle w:val="Refdenotaalpie"/>
        </w:rPr>
        <w:footnoteRef/>
      </w:r>
      <w:r w:rsidRPr="00FD40CE">
        <w:t xml:space="preserve"> Es decir a procedimientos o mecanismos para lograr los objetivos y metas de la acción estatal de mediano y largo plazo, a la apropiación de recursos </w:t>
      </w:r>
      <w:r w:rsidRPr="00FD40CE">
        <w:t>p</w:t>
      </w:r>
      <w:r w:rsidRPr="00FD40CE">
        <w:t xml:space="preserve">ara la ejecución del plan </w:t>
      </w:r>
      <w:r w:rsidRPr="00FD40CE">
        <w:t xml:space="preserve">o a medidas para impulsar </w:t>
      </w:r>
      <w:r w:rsidRPr="00FD40CE">
        <w:t>su</w:t>
      </w:r>
      <w:r w:rsidRPr="00FD40CE">
        <w:t xml:space="preserve"> cumplimiento</w:t>
      </w:r>
      <w:r w:rsidRPr="00FD40CE">
        <w:rPr>
          <w:i/>
          <w:iCs/>
        </w:rPr>
        <w:t>.</w:t>
      </w:r>
    </w:p>
  </w:footnote>
  <w:footnote w:id="82">
    <w:p w:rsidR="00322D34" w:rsidRPr="00FD40CE" w:rsidRDefault="00152C0F" w:rsidP="00047F70">
      <w:pPr>
        <w:pStyle w:val="Prrafodelista"/>
        <w:ind w:left="0"/>
        <w:jc w:val="both"/>
      </w:pPr>
      <w:r w:rsidRPr="00FD40CE">
        <w:rPr>
          <w:vertAlign w:val="superscript"/>
        </w:rPr>
        <w:footnoteRef/>
      </w:r>
      <w:r w:rsidRPr="00FD40CE">
        <w:t xml:space="preserve"> </w:t>
      </w:r>
      <w:r w:rsidRPr="00FD40CE">
        <w:rPr>
          <w:shd w:val="clear" w:color="auto" w:fill="FFFFFF"/>
        </w:rPr>
        <w:t xml:space="preserve">De vieja data, </w:t>
      </w:r>
      <w:r w:rsidRPr="00FD40CE">
        <w:rPr>
          <w:shd w:val="clear" w:color="auto" w:fill="FFFFFF"/>
        </w:rPr>
        <w:t xml:space="preserve">la jurisprudencia constitucional </w:t>
      </w:r>
      <w:r w:rsidRPr="00FD40CE">
        <w:rPr>
          <w:shd w:val="clear" w:color="auto" w:fill="FFFFFF"/>
        </w:rPr>
        <w:t>ha admitido este criterio en los siguientes términos: “[la jurisprudencia constitucional] ha interpretado de manera amplia la noción de materia, por lo cual ha sostenido que el principio de unidad temática ‘no puede rebasar su finalidad y terminar por anul</w:t>
      </w:r>
      <w:r w:rsidRPr="00FD40CE">
        <w:rPr>
          <w:shd w:val="clear" w:color="auto" w:fill="FFFFFF"/>
        </w:rPr>
        <w:t>ar el principio democrático, significativamente de mayor entidad como valor fundante del Estado Colombiano’, por lo cual únicamente ‘aquellos apartes, segmentos o proposiciones de una ley respecto de los cuales, razonable y objetivamente, no sea posible es</w:t>
      </w:r>
      <w:r w:rsidRPr="00FD40CE">
        <w:rPr>
          <w:shd w:val="clear" w:color="auto" w:fill="FFFFFF"/>
        </w:rPr>
        <w:t xml:space="preserve">tablecer una relación de conexidad causal, teleológica, temática o sistémica </w:t>
      </w:r>
      <w:r w:rsidRPr="00FD40CE">
        <w:rPr>
          <w:shd w:val="clear" w:color="auto" w:fill="FFFFFF"/>
        </w:rPr>
        <w:t xml:space="preserve">[sic] </w:t>
      </w:r>
      <w:r w:rsidRPr="00FD40CE">
        <w:rPr>
          <w:shd w:val="clear" w:color="auto" w:fill="FFFFFF"/>
        </w:rPr>
        <w:t xml:space="preserve">con la materia dominante de la misma, deben rechazarse como inadmisibles si están incorporados en el proyecto o declararse inexequibles si integran el cuerpo de la ley’. No </w:t>
      </w:r>
      <w:r w:rsidRPr="00FD40CE">
        <w:rPr>
          <w:shd w:val="clear" w:color="auto" w:fill="FFFFFF"/>
        </w:rPr>
        <w:t>obstante, en lo referente al principio de unidad de materia en la Ley del Plan de Desarrollo la Corporación estima que la conexidad debe ser directa e inmediata. Es decir, si bien el Plan Nacional de Desarrollo es una ley heterogénea, en la medida en que s</w:t>
      </w:r>
      <w:r w:rsidRPr="00FD40CE">
        <w:rPr>
          <w:shd w:val="clear" w:color="auto" w:fill="FFFFFF"/>
        </w:rPr>
        <w:t>e ocupa de diversas materias (políticas macroeconómicas, sociales, culturales, ambientales, etc.) lo mismo que de diversidad de medidas instrumentales (presupuestales o normativas) destinadas a garantizar la efectiva y eficiente realización del Plan de Des</w:t>
      </w:r>
      <w:r w:rsidRPr="00FD40CE">
        <w:rPr>
          <w:shd w:val="clear" w:color="auto" w:fill="FFFFFF"/>
        </w:rPr>
        <w:t xml:space="preserve">arrollo, el criterio para examinar la unidad de materia de las disposiciones instrumentales contenidas en la Ley del Plan es el relativo a su conexidad directa, no eventual o mediata, con las normas que establecen los programas y proyectos contemplados en </w:t>
      </w:r>
      <w:r w:rsidRPr="00FD40CE">
        <w:rPr>
          <w:shd w:val="clear" w:color="auto" w:fill="FFFFFF"/>
        </w:rPr>
        <w:t xml:space="preserve">la parte general del Plan y con aquellas otras que especifican los recursos para su ejecución”. Sentencia C-305 de 2004. Este criterio </w:t>
      </w:r>
      <w:r w:rsidRPr="00FD40CE">
        <w:rPr>
          <w:lang w:val="es-419"/>
        </w:rPr>
        <w:t>de decisión ha sido reiterado, entre otras, en las sentencias C-795 de 2004, C-377 de 2008, C-801 de 2008, C-016 de 2016,</w:t>
      </w:r>
      <w:r w:rsidRPr="00FD40CE">
        <w:rPr>
          <w:lang w:val="es-419"/>
        </w:rPr>
        <w:t xml:space="preserve"> C-453 de 2016 y C-008 de 2018</w:t>
      </w:r>
      <w:r w:rsidRPr="00FD40CE">
        <w:t xml:space="preserve">. </w:t>
      </w:r>
      <w:r w:rsidRPr="00FD40CE">
        <w:rPr>
          <w:shd w:val="clear" w:color="auto" w:fill="FFFFFF"/>
        </w:rPr>
        <w:t>En esta misma línea, en la Sentencia C-068 de 2020, la Corte señaló: “</w:t>
      </w:r>
      <w:r w:rsidRPr="00FD40CE">
        <w:rPr>
          <w:i/>
          <w:iCs/>
          <w:shd w:val="clear" w:color="auto" w:fill="FFFFFF"/>
        </w:rPr>
        <w:t>[e]l control judicial estricto del principio de unidad de materia</w:t>
      </w:r>
      <w:r w:rsidRPr="00FD40CE">
        <w:rPr>
          <w:shd w:val="clear" w:color="auto" w:fill="FFFFFF"/>
        </w:rPr>
        <w:t xml:space="preserve"> se concreta en establecer un vínculo directo entre la parte general del Plan y las dispo</w:t>
      </w:r>
      <w:r w:rsidRPr="00FD40CE">
        <w:rPr>
          <w:shd w:val="clear" w:color="auto" w:fill="FFFFFF"/>
        </w:rPr>
        <w:t>siciones instrumentales que lo componen, y no una conexión que sea solo eventual o mediata. Ello con el fin de evitar que en virtud del carácter heterogéneo y multitemático de la ley, se incorporen disposiciones ajenas al propósito de planeación”</w:t>
      </w:r>
      <w:r w:rsidRPr="00FD40CE">
        <w:rPr>
          <w:shd w:val="clear" w:color="auto" w:fill="FFFFFF"/>
        </w:rPr>
        <w:t xml:space="preserve"> (énfasis </w:t>
      </w:r>
      <w:r w:rsidRPr="00FD40CE">
        <w:rPr>
          <w:shd w:val="clear" w:color="auto" w:fill="FFFFFF"/>
        </w:rPr>
        <w:t>de la Sala)</w:t>
      </w:r>
      <w:r w:rsidRPr="00FD40CE">
        <w:rPr>
          <w:shd w:val="clear" w:color="auto" w:fill="FFFFFF"/>
        </w:rPr>
        <w:t>.</w:t>
      </w:r>
    </w:p>
  </w:footnote>
  <w:footnote w:id="83">
    <w:p w:rsidR="00322D34" w:rsidRPr="00FD40CE" w:rsidRDefault="00152C0F" w:rsidP="00047F70">
      <w:pPr>
        <w:pStyle w:val="Textonotapie"/>
        <w:jc w:val="both"/>
      </w:pPr>
      <w:r w:rsidRPr="00FD40CE">
        <w:rPr>
          <w:rStyle w:val="Refdenotaalpie"/>
        </w:rPr>
        <w:footnoteRef/>
      </w:r>
      <w:r w:rsidRPr="00FD40CE">
        <w:t xml:space="preserve"> En esta materia es especialmente relevante la Sentencia C-415 de 2020, que unificó la jurisprudencia de la Sala </w:t>
      </w:r>
      <w:r w:rsidRPr="00FD40CE">
        <w:rPr>
          <w:shd w:val="clear" w:color="auto" w:fill="FFFFFF"/>
        </w:rPr>
        <w:t xml:space="preserve">con pretensiones de estabilidad. En cuanto a esta pretensión, </w:t>
      </w:r>
      <w:r w:rsidRPr="00FD40CE">
        <w:t xml:space="preserve">allí se indica: “29. </w:t>
      </w:r>
      <w:r w:rsidRPr="00FD40CE">
        <w:rPr>
          <w:bCs/>
          <w:lang w:val="es-ES"/>
        </w:rPr>
        <w:t xml:space="preserve">A continuación la Corte procederá, previa </w:t>
      </w:r>
      <w:r w:rsidRPr="00FD40CE">
        <w:rPr>
          <w:bCs/>
          <w:lang w:val="es-ES"/>
        </w:rPr>
        <w:t>referencia histórica y de derecho comparado, a exponer brevemente el estado actual de la jurisprudencia constitucional sobre los planes nacionales de desarrollo, así como a realizar algunas consideraciones adicionales en orden a continuar la construcción d</w:t>
      </w:r>
      <w:r w:rsidRPr="00FD40CE">
        <w:rPr>
          <w:bCs/>
          <w:lang w:val="es-ES"/>
        </w:rPr>
        <w:t>e la línea jurisprudencial, que estará dada esencialmente en i) asegurar la importancia del principio democrático, ii) puntualizar que en estas leyes no pueden estar plasmadas todo de tipo de normativas legales, iii) demarcar la regla general de temporalid</w:t>
      </w:r>
      <w:r w:rsidRPr="00FD40CE">
        <w:rPr>
          <w:bCs/>
          <w:lang w:val="es-ES"/>
        </w:rPr>
        <w:t>ad de la ley del plan, iv) delimitar el concepto de prelación del Plan Nacional de Inversiones y v) afianzar el control estricto en torno al principio de unidad de materia</w:t>
      </w:r>
      <w:r w:rsidRPr="00FD40CE">
        <w:t>”.</w:t>
      </w:r>
    </w:p>
  </w:footnote>
  <w:footnote w:id="84">
    <w:p w:rsidR="00322D34" w:rsidRPr="00FD40CE" w:rsidRDefault="00152C0F" w:rsidP="00047F70">
      <w:pPr>
        <w:pStyle w:val="Textonotapie"/>
        <w:jc w:val="both"/>
      </w:pPr>
      <w:r w:rsidRPr="00FD40CE">
        <w:rPr>
          <w:rStyle w:val="Refdenotaalpie"/>
        </w:rPr>
        <w:footnoteRef/>
      </w:r>
      <w:r w:rsidRPr="00FD40CE">
        <w:t xml:space="preserve"> La jurisprudencia se ha referido específicamente a los </w:t>
      </w:r>
      <w:r w:rsidRPr="00FD40CE">
        <w:rPr>
          <w:i/>
          <w:lang w:val="es-ES_tradnl"/>
        </w:rPr>
        <w:t>objetivos</w:t>
      </w:r>
      <w:r w:rsidRPr="00FD40CE">
        <w:rPr>
          <w:iCs/>
          <w:lang w:val="es-ES_tradnl"/>
        </w:rPr>
        <w:t xml:space="preserve">, </w:t>
      </w:r>
      <w:r w:rsidRPr="00FD40CE">
        <w:rPr>
          <w:i/>
          <w:lang w:val="es-ES_tradnl"/>
        </w:rPr>
        <w:t>metas</w:t>
      </w:r>
      <w:r w:rsidRPr="00FD40CE">
        <w:rPr>
          <w:iCs/>
          <w:lang w:val="es-ES_tradnl"/>
        </w:rPr>
        <w:t xml:space="preserve"> o estrat</w:t>
      </w:r>
      <w:r w:rsidRPr="00FD40CE">
        <w:rPr>
          <w:iCs/>
          <w:lang w:val="es-ES_tradnl"/>
        </w:rPr>
        <w:t xml:space="preserve">egias de la parte general del plan, referencia que cabe relacionar con </w:t>
      </w:r>
      <w:r w:rsidRPr="00FD40CE">
        <w:t>las </w:t>
      </w:r>
      <w:bookmarkStart w:id="8" w:name="_Hlk60875271"/>
      <w:r w:rsidRPr="00FD40CE">
        <w:rPr>
          <w:i/>
          <w:iCs/>
        </w:rPr>
        <w:t>estrategias</w:t>
      </w:r>
      <w:r w:rsidRPr="00FD40CE">
        <w:t xml:space="preserve"> y </w:t>
      </w:r>
      <w:r w:rsidRPr="00FD40CE">
        <w:rPr>
          <w:i/>
          <w:iCs/>
        </w:rPr>
        <w:t>políticas</w:t>
      </w:r>
      <w:r w:rsidRPr="00FD40CE">
        <w:t> </w:t>
      </w:r>
      <w:r w:rsidRPr="00FD40CE">
        <w:rPr>
          <w:i/>
          <w:iCs/>
        </w:rPr>
        <w:t>que en materia económica, social y ambiental guiarán la acción del Gobierno</w:t>
      </w:r>
      <w:bookmarkEnd w:id="8"/>
      <w:r w:rsidRPr="00FD40CE">
        <w:t>, puesto que tales estrategias y políticas concretan los objetivos y metas de</w:t>
      </w:r>
      <w:r w:rsidRPr="00FD40CE">
        <w:t xml:space="preserve"> </w:t>
      </w:r>
      <w:r w:rsidRPr="00FD40CE">
        <w:t>l</w:t>
      </w:r>
      <w:r w:rsidRPr="00FD40CE">
        <w:t>a a</w:t>
      </w:r>
      <w:r w:rsidRPr="00FD40CE">
        <w:t>cción estatal</w:t>
      </w:r>
      <w:r w:rsidRPr="00FD40CE">
        <w:t xml:space="preserve"> </w:t>
      </w:r>
      <w:r w:rsidRPr="00FD40CE">
        <w:t xml:space="preserve">incluidas en el </w:t>
      </w:r>
      <w:r w:rsidRPr="00FD40CE">
        <w:t>plan que el gobierno pretende alcanzar durante el cuatrienio.</w:t>
      </w:r>
    </w:p>
  </w:footnote>
  <w:footnote w:id="85">
    <w:p w:rsidR="00322D34" w:rsidRPr="00FD40CE" w:rsidRDefault="00152C0F" w:rsidP="00047F70">
      <w:pPr>
        <w:jc w:val="both"/>
      </w:pPr>
      <w:r w:rsidRPr="00FD40CE">
        <w:rPr>
          <w:rStyle w:val="Refdenotaalpie"/>
        </w:rPr>
        <w:footnoteRef/>
      </w:r>
      <w:r w:rsidRPr="00FD40CE">
        <w:t xml:space="preserve"> Sentencia C-030 de 2021, § 57, que cita la Sentencia C-415 de 2020 y, esta, a su vez, las sentencias C-095 de 2020, C-008 de 2018 y C-016 de 2016.</w:t>
      </w:r>
    </w:p>
  </w:footnote>
  <w:footnote w:id="86">
    <w:p w:rsidR="00322D34" w:rsidRPr="00FD40CE" w:rsidRDefault="00152C0F" w:rsidP="00047F70">
      <w:pPr>
        <w:pStyle w:val="Textonotapie"/>
        <w:jc w:val="both"/>
      </w:pPr>
      <w:r w:rsidRPr="00FD40CE">
        <w:rPr>
          <w:rStyle w:val="Refdenotaalpie"/>
        </w:rPr>
        <w:footnoteRef/>
      </w:r>
      <w:r w:rsidRPr="00FD40CE">
        <w:t xml:space="preserve"> Cfr., al resp</w:t>
      </w:r>
      <w:r w:rsidRPr="00FD40CE">
        <w:t>ecto, las sentencias C-068 de 2020, C-219 de 2019 y C-305 de 2004.</w:t>
      </w:r>
    </w:p>
  </w:footnote>
  <w:footnote w:id="87">
    <w:p w:rsidR="00322D34" w:rsidRPr="00FD40CE" w:rsidRDefault="00152C0F" w:rsidP="00047F70">
      <w:pPr>
        <w:pStyle w:val="Textonotapie"/>
        <w:tabs>
          <w:tab w:val="left" w:pos="3822"/>
        </w:tabs>
        <w:jc w:val="both"/>
      </w:pPr>
      <w:r w:rsidRPr="00FD40CE">
        <w:rPr>
          <w:vertAlign w:val="superscript"/>
        </w:rPr>
        <w:footnoteRef/>
      </w:r>
      <w:r w:rsidRPr="00FD40CE">
        <w:t xml:space="preserve"> Sentencia C-415 de 2020. </w:t>
      </w:r>
      <w:r w:rsidRPr="00FD40CE">
        <w:rPr>
          <w:lang w:val="es-MX"/>
        </w:rPr>
        <w:t xml:space="preserve">Según se precisa en esta </w:t>
      </w:r>
      <w:r w:rsidRPr="00FD40CE">
        <w:rPr>
          <w:lang w:val="es-MX"/>
        </w:rPr>
        <w:t>providencia</w:t>
      </w:r>
      <w:r w:rsidRPr="00FD40CE">
        <w:rPr>
          <w:lang w:val="es-MX"/>
        </w:rPr>
        <w:t>, “</w:t>
      </w:r>
      <w:r w:rsidRPr="00FD40CE">
        <w:t xml:space="preserve">[l]a ley que aprueba el PND para un cuatrienio presidencial </w:t>
      </w:r>
      <w:r w:rsidRPr="00FD40CE">
        <w:rPr>
          <w:b/>
        </w:rPr>
        <w:t xml:space="preserve">no puede contener una regulación sobre todas las materias que </w:t>
      </w:r>
      <w:r w:rsidRPr="00FD40CE">
        <w:rPr>
          <w:b/>
        </w:rPr>
        <w:t>al Congreso de la República corresponden</w:t>
      </w:r>
      <w:r w:rsidRPr="00FD40CE">
        <w:t xml:space="preserve"> en el ejercicio de sus atribuciones. </w:t>
      </w:r>
      <w:r w:rsidRPr="00FD40CE">
        <w:rPr>
          <w:u w:val="single"/>
        </w:rPr>
        <w:t>No podría incluir cualquier normativa legal, ya que ello implicaría que la atribución asignada al Congreso de la República por el numeral 3</w:t>
      </w:r>
      <w:r w:rsidRPr="00FD40CE">
        <w:rPr>
          <w:u w:val="single"/>
          <w:vertAlign w:val="superscript"/>
        </w:rPr>
        <w:t xml:space="preserve"> </w:t>
      </w:r>
      <w:r w:rsidRPr="00FD40CE">
        <w:rPr>
          <w:u w:val="single"/>
        </w:rPr>
        <w:t xml:space="preserve">del art. 150 de la Carta, termine por </w:t>
      </w:r>
      <w:r w:rsidRPr="00FD40CE">
        <w:rPr>
          <w:u w:val="single"/>
        </w:rPr>
        <w:t>subsumir, suprimir o reducir las demás funciones constitucionales del legislador</w:t>
      </w:r>
      <w:r w:rsidRPr="00FD40CE">
        <w:t xml:space="preserve"> (24 restantes)</w:t>
      </w:r>
      <w:r w:rsidRPr="00FD40CE">
        <w:rPr>
          <w:lang w:val="es-MX"/>
        </w:rPr>
        <w:t xml:space="preserve">. || […] 105. </w:t>
      </w:r>
      <w:r w:rsidRPr="00FD40CE">
        <w:t xml:space="preserve">Así, el control de constitucionalidad debe cuidar que la expedición de la </w:t>
      </w:r>
      <w:r w:rsidRPr="00FD40CE">
        <w:rPr>
          <w:b/>
        </w:rPr>
        <w:t>ley del plan no se constituya en un vaciamiento de las competencias ordin</w:t>
      </w:r>
      <w:r w:rsidRPr="00FD40CE">
        <w:rPr>
          <w:b/>
        </w:rPr>
        <w:t>arias del legislador</w:t>
      </w:r>
      <w:r w:rsidRPr="00FD40CE">
        <w:t xml:space="preserve">, convirtiéndola en una herramienta para la solución de todas las urgencias legales que precise el Gobierno de turno […] || […] </w:t>
      </w:r>
      <w:r w:rsidRPr="00FD40CE">
        <w:rPr>
          <w:b/>
        </w:rPr>
        <w:t xml:space="preserve">La pretensión de instaurar políticas de largo aliento (ordinarias) exige acudir a la agenda legislativa del </w:t>
      </w:r>
      <w:r w:rsidRPr="00FD40CE">
        <w:rPr>
          <w:b/>
        </w:rPr>
        <w:t>Gobierno</w:t>
      </w:r>
      <w:r w:rsidRPr="00FD40CE">
        <w:t xml:space="preserve"> y su consiguiente propuesta e impulso ante el Congreso de la República, en garantía del principio democrático</w:t>
      </w:r>
      <w:r w:rsidRPr="00FD40CE">
        <w:rPr>
          <w:lang w:val="es-MX"/>
        </w:rPr>
        <w:t>” (</w:t>
      </w:r>
      <w:r w:rsidRPr="00FD40CE">
        <w:rPr>
          <w:lang w:val="es-MX"/>
        </w:rPr>
        <w:t xml:space="preserve">subrayas propias, negrillas </w:t>
      </w:r>
      <w:r w:rsidRPr="00FD40CE">
        <w:rPr>
          <w:lang w:val="es-MX"/>
        </w:rPr>
        <w:t>del original).</w:t>
      </w:r>
    </w:p>
  </w:footnote>
  <w:footnote w:id="88">
    <w:p w:rsidR="00322D34" w:rsidRPr="00FD40CE" w:rsidRDefault="00152C0F" w:rsidP="00047F70">
      <w:pPr>
        <w:pStyle w:val="Textonotapie"/>
        <w:jc w:val="both"/>
      </w:pPr>
      <w:r w:rsidRPr="00FD40CE">
        <w:rPr>
          <w:rStyle w:val="Refdenotaalpie"/>
        </w:rPr>
        <w:footnoteRef/>
      </w:r>
      <w:r w:rsidRPr="00FD40CE">
        <w:t xml:space="preserve"> Sentencias C-026, C-068 y C-126 de 2020.</w:t>
      </w:r>
    </w:p>
  </w:footnote>
  <w:footnote w:id="89">
    <w:p w:rsidR="00322D34" w:rsidRPr="00FD40CE" w:rsidRDefault="00152C0F" w:rsidP="00047F70">
      <w:pPr>
        <w:jc w:val="both"/>
      </w:pPr>
      <w:r w:rsidRPr="00FD40CE">
        <w:rPr>
          <w:rStyle w:val="Refdenotaalpie"/>
        </w:rPr>
        <w:footnoteRef/>
      </w:r>
      <w:r w:rsidRPr="00FD40CE">
        <w:t xml:space="preserve"> Sentencia C-394 de 2012. Se apoyó la Corte, en </w:t>
      </w:r>
      <w:r w:rsidRPr="00FD40CE">
        <w:t>esa oportunidad, en las sentencias C-573 de 2004, C-795 de 2004, C-376 de 2008 y C-377 de 2008.</w:t>
      </w:r>
    </w:p>
  </w:footnote>
  <w:footnote w:id="90">
    <w:p w:rsidR="00322D34" w:rsidRPr="00FD40CE" w:rsidRDefault="00152C0F" w:rsidP="00047F70">
      <w:pPr>
        <w:pStyle w:val="Textonotapie"/>
        <w:jc w:val="both"/>
      </w:pPr>
      <w:r w:rsidRPr="00FD40CE">
        <w:rPr>
          <w:rStyle w:val="Refdenotaalpie"/>
        </w:rPr>
        <w:footnoteRef/>
      </w:r>
      <w:r w:rsidRPr="00FD40CE">
        <w:t xml:space="preserve"> Además, en las siguientes tres sentencias la Corte se estuvo a lo resuelto en aquellas que declararon la inexequibilidad: en la Sentencia C-484 de 2020, de ma</w:t>
      </w:r>
      <w:r w:rsidRPr="00FD40CE">
        <w:t>nera parcial, se estuvo a lo resuelto en la Sentencia C-464 de 2020; en la Sentencia C-147 de 2021 también se estuvo a lo resuelto, de manera parcial, en la Sentencia C-464 de 2020, y, finalmente, en la Sentencia C-158 de 2022 se estuvo a lo resuelto en la</w:t>
      </w:r>
      <w:r w:rsidRPr="00FD40CE">
        <w:t xml:space="preserve"> Sentencia C-049 de 2022.</w:t>
      </w:r>
    </w:p>
  </w:footnote>
  <w:footnote w:id="91">
    <w:p w:rsidR="00322D34" w:rsidRPr="00FD40CE" w:rsidRDefault="00152C0F" w:rsidP="00047F70">
      <w:pPr>
        <w:pStyle w:val="Textonotapie"/>
        <w:jc w:val="both"/>
        <w:rPr>
          <w:lang w:val="es-MX"/>
        </w:rPr>
      </w:pPr>
      <w:r w:rsidRPr="00FD40CE">
        <w:rPr>
          <w:rStyle w:val="Refdenotaalpie"/>
        </w:rPr>
        <w:footnoteRef/>
      </w:r>
      <w:r w:rsidRPr="00FD40CE">
        <w:t xml:space="preserve"> La disposición derogada atribuía competencias de administración a la dirección Ejecutiva de la Rama Judicial sobre los parqueaderos destinados a vehículos inmovilizados por orden judicial.</w:t>
      </w:r>
    </w:p>
  </w:footnote>
  <w:footnote w:id="92">
    <w:p w:rsidR="00CE14B4" w:rsidRPr="00FD40CE" w:rsidRDefault="00152C0F" w:rsidP="00047F70">
      <w:pPr>
        <w:pStyle w:val="Textonotapie"/>
        <w:jc w:val="both"/>
      </w:pPr>
      <w:r w:rsidRPr="00FD40CE">
        <w:rPr>
          <w:rStyle w:val="Refdenotaalpie"/>
        </w:rPr>
        <w:footnoteRef/>
      </w:r>
      <w:r w:rsidRPr="00FD40CE">
        <w:t xml:space="preserve"> Al respecto, en la Sentencia C-049 de</w:t>
      </w:r>
      <w:r w:rsidRPr="00FD40CE">
        <w:t xml:space="preserve"> 2022, la Sala indicó que </w:t>
      </w:r>
      <w:r w:rsidRPr="00FD40CE">
        <w:rPr>
          <w:bCs/>
        </w:rPr>
        <w:t>la disposición demandada “</w:t>
      </w:r>
      <w:r w:rsidRPr="00FD40CE">
        <w:rPr>
          <w:bCs/>
          <w:i/>
          <w:iCs/>
        </w:rPr>
        <w:t>modificó una ley ordinaria</w:t>
      </w:r>
      <w:r w:rsidRPr="00FD40CE">
        <w:rPr>
          <w:bCs/>
        </w:rPr>
        <w:t xml:space="preserve"> sobre el Sistema General de Riesgos Laborales, a través de una especialísima ley </w:t>
      </w:r>
      <w:r w:rsidRPr="00FD40CE">
        <w:rPr>
          <w:bCs/>
          <w:i/>
          <w:iCs/>
        </w:rPr>
        <w:t>en donde, además, no es claro que dicha modificación tenga un fin planificador o de impulso a la</w:t>
      </w:r>
      <w:r w:rsidRPr="00FD40CE">
        <w:rPr>
          <w:bCs/>
          <w:i/>
          <w:iCs/>
        </w:rPr>
        <w:t xml:space="preserve"> ejecución cuatrienal del plan</w:t>
      </w:r>
      <w:r w:rsidRPr="00FD40CE">
        <w:rPr>
          <w:bCs/>
        </w:rPr>
        <w:t>. En efecto, la claridad que tenía la disposición de la Ley 1562 de 2012, en el sentido de que, en caso de que se utilice un intermediario, su remuneración deberá pagarse con cargo a los recursos propios de la Administradora d</w:t>
      </w:r>
      <w:r w:rsidRPr="00FD40CE">
        <w:rPr>
          <w:bCs/>
        </w:rPr>
        <w:t>e Riesgos Laborales fue desdibujada”</w:t>
      </w:r>
      <w:r w:rsidRPr="00FD40CE">
        <w:rPr>
          <w:bCs/>
        </w:rPr>
        <w:t xml:space="preserve"> (énfasis de la Sala)</w:t>
      </w:r>
      <w:r w:rsidRPr="00FD40CE">
        <w:rPr>
          <w:bCs/>
        </w:rPr>
        <w:t>.</w:t>
      </w:r>
    </w:p>
  </w:footnote>
  <w:footnote w:id="93">
    <w:p w:rsidR="00777BD7" w:rsidRPr="00FD40CE" w:rsidRDefault="00152C0F" w:rsidP="00047F70">
      <w:pPr>
        <w:pStyle w:val="Textonotapie"/>
        <w:jc w:val="both"/>
      </w:pPr>
      <w:r w:rsidRPr="00FD40CE">
        <w:rPr>
          <w:rStyle w:val="Refdenotaalpie"/>
        </w:rPr>
        <w:footnoteRef/>
      </w:r>
      <w:r w:rsidRPr="00FD40CE">
        <w:t xml:space="preserve"> En relación con esta disposición, en la Sentencia C-537 de 2023 la Sala precisó </w:t>
      </w:r>
      <w:r w:rsidRPr="00FD40CE">
        <w:t xml:space="preserve">que </w:t>
      </w:r>
      <w:r w:rsidRPr="00FD40CE">
        <w:rPr>
          <w:bCs/>
        </w:rPr>
        <w:t>aquella modificó de manera permanente el artículo 4 del Decreto Ley 1295 de 1994</w:t>
      </w:r>
      <w:r w:rsidRPr="00FD40CE">
        <w:rPr>
          <w:bCs/>
        </w:rPr>
        <w:t>. A</w:t>
      </w:r>
      <w:r w:rsidRPr="00FD40CE">
        <w:rPr>
          <w:bCs/>
        </w:rPr>
        <w:t>l valorar el “carácter plani</w:t>
      </w:r>
      <w:r w:rsidRPr="00FD40CE">
        <w:rPr>
          <w:bCs/>
        </w:rPr>
        <w:t xml:space="preserve">ficador de la norma, de modo que no supla inconsistencias presentes en leyes anteriores o desconozca la potestad legislativa reconocida al Congreso de la República”, la Sala indicó: “el artículo 97 del PND 2022-2026 </w:t>
      </w:r>
      <w:r w:rsidRPr="00FD40CE">
        <w:rPr>
          <w:bCs/>
          <w:i/>
          <w:iCs/>
        </w:rPr>
        <w:t>modifica una norma transversal del Siste</w:t>
      </w:r>
      <w:r w:rsidRPr="00FD40CE">
        <w:rPr>
          <w:bCs/>
          <w:i/>
          <w:iCs/>
        </w:rPr>
        <w:t>ma General de Riesgos Laborales, evadiendo con ello la posibilidad de que ese tipo de reformas sea discutida y debatida en el Congreso de la República a través de una ley ordinaria</w:t>
      </w:r>
      <w:r w:rsidRPr="00FD40CE">
        <w:rPr>
          <w:bCs/>
        </w:rPr>
        <w:t>”</w:t>
      </w:r>
      <w:r w:rsidRPr="00FD40CE">
        <w:rPr>
          <w:bCs/>
        </w:rPr>
        <w:t xml:space="preserve"> (énfasis de la Sala)</w:t>
      </w:r>
      <w:r w:rsidRPr="00FD40CE">
        <w:rPr>
          <w:bCs/>
        </w:rPr>
        <w:t>.</w:t>
      </w:r>
    </w:p>
  </w:footnote>
  <w:footnote w:id="94">
    <w:p w:rsidR="00286549" w:rsidRPr="00FD40CE" w:rsidRDefault="00152C0F" w:rsidP="00047F70">
      <w:pPr>
        <w:pStyle w:val="Textonotapie"/>
        <w:jc w:val="both"/>
      </w:pPr>
      <w:r w:rsidRPr="00FD40CE">
        <w:rPr>
          <w:rStyle w:val="Refdenotaalpie"/>
        </w:rPr>
        <w:footnoteRef/>
      </w:r>
      <w:r w:rsidRPr="00FD40CE">
        <w:t xml:space="preserve"> Este artículo </w:t>
      </w:r>
      <w:r w:rsidRPr="00FD40CE">
        <w:t>modificó de manera parcial el artícu</w:t>
      </w:r>
      <w:r w:rsidRPr="00FD40CE">
        <w:t xml:space="preserve">lo 7.4 de la Ley 549 de 1999 al suprimir el procedimiento de “licitación pública” para seleccionar a las entidades que debían administrar los recursos del </w:t>
      </w:r>
      <w:r w:rsidRPr="00FD40CE">
        <w:t>FONPET</w:t>
      </w:r>
      <w:r w:rsidRPr="00FD40CE">
        <w:t>, ya que autoriz</w:t>
      </w:r>
      <w:r w:rsidRPr="00FD40CE">
        <w:t>ó</w:t>
      </w:r>
      <w:r w:rsidRPr="00FD40CE">
        <w:t xml:space="preserve"> al Ministerio de Hacienda y Crédito Público para que utili</w:t>
      </w:r>
      <w:r w:rsidRPr="00FD40CE">
        <w:t>zara</w:t>
      </w:r>
      <w:r w:rsidRPr="00FD40CE">
        <w:t xml:space="preserve"> el procedimien</w:t>
      </w:r>
      <w:r w:rsidRPr="00FD40CE">
        <w:t xml:space="preserve">to de “contratación directa”. </w:t>
      </w:r>
      <w:r w:rsidRPr="00FD40CE">
        <w:t xml:space="preserve">Además, </w:t>
      </w:r>
      <w:r w:rsidRPr="00FD40CE">
        <w:t>modificó de manera parcial el inciso primero de</w:t>
      </w:r>
      <w:r w:rsidRPr="00FD40CE">
        <w:t xml:space="preserve">l </w:t>
      </w:r>
      <w:r w:rsidRPr="00FD40CE">
        <w:t>artículo 3</w:t>
      </w:r>
      <w:r w:rsidRPr="00FD40CE">
        <w:t xml:space="preserve"> de la ley en cita</w:t>
      </w:r>
      <w:r w:rsidRPr="00FD40CE">
        <w:t xml:space="preserve">, al restringir el mercado potencial de oferentes para esta contratación, ya que la disposición demandada lo circunscribió a “sociedades fiduciarias de carácter público”, a pesar de que la Ley 549 </w:t>
      </w:r>
      <w:r w:rsidRPr="00FD40CE">
        <w:t xml:space="preserve">de 1999 </w:t>
      </w:r>
      <w:r w:rsidRPr="00FD40CE">
        <w:t>permit</w:t>
      </w:r>
      <w:r w:rsidRPr="00FD40CE">
        <w:t>ía</w:t>
      </w:r>
      <w:r w:rsidRPr="00FD40CE">
        <w:t xml:space="preserve"> que se contrat</w:t>
      </w:r>
      <w:r w:rsidRPr="00FD40CE">
        <w:t>aran</w:t>
      </w:r>
      <w:r w:rsidRPr="00FD40CE">
        <w:t xml:space="preserve"> administradoras de fond</w:t>
      </w:r>
      <w:r w:rsidRPr="00FD40CE">
        <w:t>os de pensiones y cesantías, sociedades fiduciarias y compañías de seguros de vida, no solo públicas sino también de naturaleza privada.</w:t>
      </w:r>
    </w:p>
  </w:footnote>
  <w:footnote w:id="95">
    <w:p w:rsidR="00AB0D5D" w:rsidRPr="00FD40CE" w:rsidRDefault="00152C0F" w:rsidP="00047F70">
      <w:pPr>
        <w:pStyle w:val="Textonotapie"/>
        <w:jc w:val="both"/>
        <w:rPr>
          <w:lang w:val="es-ES"/>
        </w:rPr>
      </w:pPr>
      <w:r w:rsidRPr="00FD40CE">
        <w:rPr>
          <w:rStyle w:val="Refdenotaalpie"/>
        </w:rPr>
        <w:footnoteRef/>
      </w:r>
      <w:r w:rsidRPr="00FD40CE">
        <w:t xml:space="preserve"> </w:t>
      </w:r>
      <w:r w:rsidRPr="00FD40CE">
        <w:rPr>
          <w:lang w:val="es-ES"/>
        </w:rPr>
        <w:t>En este sentido, en la citada Sentencia C-415 de 2020, al resolver el caso concreto objeto de estudio, previamente ci</w:t>
      </w:r>
      <w:r w:rsidRPr="00FD40CE">
        <w:rPr>
          <w:lang w:val="es-ES"/>
        </w:rPr>
        <w:t>tada, se indicó: “</w:t>
      </w:r>
      <w:r w:rsidRPr="00FD40CE">
        <w:rPr>
          <w:shd w:val="clear" w:color="auto" w:fill="FFFFFF"/>
        </w:rPr>
        <w:t>211. Al resultar comprometida una competencia legislativa ordinaria permanente, </w:t>
      </w:r>
      <w:r w:rsidRPr="00FD40CE">
        <w:rPr>
          <w:b/>
          <w:bCs/>
          <w:shd w:val="clear" w:color="auto" w:fill="FFFFFF"/>
        </w:rPr>
        <w:t>era menester que la iniciativa gubernamental en materia del PND hubiere estado precedida de la </w:t>
      </w:r>
      <w:r w:rsidRPr="00FD40CE">
        <w:rPr>
          <w:b/>
          <w:bCs/>
          <w:i/>
          <w:iCs/>
          <w:shd w:val="clear" w:color="auto" w:fill="FFFFFF"/>
        </w:rPr>
        <w:t>justificación suficiente</w:t>
      </w:r>
      <w:r w:rsidRPr="00FD40CE">
        <w:rPr>
          <w:b/>
          <w:bCs/>
          <w:shd w:val="clear" w:color="auto" w:fill="FFFFFF"/>
        </w:rPr>
        <w:t> que evidenciara con claridad que la di</w:t>
      </w:r>
      <w:r w:rsidRPr="00FD40CE">
        <w:rPr>
          <w:b/>
          <w:bCs/>
          <w:shd w:val="clear" w:color="auto" w:fill="FFFFFF"/>
        </w:rPr>
        <w:t>sposición pretendida: i) constituye una expresión de la función de planeación, ii) es una norma instrumental destinada a permitir la ejecución del plan favoreciendo la consecución  de los objetivos generales, iii) es un mecanismo idóneo para la puesta en m</w:t>
      </w:r>
      <w:r w:rsidRPr="00FD40CE">
        <w:rPr>
          <w:b/>
          <w:bCs/>
          <w:shd w:val="clear" w:color="auto" w:fill="FFFFFF"/>
        </w:rPr>
        <w:t>archa del plan de inversiones o una medida indispensable para impulsar el cumplimiento del PND y iv) no busca llenar vacíos e inconsistencias de otro tipo de leyes</w:t>
      </w:r>
      <w:r w:rsidRPr="00FD40CE">
        <w:rPr>
          <w:b/>
          <w:bCs/>
        </w:rPr>
        <w:t>”</w:t>
      </w:r>
      <w:r w:rsidRPr="00FD40CE">
        <w:t xml:space="preserve"> (subrayado de la Sala, negrillas y cursiva del original).</w:t>
      </w:r>
    </w:p>
  </w:footnote>
  <w:footnote w:id="96">
    <w:p w:rsidR="00382ED4" w:rsidRPr="00FD40CE" w:rsidRDefault="00152C0F" w:rsidP="00047F70">
      <w:pPr>
        <w:pStyle w:val="Textonotapie"/>
        <w:jc w:val="both"/>
      </w:pPr>
      <w:r w:rsidRPr="00FD40CE">
        <w:rPr>
          <w:rStyle w:val="Refdenotaalpie"/>
        </w:rPr>
        <w:footnoteRef/>
      </w:r>
      <w:r w:rsidRPr="00FD40CE">
        <w:t xml:space="preserve"> Concepto del Departamento Nacio</w:t>
      </w:r>
      <w:r w:rsidRPr="00FD40CE">
        <w:t>nal de Planeación. En un sentido semejante se pronunciaron, en su intervención conjunta, los ciudadanos Leyla Waded Chaparro Pesca, Iván Leonel González Orjuela, Flavio Yescith López Martínez, Ángela Andrea Martínez Cepeda y Carlos Andrés Riveros López, el</w:t>
      </w:r>
      <w:r w:rsidRPr="00FD40CE">
        <w:t xml:space="preserve"> Ministerio de Justicia y del Derecho, la Secretaría Jurídica de la Presidencia de la República y la SAE.</w:t>
      </w:r>
    </w:p>
  </w:footnote>
  <w:footnote w:id="97">
    <w:p w:rsidR="00382ED4" w:rsidRPr="00FD40CE" w:rsidRDefault="00152C0F" w:rsidP="00047F70">
      <w:pPr>
        <w:pStyle w:val="Textonotapie"/>
        <w:jc w:val="both"/>
      </w:pPr>
      <w:r w:rsidRPr="00FD40CE">
        <w:rPr>
          <w:rStyle w:val="Refdenotaalpie"/>
        </w:rPr>
        <w:footnoteRef/>
      </w:r>
      <w:r w:rsidRPr="00FD40CE">
        <w:t xml:space="preserve"> Según indicó la SAE, “El FRISCO se encuentra expuesto a perder diferentes activos (extintos y en proceso de extinción) con ocasión a la posibilidad de que dichos bienes sean objeto de procesos de pertenencia”.</w:t>
      </w:r>
    </w:p>
  </w:footnote>
  <w:footnote w:id="98">
    <w:p w:rsidR="00382ED4" w:rsidRPr="00FD40CE" w:rsidRDefault="00152C0F" w:rsidP="00047F70">
      <w:pPr>
        <w:pStyle w:val="Textonotapie"/>
        <w:jc w:val="both"/>
        <w:rPr>
          <w:lang w:val="es-ES"/>
        </w:rPr>
      </w:pPr>
      <w:r w:rsidRPr="00FD40CE">
        <w:rPr>
          <w:rStyle w:val="Refdenotaalpie"/>
        </w:rPr>
        <w:footnoteRef/>
      </w:r>
      <w:r w:rsidRPr="00FD40CE">
        <w:t xml:space="preserve"> En este sentido, el concepto del Ministerio</w:t>
      </w:r>
      <w:r w:rsidRPr="00FD40CE">
        <w:t xml:space="preserve"> de Justicia y del Derecho. </w:t>
      </w:r>
    </w:p>
  </w:footnote>
  <w:footnote w:id="99">
    <w:p w:rsidR="005C5CE9" w:rsidRPr="00FD40CE" w:rsidRDefault="00152C0F" w:rsidP="00047F70">
      <w:pPr>
        <w:pStyle w:val="Textonotapie"/>
        <w:jc w:val="both"/>
      </w:pPr>
      <w:r w:rsidRPr="00FD40CE">
        <w:rPr>
          <w:rStyle w:val="Refdenotaalpie"/>
        </w:rPr>
        <w:footnoteRef/>
      </w:r>
      <w:r w:rsidRPr="00FD40CE">
        <w:t xml:space="preserve"> Concepto del Ministerio de Justicia y del Derecho.</w:t>
      </w:r>
    </w:p>
  </w:footnote>
  <w:footnote w:id="100">
    <w:p w:rsidR="005F233E" w:rsidRPr="00FD40CE" w:rsidRDefault="00152C0F" w:rsidP="00047F70">
      <w:pPr>
        <w:pStyle w:val="Textonotapie"/>
        <w:jc w:val="both"/>
      </w:pPr>
      <w:r w:rsidRPr="00FD40CE">
        <w:rPr>
          <w:rStyle w:val="Refdenotaalpie"/>
        </w:rPr>
        <w:footnoteRef/>
      </w:r>
      <w:r w:rsidRPr="00FD40CE">
        <w:t xml:space="preserve"> Al respecto, </w:t>
      </w:r>
      <w:r w:rsidRPr="00FD40CE">
        <w:t>en la Sentencia C-398 de 2024, en la que la Sala, como una cuestión previa, valoró si era posible incorporar al estudio de constitucionalidad la norma habilita</w:t>
      </w:r>
      <w:r w:rsidRPr="00FD40CE">
        <w:t>nte que había autorizado al presidente de la República para expedir el Decreto Ley 1961 de 2023, y que se encontraba contenida en la ley del plan nacional de desarrollo –artículo 368 de la Ley 2294 de 2023–</w:t>
      </w:r>
      <w:r w:rsidRPr="00FD40CE">
        <w:t xml:space="preserve">, </w:t>
      </w:r>
      <w:r w:rsidRPr="00FD40CE">
        <w:t>se indic</w:t>
      </w:r>
      <w:r w:rsidRPr="00FD40CE">
        <w:t>ó</w:t>
      </w:r>
      <w:r w:rsidRPr="00FD40CE">
        <w:t xml:space="preserve"> </w:t>
      </w:r>
      <w:r w:rsidRPr="00FD40CE">
        <w:t xml:space="preserve">lo siguiente: </w:t>
      </w:r>
      <w:r w:rsidRPr="00FD40CE">
        <w:t>“las normas que integran</w:t>
      </w:r>
      <w:r w:rsidRPr="00FD40CE">
        <w:t xml:space="preserve"> la Ley del Plan Nacional de Desarrollo están gobernadas por la regla de la transitoriedad”</w:t>
      </w:r>
      <w:r w:rsidRPr="00FD40CE">
        <w:t xml:space="preserve">, esto es, deben tener </w:t>
      </w:r>
      <w:r w:rsidRPr="00FD40CE">
        <w:t xml:space="preserve">“vocación de temporalidad y, por consiguiente, resultan violatorias del principio de unidad de materia aquellas normas que no tengan como fin </w:t>
      </w:r>
      <w:r w:rsidRPr="00FD40CE">
        <w:t xml:space="preserve">planificar y priorizar las acciones públicas y la ejecución del presupuesto público durante un cuatrienio” (en este último apartado se cita la </w:t>
      </w:r>
      <w:r w:rsidRPr="00FD40CE">
        <w:t>S</w:t>
      </w:r>
      <w:r w:rsidRPr="00FD40CE">
        <w:t>entencia</w:t>
      </w:r>
      <w:r w:rsidRPr="00FD40CE">
        <w:t xml:space="preserve"> </w:t>
      </w:r>
      <w:r w:rsidRPr="00FD40CE">
        <w:t xml:space="preserve">C-126 de 2020). A partir de esta premisa, </w:t>
      </w:r>
      <w:r w:rsidRPr="00FD40CE">
        <w:t xml:space="preserve">se </w:t>
      </w:r>
      <w:r w:rsidRPr="00FD40CE">
        <w:t>afirmó</w:t>
      </w:r>
      <w:r w:rsidRPr="00FD40CE">
        <w:t xml:space="preserve"> </w:t>
      </w:r>
      <w:r w:rsidRPr="00FD40CE">
        <w:t xml:space="preserve">en la sentencia en cita: </w:t>
      </w:r>
      <w:r w:rsidRPr="00FD40CE">
        <w:t>“Es claro que el otorgamie</w:t>
      </w:r>
      <w:r w:rsidRPr="00FD40CE">
        <w:t>nto de facultades extraordinarias al presidente de la República para expedir decretos con fuerza de ley que, como ocurre en el presente caso, modifican el ordenamiento jurídico de manera permanente constituye una forma de soslayar la regla de la temporalid</w:t>
      </w:r>
      <w:r w:rsidRPr="00FD40CE">
        <w:t>ad de las normas que integran la Ley del Plan Nacional de Desarrollo”.</w:t>
      </w:r>
    </w:p>
  </w:footnote>
  <w:footnote w:id="101">
    <w:p w:rsidR="00DA29EC" w:rsidRPr="00FD40CE" w:rsidRDefault="00152C0F" w:rsidP="00047F70">
      <w:pPr>
        <w:pStyle w:val="Textonotapie"/>
        <w:jc w:val="both"/>
      </w:pPr>
      <w:r w:rsidRPr="00FD40CE">
        <w:rPr>
          <w:rStyle w:val="Refdenotaalpie"/>
        </w:rPr>
        <w:footnoteRef/>
      </w:r>
      <w:r w:rsidRPr="00FD40CE">
        <w:t xml:space="preserve"> Concepto del Departamento Nacional de Planeación.</w:t>
      </w:r>
    </w:p>
  </w:footnote>
  <w:footnote w:id="102">
    <w:p w:rsidR="005E418E" w:rsidRPr="00FD40CE" w:rsidRDefault="00152C0F" w:rsidP="00047F70">
      <w:pPr>
        <w:pStyle w:val="Textonotapie"/>
        <w:jc w:val="both"/>
      </w:pPr>
      <w:r w:rsidRPr="00FD40CE">
        <w:rPr>
          <w:rStyle w:val="Refdenotaalpie"/>
        </w:rPr>
        <w:footnoteRef/>
      </w:r>
      <w:r w:rsidRPr="00FD40CE">
        <w:t xml:space="preserve"> El citado artículo dispone: “</w:t>
      </w:r>
      <w:r w:rsidRPr="00FD40CE">
        <w:t xml:space="preserve">La extinción de dominio es una consecuencia patrimonial de actividades ilícitas o que deterioran </w:t>
      </w:r>
      <w:r w:rsidRPr="00FD40CE">
        <w:t>gravemente la moral social, consistente en la declaración de titularidad a favor del Estado de los bienes a que se refiere esta ley, por sentencia, sin contraprestación ni compensación de naturaleza alguna para el afectado</w:t>
      </w:r>
      <w:r w:rsidRPr="00FD40CE">
        <w:t>”</w:t>
      </w:r>
      <w:r w:rsidRPr="00FD40CE">
        <w:t>.</w:t>
      </w:r>
    </w:p>
  </w:footnote>
  <w:footnote w:id="103">
    <w:p w:rsidR="00B015FE" w:rsidRPr="00FD40CE" w:rsidRDefault="00152C0F" w:rsidP="00047F70">
      <w:pPr>
        <w:pStyle w:val="Textonotapie"/>
        <w:jc w:val="both"/>
      </w:pPr>
      <w:r w:rsidRPr="00FD40CE">
        <w:rPr>
          <w:rStyle w:val="Refdenotaalpie"/>
        </w:rPr>
        <w:footnoteRef/>
      </w:r>
      <w:r w:rsidRPr="00FD40CE">
        <w:t xml:space="preserve"> </w:t>
      </w:r>
      <w:r w:rsidRPr="00FD40CE">
        <w:t>Dispone: “</w:t>
      </w:r>
      <w:r w:rsidRPr="00FD40CE">
        <w:t>Los bienes de uso p</w:t>
      </w:r>
      <w:r w:rsidRPr="00FD40CE">
        <w:t>úblico, los parques naturales, las tierras comunales de grupos étnicos, las tierras de resguardo, el patrimonio arqueológico de la Nación y los demás bienes que determine la ley, son inalienables, imprescriptibles e inembargables</w:t>
      </w:r>
      <w:r w:rsidRPr="00FD40CE">
        <w:t>”.</w:t>
      </w:r>
    </w:p>
  </w:footnote>
  <w:footnote w:id="104">
    <w:p w:rsidR="007058CA" w:rsidRPr="00FD40CE" w:rsidRDefault="00152C0F" w:rsidP="00047F70">
      <w:pPr>
        <w:pStyle w:val="Textonotapie"/>
        <w:jc w:val="both"/>
      </w:pPr>
      <w:r w:rsidRPr="00FD40CE">
        <w:rPr>
          <w:rStyle w:val="Refdenotaalpie"/>
        </w:rPr>
        <w:footnoteRef/>
      </w:r>
      <w:r w:rsidRPr="00FD40CE">
        <w:t xml:space="preserve"> El artículo dispone: “</w:t>
      </w:r>
      <w:r w:rsidRPr="00FD40CE">
        <w:t>Los Bienes Fiscales de propiedad de las Entidades Públicas, no podrán ser adquiridos por vía de prescripción adquisitiva ordinaria o extraordinaria, ni prosperará por vía de acción o de excepción ante ningún juez de la República”.</w:t>
      </w:r>
    </w:p>
  </w:footnote>
  <w:footnote w:id="105">
    <w:p w:rsidR="00764398" w:rsidRPr="00FD40CE" w:rsidRDefault="00152C0F" w:rsidP="00047F70">
      <w:pPr>
        <w:pStyle w:val="Textonotapie"/>
        <w:jc w:val="both"/>
      </w:pPr>
      <w:r w:rsidRPr="00FD40CE">
        <w:rPr>
          <w:rStyle w:val="Refdenotaalpie"/>
        </w:rPr>
        <w:footnoteRef/>
      </w:r>
      <w:r w:rsidRPr="00FD40CE">
        <w:t xml:space="preserve"> En lo pertinente, el ar</w:t>
      </w:r>
      <w:r w:rsidRPr="00FD40CE">
        <w:t xml:space="preserve">tículo dispone: “En las demandas sobre declaración de pertenencia </w:t>
      </w:r>
      <w:r w:rsidRPr="00FD40CE">
        <w:rPr>
          <w:u w:val="single"/>
        </w:rPr>
        <w:t>de bienes privados</w:t>
      </w:r>
      <w:r w:rsidRPr="00FD40CE">
        <w:t>, salvo norma especial, se aplicarán las siguientes reglas: […]</w:t>
      </w:r>
      <w:r w:rsidRPr="00FD40CE">
        <w:t xml:space="preserve"> || 4. La declaración de pertenencia </w:t>
      </w:r>
      <w:r w:rsidRPr="00FD40CE">
        <w:rPr>
          <w:u w:val="single"/>
        </w:rPr>
        <w:t xml:space="preserve">no procede respecto de bienes imprescriptibles o de propiedad de las </w:t>
      </w:r>
      <w:r w:rsidRPr="00FD40CE">
        <w:rPr>
          <w:u w:val="single"/>
        </w:rPr>
        <w:t>entidades de derecho público</w:t>
      </w:r>
      <w:r w:rsidRPr="00FD40CE">
        <w:t>. || El juez rechazará de plano la demanda o declarará la terminación anticipada del proceso, cuando advierta que la pretensión de declaración de pertenencia recae sobre bienes de uso público, bienes fiscales, bienes fiscales ad</w:t>
      </w:r>
      <w:r w:rsidRPr="00FD40CE">
        <w:t>judicables o baldíos, cualquier otro tipo de bien imprescriptible o de propiedad de alguna entidad de derecho público. Las providencias a que se refiere este inciso deberán estar debidamente motivadas y contra ellas procede el recurso de apelación</w:t>
      </w:r>
      <w:r w:rsidRPr="00FD40CE">
        <w:t>”</w:t>
      </w:r>
      <w:r w:rsidRPr="00FD40CE">
        <w:t xml:space="preserve"> (énfasi</w:t>
      </w:r>
      <w:r w:rsidRPr="00FD40CE">
        <w:t>s de la Sala).</w:t>
      </w:r>
    </w:p>
  </w:footnote>
  <w:footnote w:id="106">
    <w:p w:rsidR="001B6D5A" w:rsidRPr="00FD40CE" w:rsidRDefault="00152C0F" w:rsidP="00047F70">
      <w:pPr>
        <w:pStyle w:val="Textonotapie"/>
        <w:jc w:val="both"/>
        <w:rPr>
          <w:lang w:val="es-ES"/>
        </w:rPr>
      </w:pPr>
      <w:r w:rsidRPr="00FD40CE">
        <w:rPr>
          <w:rStyle w:val="Refdenotaalpie"/>
        </w:rPr>
        <w:footnoteRef/>
      </w:r>
      <w:r w:rsidRPr="00FD40CE">
        <w:t xml:space="preserve"> El artículo en cita dispone lo siguiente: “</w:t>
      </w:r>
      <w:r w:rsidRPr="00FD40CE">
        <w:rPr>
          <w:lang w:val="es-ES"/>
        </w:rPr>
        <w:t>Artículo 64. Caducidad de inscripciones de las medidas cautelaras y contribuciones especiales. Las inscripciones de las medidas cautelares tienen una vigencia de diez (10) años contados a partir d</w:t>
      </w:r>
      <w:r w:rsidRPr="00FD40CE">
        <w:rPr>
          <w:lang w:val="es-ES"/>
        </w:rPr>
        <w:t>e su registro. Salvo que antes de su vencimiento la autoridad judicial o administrativa que la decretó solicite la renovación de la inscripción, con la cual tendrá una nueva vigencia de cinco (5) años, prorrogables por igual período hasta por dos veces. ||</w:t>
      </w:r>
      <w:r w:rsidRPr="00FD40CE">
        <w:rPr>
          <w:lang w:val="es-ES"/>
        </w:rPr>
        <w:t xml:space="preserve"> Vencido el término de vigencia o sus prórrogas, la inscripción será cancelada por el registrador mediante acto administrativo debidamente motivado de cúmplase, contra el cual no procederá recurso alguno; siempre y cuando medie solicitud por escrito del re</w:t>
      </w:r>
      <w:r w:rsidRPr="00FD40CE">
        <w:rPr>
          <w:lang w:val="es-ES"/>
        </w:rPr>
        <w:t>spectivo titular(es) del derecho real de dominio o de quien demuestre un interés legítimo en el inmueble. || Parágrafo. El término de diez (10) años a que se refiere este artículo se empieza a contar a partir de la vigencia de esta ley, para las medidas ca</w:t>
      </w:r>
      <w:r w:rsidRPr="00FD40CE">
        <w:rPr>
          <w:lang w:val="es-ES"/>
        </w:rPr>
        <w:t>utelares registradas antes de la expedición del presente estatuto</w:t>
      </w:r>
      <w:r w:rsidRPr="00FD40CE">
        <w:t>”.</w:t>
      </w:r>
      <w:r w:rsidRPr="00FD40CE">
        <w:t xml:space="preserve"> Sin que sea un asunto </w:t>
      </w:r>
      <w:r w:rsidRPr="00FD40CE">
        <w:t xml:space="preserve">necesario para resolver la </w:t>
      </w:r>
      <w:r w:rsidRPr="00FD40CE">
        <w:t xml:space="preserve">controversia, en el concepto allegado por la Superintendencia de Notariado y Registro se </w:t>
      </w:r>
      <w:r w:rsidRPr="00FD40CE">
        <w:t xml:space="preserve">afirma que el alcance </w:t>
      </w:r>
      <w:r w:rsidRPr="00FD40CE">
        <w:t xml:space="preserve">de esta disposición </w:t>
      </w:r>
      <w:r w:rsidRPr="00FD40CE">
        <w:t>fue obje</w:t>
      </w:r>
      <w:r w:rsidRPr="00FD40CE">
        <w:t>to de precisión en las instrucciones administrativas 8 y 9 de 2022 que emitió. En esta última se indicó: “[…] la figura contenida en el artículo 64 del Estatuto Registral, relacionada con la caducidad de las inscripciones de medidas cautelares y contribuci</w:t>
      </w:r>
      <w:r w:rsidRPr="00FD40CE">
        <w:t>ones especiales es aplicable al registro de aquellas medidas que tienen carácter de temporal, es decir, que se deriven de un proceso cuya naturaleza jurídica establezca un límite en el tiempo para su culminación, y sobre el cual operen la prescripción de d</w:t>
      </w:r>
      <w:r w:rsidRPr="00FD40CE">
        <w:t xml:space="preserve">erechos, la caducidad de las acciones y la perención de los procesos. </w:t>
      </w:r>
      <w:r w:rsidRPr="00FD40CE">
        <w:rPr>
          <w:i/>
          <w:iCs/>
        </w:rPr>
        <w:t>Situación que no podría operar para el caso de las medidas cautelares que se decreten en el marco de procesos de extinción del dominio, pues con ellas se pretende evitar que la titularid</w:t>
      </w:r>
      <w:r w:rsidRPr="00FD40CE">
        <w:rPr>
          <w:i/>
          <w:iCs/>
        </w:rPr>
        <w:t>ad del inmueble se torne oscura, se distraigan los bienes objeto de la acción y se afecten derechos futuros de terceros, a quienes se le puedan transferir bienes que podrían tener origen ilícito</w:t>
      </w:r>
      <w:r w:rsidRPr="00FD40CE">
        <w:t>”</w:t>
      </w:r>
      <w:r w:rsidRPr="00FD40CE">
        <w:t xml:space="preserve"> (énfasis de la Sala)</w:t>
      </w:r>
      <w:r w:rsidRPr="00FD40CE">
        <w:t>.</w:t>
      </w:r>
    </w:p>
  </w:footnote>
  <w:footnote w:id="107">
    <w:p w:rsidR="00047F70" w:rsidRPr="00FD40CE" w:rsidRDefault="00152C0F" w:rsidP="00047F70">
      <w:pPr>
        <w:pStyle w:val="Textonotapie"/>
        <w:jc w:val="both"/>
      </w:pPr>
      <w:r w:rsidRPr="00FD40CE">
        <w:rPr>
          <w:rStyle w:val="Refdenotaalpie"/>
        </w:rPr>
        <w:footnoteRef/>
      </w:r>
      <w:r w:rsidRPr="00FD40CE">
        <w:t xml:space="preserve"> En este sentido, las intervenciones de quienes defendieron la exequibilidad de las disposiciones demandadas.</w:t>
      </w:r>
    </w:p>
  </w:footnote>
  <w:footnote w:id="108">
    <w:p w:rsidR="00EA6AF1" w:rsidRPr="00FD40CE" w:rsidRDefault="00152C0F" w:rsidP="00047F70">
      <w:pPr>
        <w:pStyle w:val="Textonotapie"/>
        <w:jc w:val="both"/>
        <w:rPr>
          <w:lang w:val="es-ES"/>
        </w:rPr>
      </w:pPr>
      <w:r w:rsidRPr="00FD40CE">
        <w:rPr>
          <w:rStyle w:val="Refdenotaalpie"/>
        </w:rPr>
        <w:footnoteRef/>
      </w:r>
      <w:r w:rsidRPr="00FD40CE">
        <w:t xml:space="preserve"> </w:t>
      </w:r>
      <w:r w:rsidRPr="00FD40CE">
        <w:rPr>
          <w:lang w:val="es-ES"/>
        </w:rPr>
        <w:t xml:space="preserve">Estos artículos </w:t>
      </w:r>
      <w:r w:rsidRPr="00FD40CE">
        <w:rPr>
          <w:lang w:val="es-ES"/>
        </w:rPr>
        <w:t xml:space="preserve">se refieren a las destinaciones específicas, definitivas y provisionales, de los bienes </w:t>
      </w:r>
      <w:r w:rsidRPr="00FD40CE">
        <w:rPr>
          <w:lang w:val="es-ES"/>
        </w:rPr>
        <w:t xml:space="preserve">objeto de la </w:t>
      </w:r>
      <w:r w:rsidRPr="00FD40CE">
        <w:rPr>
          <w:lang w:val="es-ES"/>
        </w:rPr>
        <w:t>declar</w:t>
      </w:r>
      <w:r w:rsidRPr="00FD40CE">
        <w:rPr>
          <w:lang w:val="es-ES"/>
        </w:rPr>
        <w:t xml:space="preserve">atoria de </w:t>
      </w:r>
      <w:r w:rsidRPr="00FD40CE">
        <w:rPr>
          <w:lang w:val="es-ES"/>
        </w:rPr>
        <w:t xml:space="preserve">extinción del dominio. Por tanto, </w:t>
      </w:r>
      <w:r w:rsidRPr="00FD40CE">
        <w:rPr>
          <w:lang w:val="es-ES"/>
        </w:rPr>
        <w:t xml:space="preserve">a diferencia de las disposiciones que ahora se valoran, que nada tienen que ver con las destinaciones de dichos bienes, aquellos </w:t>
      </w:r>
      <w:r w:rsidRPr="00FD40CE">
        <w:rPr>
          <w:i/>
          <w:iCs/>
          <w:lang w:val="es-ES"/>
        </w:rPr>
        <w:t xml:space="preserve">prima facie </w:t>
      </w:r>
      <w:r w:rsidRPr="00FD40CE">
        <w:rPr>
          <w:lang w:val="es-ES"/>
        </w:rPr>
        <w:t xml:space="preserve">sí tienen una finalidad instrumental respecto de </w:t>
      </w:r>
      <w:r w:rsidRPr="00FD40CE">
        <w:t>los programas y proyectos del pl</w:t>
      </w:r>
      <w:r w:rsidRPr="00FD40CE">
        <w:t>an plurianual de inversiones</w:t>
      </w:r>
      <w:r w:rsidRPr="00FD40CE">
        <w:rPr>
          <w:lang w:val="es-ES"/>
        </w:rPr>
        <w:t>.</w:t>
      </w:r>
    </w:p>
  </w:footnote>
  <w:footnote w:id="109">
    <w:p w:rsidR="00EF616D" w:rsidRPr="00FD40CE" w:rsidRDefault="00152C0F" w:rsidP="00047F70">
      <w:pPr>
        <w:pStyle w:val="Textonotapie"/>
        <w:jc w:val="both"/>
      </w:pPr>
      <w:r w:rsidRPr="00FD40CE">
        <w:rPr>
          <w:rStyle w:val="Refdenotaalpie"/>
        </w:rPr>
        <w:footnoteRef/>
      </w:r>
      <w:r w:rsidRPr="00FD40CE">
        <w:t xml:space="preserve"> Cfr., al respecto, </w:t>
      </w:r>
      <w:r w:rsidRPr="00FD40CE">
        <w:t>la sentencia ya citada, C-398 de 2024</w:t>
      </w:r>
      <w:r w:rsidRPr="00FD40CE">
        <w:t xml:space="preserve">. </w:t>
      </w:r>
      <w:r w:rsidRPr="00FD40CE">
        <w:t xml:space="preserve">A pesar de que </w:t>
      </w:r>
      <w:r w:rsidRPr="00FD40CE">
        <w:t>la Corte no integró al estudio de constitucionalidad la norma habilitante que había autorizado al presidente de la República para expedir el Decreto Le</w:t>
      </w:r>
      <w:r w:rsidRPr="00FD40CE">
        <w:t>y 1961 de 2023, y que se encontraba contenida en el artículo 368 de la ley del plan nacional de desarrollo –Ley 2294 de 2023–,</w:t>
      </w:r>
      <w:r w:rsidRPr="00FD40CE">
        <w:t xml:space="preserve"> </w:t>
      </w:r>
      <w:r w:rsidRPr="00FD40CE">
        <w:t xml:space="preserve">sí precisó lo siguiente en relación con </w:t>
      </w:r>
      <w:r w:rsidRPr="00FD40CE">
        <w:t>esta</w:t>
      </w:r>
      <w:r w:rsidRPr="00FD40CE">
        <w:t xml:space="preserve">: </w:t>
      </w:r>
      <w:r w:rsidRPr="00FD40CE">
        <w:rPr>
          <w:bCs/>
          <w:bdr w:val="none" w:sz="0" w:space="0" w:color="auto" w:frame="1"/>
          <w:lang w:val="es-ES"/>
        </w:rPr>
        <w:t>“</w:t>
      </w:r>
      <w:r w:rsidRPr="00FD40CE">
        <w:rPr>
          <w:b/>
          <w:bdr w:val="none" w:sz="0" w:space="0" w:color="auto" w:frame="1"/>
          <w:lang w:val="es-ES"/>
        </w:rPr>
        <w:t>en principio</w:t>
      </w:r>
      <w:r w:rsidRPr="00FD40CE">
        <w:rPr>
          <w:bCs/>
          <w:bdr w:val="none" w:sz="0" w:space="0" w:color="auto" w:frame="1"/>
          <w:lang w:val="es-ES"/>
        </w:rPr>
        <w:t>, la incorporación en la Ley del Plan Nacional de Desarrollo de normas</w:t>
      </w:r>
      <w:r w:rsidRPr="00FD40CE">
        <w:rPr>
          <w:bCs/>
          <w:bdr w:val="none" w:sz="0" w:space="0" w:color="auto" w:frame="1"/>
          <w:lang w:val="es-ES"/>
        </w:rPr>
        <w:t xml:space="preserve"> que otorguen facultades extraordinarias al presidente de la República para expedir decretos con fuerza de ley podría ser inconstitucional por la violación del principio de unidad de materia</w:t>
      </w:r>
      <w:r w:rsidRPr="00FD40CE">
        <w:rPr>
          <w:bCs/>
          <w:bdr w:val="none" w:sz="0" w:space="0" w:color="auto" w:frame="1"/>
          <w:lang w:val="es-ES"/>
        </w:rPr>
        <w:t>” (énfasis del original).</w:t>
      </w:r>
    </w:p>
  </w:footnote>
  <w:footnote w:id="110">
    <w:p w:rsidR="00125806" w:rsidRPr="00FD40CE" w:rsidRDefault="00152C0F" w:rsidP="00047F70">
      <w:pPr>
        <w:pStyle w:val="Textonotapie"/>
        <w:jc w:val="both"/>
      </w:pPr>
      <w:r w:rsidRPr="00FD40CE">
        <w:rPr>
          <w:rStyle w:val="Refdenotaalpie"/>
        </w:rPr>
        <w:footnoteRef/>
      </w:r>
      <w:r w:rsidRPr="00FD40CE">
        <w:t xml:space="preserve"> Cfr., en este sentido, los conceptos de la Universidad Externado de Colombia, el Instituto Colombiano de Derecho Procesal y, especialmente, el de la Universidad Pontificia Bolivariana –Sede Medellín–.</w:t>
      </w:r>
    </w:p>
  </w:footnote>
  <w:footnote w:id="111">
    <w:p w:rsidR="00410E78" w:rsidRPr="00FD40CE" w:rsidRDefault="00152C0F" w:rsidP="00047F70">
      <w:pPr>
        <w:pStyle w:val="Textonotapie"/>
        <w:jc w:val="both"/>
      </w:pPr>
      <w:r w:rsidRPr="00FD40CE">
        <w:rPr>
          <w:rStyle w:val="Refdenotaalpie"/>
        </w:rPr>
        <w:footnoteRef/>
      </w:r>
      <w:r w:rsidRPr="00FD40CE">
        <w:t xml:space="preserve"> </w:t>
      </w:r>
      <w:r w:rsidRPr="00FD40CE">
        <w:t>E</w:t>
      </w:r>
      <w:r w:rsidRPr="00FD40CE">
        <w:t>n la sentencia antes citada, C-</w:t>
      </w:r>
      <w:r w:rsidRPr="00FD40CE">
        <w:t xml:space="preserve">398 de 2024, se </w:t>
      </w:r>
      <w:r w:rsidRPr="00FD40CE">
        <w:t>puso</w:t>
      </w:r>
      <w:r w:rsidRPr="00FD40CE">
        <w:t xml:space="preserve"> </w:t>
      </w:r>
      <w:r w:rsidRPr="00FD40CE">
        <w:t xml:space="preserve">de presente esta carencia de legitimidad democrática en las disposiciones que introducen modificaciones permanentes al ordenamiento jurídico en la ley del plan nacional de desarrollo: </w:t>
      </w:r>
      <w:r w:rsidRPr="00FD40CE">
        <w:t>“</w:t>
      </w:r>
      <w:r w:rsidRPr="00FD40CE">
        <w:rPr>
          <w:bCs/>
          <w:bdr w:val="none" w:sz="0" w:space="0" w:color="auto" w:frame="1"/>
          <w:lang w:val="es-ES"/>
        </w:rPr>
        <w:t xml:space="preserve">en el trámite legislativo de la Ley del Plan Nacional de Desarrollo, </w:t>
      </w:r>
      <w:r w:rsidRPr="00FD40CE">
        <w:t>‘</w:t>
      </w:r>
      <w:r w:rsidRPr="00FD40CE">
        <w:rPr>
          <w:shd w:val="clear" w:color="auto" w:fill="FFFFFF"/>
        </w:rPr>
        <w:t>el principio democrático se encuentra restringido [porque] la iniciativa es gubernamental, las posibilidades de modificación del proyecto por el Congreso se encuentran limitadas [y] el término para la aprobación del plan es reducido</w:t>
      </w:r>
      <w:r w:rsidRPr="00FD40CE">
        <w:rPr>
          <w:shd w:val="clear" w:color="auto" w:fill="FFFFFF"/>
        </w:rPr>
        <w:t>’</w:t>
      </w:r>
      <w:r w:rsidRPr="00FD40CE">
        <w:t>. Tal restricción impli</w:t>
      </w:r>
      <w:r w:rsidRPr="00FD40CE">
        <w:t>ca, en principio, la imposibilidad de incluir disposiciones en la</w:t>
      </w:r>
      <w:r w:rsidRPr="00FD40CE">
        <w:rPr>
          <w:bCs/>
          <w:bdr w:val="none" w:sz="0" w:space="0" w:color="auto" w:frame="1"/>
          <w:lang w:val="es-ES"/>
        </w:rPr>
        <w:t xml:space="preserve"> Ley del Plan Nacional de Desarrollo</w:t>
      </w:r>
      <w:r w:rsidRPr="00FD40CE">
        <w:t xml:space="preserve"> que afecten o limiten aún más el principio democrático. En las consideraciones de esta sentencia ya se dijo que </w:t>
      </w:r>
      <w:r w:rsidRPr="00FD40CE">
        <w:rPr>
          <w:bCs/>
          <w:lang w:eastAsia="es-ES"/>
        </w:rPr>
        <w:t>la atribución de facultades extraordinaria</w:t>
      </w:r>
      <w:r w:rsidRPr="00FD40CE">
        <w:rPr>
          <w:bCs/>
          <w:lang w:eastAsia="es-ES"/>
        </w:rPr>
        <w:t xml:space="preserve">s al presidente de la República para legislar </w:t>
      </w:r>
      <w:r w:rsidRPr="00FD40CE">
        <w:t>‘</w:t>
      </w:r>
      <w:r w:rsidRPr="00FD40CE">
        <w:rPr>
          <w:bCs/>
          <w:lang w:eastAsia="es-ES"/>
        </w:rPr>
        <w:t>altera el reparto ordinario de competencias normativas entre el Congreso y el Ejecutivo</w:t>
      </w:r>
      <w:r w:rsidRPr="00FD40CE">
        <w:rPr>
          <w:bCs/>
          <w:lang w:eastAsia="es-ES"/>
        </w:rPr>
        <w:t>’</w:t>
      </w:r>
      <w:r w:rsidRPr="00FD40CE">
        <w:rPr>
          <w:bCs/>
          <w:lang w:eastAsia="es-ES"/>
        </w:rPr>
        <w:t xml:space="preserve"> y, por tanto, restringe el principio democrático</w:t>
      </w:r>
      <w:r w:rsidRPr="00FD40CE">
        <w:rPr>
          <w:bCs/>
          <w:lang w:eastAsia="es-ES"/>
        </w:rPr>
        <w:t>”.</w:t>
      </w:r>
    </w:p>
  </w:footnote>
  <w:footnote w:id="112">
    <w:p w:rsidR="007C143F" w:rsidRPr="00FD40CE" w:rsidRDefault="00152C0F" w:rsidP="00047F70">
      <w:pPr>
        <w:pStyle w:val="Textonotapie"/>
        <w:jc w:val="both"/>
        <w:rPr>
          <w:lang w:val="es-ES"/>
        </w:rPr>
      </w:pPr>
      <w:r w:rsidRPr="00FD40CE">
        <w:rPr>
          <w:rStyle w:val="Refdenotaalpie"/>
        </w:rPr>
        <w:footnoteRef/>
      </w:r>
      <w:r w:rsidRPr="00FD40CE">
        <w:t xml:space="preserve"> </w:t>
      </w:r>
      <w:r w:rsidRPr="00FD40CE">
        <w:rPr>
          <w:lang w:val="es-ES"/>
        </w:rPr>
        <w:t>El citado artículo dispone: “Las sentencias que profiera la Corte C</w:t>
      </w:r>
      <w:r w:rsidRPr="00FD40CE">
        <w:rPr>
          <w:lang w:val="es-ES"/>
        </w:rPr>
        <w:t>onstitucional sobre los actos sujetos a su control en los términos del artículo 241 de la Constitución Política, tienen efectos hacia el futuro a menos que la Corte resuelva lo contrario”.</w:t>
      </w:r>
    </w:p>
  </w:footnote>
  <w:footnote w:id="113">
    <w:p w:rsidR="00461599" w:rsidRPr="00FD40CE" w:rsidRDefault="00152C0F" w:rsidP="00047F70">
      <w:pPr>
        <w:pStyle w:val="Textonotapie"/>
        <w:jc w:val="both"/>
      </w:pPr>
      <w:r w:rsidRPr="00FD40CE">
        <w:rPr>
          <w:rStyle w:val="Refdenotaalpie"/>
        </w:rPr>
        <w:footnoteRef/>
      </w:r>
      <w:r w:rsidRPr="00FD40CE">
        <w:t xml:space="preserve"> Sentencia C-293 de 2020</w:t>
      </w:r>
      <w:r w:rsidRPr="00FD40CE">
        <w:t>, reiterada en la Sentencia C-</w:t>
      </w:r>
      <w:r w:rsidRPr="00FD40CE">
        <w:t>439 de 2023</w:t>
      </w:r>
      <w:r w:rsidRPr="00FD40CE">
        <w:t>.</w:t>
      </w:r>
    </w:p>
  </w:footnote>
  <w:footnote w:id="114">
    <w:p w:rsidR="00302F87" w:rsidRPr="00FD40CE" w:rsidRDefault="00152C0F" w:rsidP="00047F70">
      <w:pPr>
        <w:pStyle w:val="Textonotapie"/>
        <w:jc w:val="both"/>
      </w:pPr>
      <w:r w:rsidRPr="00FD40CE">
        <w:rPr>
          <w:rStyle w:val="Refdenotaalpie"/>
        </w:rPr>
        <w:footnoteRef/>
      </w:r>
      <w:r w:rsidRPr="00FD40CE">
        <w:t xml:space="preserve"> Como lo ha indicado la Sala, l</w:t>
      </w:r>
      <w:r w:rsidRPr="00FD40CE">
        <w:rPr>
          <w:shd w:val="clear" w:color="auto" w:fill="FFFFFF"/>
        </w:rPr>
        <w:t>os efectos hacia el pasado exigen valorar “el grado de afectación de mantener la disposición inconstitucional en el ordenamiento, la cual no puede resultar particularmente lesiva de los valores superiores, y en especial, se</w:t>
      </w:r>
      <w:r w:rsidRPr="00FD40CE">
        <w:rPr>
          <w:shd w:val="clear" w:color="auto" w:fill="FFFFFF"/>
        </w:rPr>
        <w:t xml:space="preserve"> torna relevante la libertad de configuración que el Congreso tenga sobre la materia” (</w:t>
      </w:r>
      <w:r w:rsidRPr="00FD40CE">
        <w:t>Sentencia</w:t>
      </w:r>
      <w:r w:rsidRPr="00FD40CE">
        <w:t>s</w:t>
      </w:r>
      <w:r w:rsidRPr="00FD40CE">
        <w:t xml:space="preserve"> C-049 de 2022</w:t>
      </w:r>
      <w:r w:rsidRPr="00FD40CE">
        <w:t xml:space="preserve"> y C-439 de 2023</w:t>
      </w:r>
      <w:r w:rsidRPr="00FD40CE">
        <w:t>, que reitera</w:t>
      </w:r>
      <w:r w:rsidRPr="00FD40CE">
        <w:t>n</w:t>
      </w:r>
      <w:r w:rsidRPr="00FD40CE">
        <w:t xml:space="preserve"> lo indicado en la S</w:t>
      </w:r>
      <w:r w:rsidRPr="00FD40CE">
        <w:rPr>
          <w:shd w:val="clear" w:color="auto" w:fill="FFFFFF"/>
        </w:rPr>
        <w:t>entencia C-030 de 2019).</w:t>
      </w:r>
    </w:p>
  </w:footnote>
  <w:footnote w:id="115">
    <w:p w:rsidR="00A63D76" w:rsidRPr="0017698E" w:rsidRDefault="00152C0F" w:rsidP="00047F70">
      <w:pPr>
        <w:pStyle w:val="Textonotapie"/>
        <w:jc w:val="both"/>
        <w:rPr>
          <w:lang w:val="es-ES"/>
        </w:rPr>
      </w:pPr>
      <w:r w:rsidRPr="00FD40CE">
        <w:rPr>
          <w:rStyle w:val="Refdenotaalpie"/>
        </w:rPr>
        <w:footnoteRef/>
      </w:r>
      <w:r w:rsidRPr="00FD40CE">
        <w:t xml:space="preserve"> </w:t>
      </w:r>
      <w:r w:rsidRPr="00FD40CE">
        <w:rPr>
          <w:lang w:val="es-ES"/>
        </w:rPr>
        <w:t>Sentencia C-</w:t>
      </w:r>
      <w:r w:rsidRPr="00FD40CE">
        <w:rPr>
          <w:lang w:val="es-ES"/>
        </w:rPr>
        <w:t xml:space="preserve">112 de 2000, </w:t>
      </w:r>
      <w:r w:rsidRPr="00FD40CE">
        <w:rPr>
          <w:lang w:val="es-ES"/>
        </w:rPr>
        <w:t xml:space="preserve">que se fundamentó </w:t>
      </w:r>
      <w:r w:rsidRPr="00FD40CE">
        <w:rPr>
          <w:lang w:val="es-ES"/>
        </w:rPr>
        <w:t xml:space="preserve">en lo indicado en las </w:t>
      </w:r>
      <w:r w:rsidRPr="00FD40CE">
        <w:rPr>
          <w:lang w:val="es-ES"/>
        </w:rPr>
        <w:t>sentencias C-221 de 1997 y C-</w:t>
      </w:r>
      <w:r w:rsidRPr="00FD40CE">
        <w:rPr>
          <w:lang w:val="es-ES"/>
        </w:rPr>
        <w:t xml:space="preserve">700 de 1999. Esta postura se ha reiterado de manera reciente, entre </w:t>
      </w:r>
      <w:r w:rsidRPr="00FD40CE">
        <w:rPr>
          <w:lang w:val="es-ES"/>
        </w:rPr>
        <w:t>muchas otras</w:t>
      </w:r>
      <w:r w:rsidRPr="00FD40CE">
        <w:rPr>
          <w:lang w:val="es-ES"/>
        </w:rPr>
        <w:t>,</w:t>
      </w:r>
      <w:r w:rsidRPr="00FD40CE">
        <w:rPr>
          <w:lang w:val="es-ES"/>
        </w:rPr>
        <w:t xml:space="preserve"> en las sentencias </w:t>
      </w:r>
      <w:r w:rsidRPr="00FD40CE">
        <w:rPr>
          <w:lang w:val="es-ES"/>
        </w:rPr>
        <w:t>C-</w:t>
      </w:r>
      <w:r w:rsidRPr="00FD40CE">
        <w:rPr>
          <w:lang w:val="es-ES"/>
        </w:rPr>
        <w:t xml:space="preserve">161 de 2024, </w:t>
      </w:r>
      <w:r w:rsidRPr="00FD40CE">
        <w:rPr>
          <w:lang w:val="es-ES"/>
        </w:rPr>
        <w:t>C-505 de 2023</w:t>
      </w:r>
      <w:r w:rsidRPr="00FD40CE">
        <w:rPr>
          <w:lang w:val="es-ES"/>
        </w:rPr>
        <w:t xml:space="preserve"> y</w:t>
      </w:r>
      <w:r w:rsidRPr="00FD40CE">
        <w:rPr>
          <w:lang w:val="es-ES"/>
        </w:rPr>
        <w:t xml:space="preserve"> </w:t>
      </w:r>
      <w:r w:rsidRPr="00FD40CE">
        <w:rPr>
          <w:lang w:val="es-ES"/>
        </w:rPr>
        <w:t>C-101 de 2022</w:t>
      </w:r>
      <w:r w:rsidRPr="00FD40CE">
        <w:rPr>
          <w:lang w:val="es-ES"/>
        </w:rPr>
        <w:t>.</w:t>
      </w:r>
      <w:r w:rsidRPr="0017698E">
        <w:rPr>
          <w:lang w:val="es-E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44A0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A27DCB"/>
    <w:multiLevelType w:val="hybridMultilevel"/>
    <w:tmpl w:val="738E6B9C"/>
    <w:lvl w:ilvl="0" w:tplc="FDA4112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D6A05A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B65755"/>
    <w:multiLevelType w:val="hybridMultilevel"/>
    <w:tmpl w:val="CBAADA60"/>
    <w:lvl w:ilvl="0" w:tplc="25548EC2">
      <w:start w:val="1"/>
      <w:numFmt w:val="decimal"/>
      <w:lvlText w:val="%1."/>
      <w:lvlJc w:val="left"/>
      <w:pPr>
        <w:ind w:left="720" w:hanging="360"/>
      </w:pPr>
      <w:rPr>
        <w:b w:val="0"/>
        <w:i w:val="0"/>
        <w:sz w:val="28"/>
        <w:szCs w:val="2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9E34F4C"/>
    <w:multiLevelType w:val="hybridMultilevel"/>
    <w:tmpl w:val="79FE8642"/>
    <w:lvl w:ilvl="0" w:tplc="A0E63C42">
      <w:start w:val="1"/>
      <w:numFmt w:val="decimal"/>
      <w:lvlText w:val="%1."/>
      <w:lvlJc w:val="left"/>
      <w:pPr>
        <w:ind w:left="1637" w:hanging="360"/>
      </w:pPr>
      <w:rPr>
        <w:rFonts w:hint="default"/>
        <w:b w:val="0"/>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230A"/>
    <w:rsid w:val="00152C0F"/>
    <w:rsid w:val="0019230A"/>
    <w:rsid w:val="00F97B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84D77945-78B4-466A-8ED9-D482E701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rsid w:val="0080756E"/>
    <w:pPr>
      <w:keepNext/>
      <w:spacing w:before="240" w:after="60"/>
      <w:outlineLvl w:val="0"/>
    </w:pPr>
    <w:rPr>
      <w:rFonts w:ascii="Cambria" w:eastAsia="Cambria" w:hAnsi="Cambria" w:cs="Cambria"/>
      <w:b/>
      <w:sz w:val="32"/>
      <w:szCs w:val="32"/>
    </w:rPr>
  </w:style>
  <w:style w:type="paragraph" w:styleId="Ttulo2">
    <w:name w:val="heading 2"/>
    <w:basedOn w:val="Normal"/>
    <w:next w:val="Normal"/>
    <w:link w:val="Ttulo2Car"/>
    <w:uiPriority w:val="9"/>
    <w:unhideWhenUsed/>
    <w:qFormat/>
    <w:rsid w:val="00EA6FB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EA6FB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494CFE"/>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EA6FB3"/>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EA6FB3"/>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756E"/>
    <w:rPr>
      <w:rFonts w:ascii="Cambria" w:eastAsia="Cambria" w:hAnsi="Cambria" w:cs="Cambria"/>
      <w:b/>
      <w:color w:val="000000"/>
      <w:sz w:val="32"/>
      <w:szCs w:val="32"/>
      <w:lang w:val="es-CO" w:eastAsia="es-CO"/>
    </w:rPr>
  </w:style>
  <w:style w:type="paragraph" w:styleId="Piedepgina">
    <w:name w:val="footer"/>
    <w:basedOn w:val="Normal"/>
    <w:link w:val="PiedepginaCar"/>
    <w:uiPriority w:val="99"/>
    <w:unhideWhenUsed/>
    <w:rsid w:val="0080756E"/>
    <w:pPr>
      <w:tabs>
        <w:tab w:val="center" w:pos="4419"/>
        <w:tab w:val="right" w:pos="8838"/>
      </w:tabs>
    </w:pPr>
  </w:style>
  <w:style w:type="character" w:customStyle="1" w:styleId="PiedepginaCar">
    <w:name w:val="Pie de página Car"/>
    <w:basedOn w:val="Fuentedeprrafopredeter"/>
    <w:link w:val="Piedepgina"/>
    <w:uiPriority w:val="99"/>
    <w:rsid w:val="0080756E"/>
    <w:rPr>
      <w:rFonts w:ascii="Times New Roman" w:eastAsia="Times New Roman" w:hAnsi="Times New Roman" w:cs="Times New Roman"/>
      <w:color w:val="000000"/>
      <w:sz w:val="20"/>
      <w:szCs w:val="20"/>
      <w:lang w:val="es-CO" w:eastAsia="es-CO"/>
    </w:rPr>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
    <w:basedOn w:val="Normal"/>
    <w:link w:val="PrrafodelistaCar"/>
    <w:uiPriority w:val="34"/>
    <w:qFormat/>
    <w:rsid w:val="0080756E"/>
    <w:pPr>
      <w:ind w:left="720"/>
      <w:contextualSpacing/>
    </w:p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e,Texto nota pie Ca"/>
    <w:basedOn w:val="Normal"/>
    <w:link w:val="TextonotapieCar"/>
    <w:uiPriority w:val="99"/>
    <w:unhideWhenUsed/>
    <w:qFormat/>
    <w:rsid w:val="0080756E"/>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80756E"/>
    <w:rPr>
      <w:rFonts w:ascii="Times New Roman" w:eastAsia="Times New Roman" w:hAnsi="Times New Roman" w:cs="Times New Roman"/>
      <w:color w:val="000000"/>
      <w:sz w:val="20"/>
      <w:szCs w:val="20"/>
      <w:lang w:val="es-CO" w:eastAsia="es-CO"/>
    </w:rPr>
  </w:style>
  <w:style w:type="character" w:styleId="Refdenotaalpie">
    <w:name w:val="footnote reference"/>
    <w:aliases w:val="Texto de nota al pie,Footnotes refss,Appel note de bas de page,Footnote number,referencia nota al pie,BVI fnr,f,4_G,16 Point,Superscript 6 Point,Ref. de nota al pie 2,Texto nota al pie,Footnote Reference Char3,Texto nota pie Car2,FC"/>
    <w:basedOn w:val="Fuentedeprrafopredeter"/>
    <w:link w:val="4GChar"/>
    <w:uiPriority w:val="99"/>
    <w:unhideWhenUsed/>
    <w:qFormat/>
    <w:rsid w:val="0080756E"/>
    <w:rPr>
      <w:vertAlign w:val="superscript"/>
    </w:rPr>
  </w:style>
  <w:style w:type="character" w:styleId="Refdecomentario">
    <w:name w:val="annotation reference"/>
    <w:basedOn w:val="Fuentedeprrafopredeter"/>
    <w:uiPriority w:val="99"/>
    <w:unhideWhenUsed/>
    <w:qFormat/>
    <w:rsid w:val="0080756E"/>
    <w:rPr>
      <w:sz w:val="16"/>
      <w:szCs w:val="16"/>
    </w:rPr>
  </w:style>
  <w:style w:type="paragraph" w:styleId="Textocomentario">
    <w:name w:val="annotation text"/>
    <w:basedOn w:val="Normal"/>
    <w:link w:val="TextocomentarioCar"/>
    <w:uiPriority w:val="99"/>
    <w:unhideWhenUsed/>
    <w:rsid w:val="0080756E"/>
  </w:style>
  <w:style w:type="character" w:customStyle="1" w:styleId="TextocomentarioCar">
    <w:name w:val="Texto comentario Car"/>
    <w:basedOn w:val="Fuentedeprrafopredeter"/>
    <w:link w:val="Textocomentario"/>
    <w:uiPriority w:val="99"/>
    <w:rsid w:val="0080756E"/>
    <w:rPr>
      <w:rFonts w:ascii="Times New Roman" w:eastAsia="Times New Roman" w:hAnsi="Times New Roman" w:cs="Times New Roman"/>
      <w:color w:val="000000"/>
      <w:sz w:val="20"/>
      <w:szCs w:val="20"/>
      <w:lang w:val="es-CO" w:eastAsia="es-CO"/>
    </w:rPr>
  </w:style>
  <w:style w:type="table" w:styleId="Tablaconcuadrcula">
    <w:name w:val="Table Grid"/>
    <w:basedOn w:val="Tablanormal"/>
    <w:uiPriority w:val="39"/>
    <w:rsid w:val="0080756E"/>
    <w:pPr>
      <w:widowControl w:val="0"/>
      <w:spacing w:after="0" w:line="240" w:lineRule="auto"/>
    </w:pPr>
    <w:rPr>
      <w:rFonts w:ascii="Times New Roman" w:eastAsia="Times New Roman" w:hAnsi="Times New Roman" w:cs="Times New Roman"/>
      <w:color w:val="00000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80756E"/>
    <w:pPr>
      <w:spacing w:after="200" w:line="276" w:lineRule="auto"/>
      <w:ind w:left="283" w:hanging="283"/>
      <w:contextualSpacing/>
    </w:pPr>
    <w:rPr>
      <w:rFonts w:eastAsia="Calibri"/>
      <w:sz w:val="28"/>
      <w:lang w:eastAsia="en-U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80756E"/>
    <w:pPr>
      <w:pBdr>
        <w:top w:val="nil"/>
        <w:left w:val="nil"/>
        <w:bottom w:val="nil"/>
        <w:right w:val="nil"/>
        <w:between w:val="nil"/>
      </w:pBdr>
      <w:contextualSpacing/>
      <w:jc w:val="both"/>
    </w:pPr>
    <w:rPr>
      <w:rFonts w:eastAsiaTheme="minorHAnsi"/>
      <w:vertAlign w:val="superscript"/>
      <w:lang w:val="es-ES" w:eastAsia="en-US"/>
    </w:rPr>
  </w:style>
  <w:style w:type="paragraph" w:customStyle="1" w:styleId="MediumShading1-Accent11">
    <w:name w:val="Medium Shading 1 - Accent 11"/>
    <w:uiPriority w:val="1"/>
    <w:qFormat/>
    <w:rsid w:val="0080756E"/>
    <w:pPr>
      <w:widowControl w:val="0"/>
      <w:pBdr>
        <w:top w:val="nil"/>
        <w:left w:val="nil"/>
        <w:bottom w:val="nil"/>
        <w:right w:val="nil"/>
        <w:between w:val="nil"/>
      </w:pBdr>
      <w:spacing w:after="0" w:line="240" w:lineRule="auto"/>
    </w:pPr>
    <w:rPr>
      <w:rFonts w:ascii="Calibri" w:eastAsia="Calibri" w:hAnsi="Calibri" w:cs="Calibri"/>
      <w:color w:val="000000"/>
      <w:lang w:eastAsia="es-ES"/>
    </w:rPr>
  </w:style>
  <w:style w:type="paragraph" w:customStyle="1" w:styleId="section1">
    <w:name w:val="section1"/>
    <w:basedOn w:val="Normal"/>
    <w:rsid w:val="0080756E"/>
    <w:pPr>
      <w:spacing w:before="100" w:beforeAutospacing="1" w:after="100" w:afterAutospacing="1"/>
    </w:pPr>
    <w:rPr>
      <w:sz w:val="24"/>
      <w:szCs w:val="24"/>
      <w:lang w:val="es-ES" w:eastAsia="es-ES"/>
    </w:rPr>
  </w:style>
  <w:style w:type="character" w:customStyle="1" w:styleId="baj">
    <w:name w:val="b_aj"/>
    <w:basedOn w:val="Fuentedeprrafopredeter"/>
    <w:rsid w:val="0080756E"/>
  </w:style>
  <w:style w:type="paragraph" w:styleId="Textoindependiente">
    <w:name w:val="Body Text"/>
    <w:basedOn w:val="Normal"/>
    <w:link w:val="TextoindependienteCar"/>
    <w:uiPriority w:val="99"/>
    <w:rsid w:val="0080756E"/>
    <w:pPr>
      <w:autoSpaceDE w:val="0"/>
      <w:autoSpaceDN w:val="0"/>
      <w:jc w:val="both"/>
    </w:pPr>
    <w:rPr>
      <w:sz w:val="28"/>
      <w:szCs w:val="28"/>
      <w:lang w:val="es-ES" w:eastAsia="es-ES"/>
    </w:rPr>
  </w:style>
  <w:style w:type="character" w:customStyle="1" w:styleId="TextoindependienteCar">
    <w:name w:val="Texto independiente Car"/>
    <w:basedOn w:val="Fuentedeprrafopredeter"/>
    <w:link w:val="Textoindependiente"/>
    <w:uiPriority w:val="99"/>
    <w:rsid w:val="0080756E"/>
    <w:rPr>
      <w:rFonts w:ascii="Times New Roman" w:eastAsia="Times New Roman" w:hAnsi="Times New Roman" w:cs="Times New Roman"/>
      <w:sz w:val="28"/>
      <w:szCs w:val="28"/>
      <w:lang w:eastAsia="es-ES"/>
    </w:rPr>
  </w:style>
  <w:style w:type="paragraph" w:styleId="Asuntodelcomentario">
    <w:name w:val="annotation subject"/>
    <w:basedOn w:val="Textocomentario"/>
    <w:next w:val="Textocomentario"/>
    <w:link w:val="AsuntodelcomentarioCar"/>
    <w:uiPriority w:val="99"/>
    <w:semiHidden/>
    <w:unhideWhenUsed/>
    <w:rsid w:val="00D001F5"/>
    <w:rPr>
      <w:b/>
      <w:bCs/>
    </w:rPr>
  </w:style>
  <w:style w:type="character" w:customStyle="1" w:styleId="AsuntodelcomentarioCar">
    <w:name w:val="Asunto del comentario Car"/>
    <w:basedOn w:val="TextocomentarioCar"/>
    <w:link w:val="Asuntodelcomentario"/>
    <w:uiPriority w:val="99"/>
    <w:semiHidden/>
    <w:rsid w:val="00D001F5"/>
    <w:rPr>
      <w:rFonts w:ascii="Times New Roman" w:eastAsia="Times New Roman" w:hAnsi="Times New Roman" w:cs="Times New Roman"/>
      <w:b/>
      <w:bCs/>
      <w:color w:val="000000"/>
      <w:sz w:val="20"/>
      <w:szCs w:val="20"/>
      <w:lang w:val="es-CO" w:eastAsia="es-CO"/>
    </w:rPr>
  </w:style>
  <w:style w:type="paragraph" w:styleId="Encabezado">
    <w:name w:val="header"/>
    <w:basedOn w:val="Normal"/>
    <w:link w:val="EncabezadoCar"/>
    <w:uiPriority w:val="99"/>
    <w:unhideWhenUsed/>
    <w:rsid w:val="00B12037"/>
    <w:pPr>
      <w:tabs>
        <w:tab w:val="center" w:pos="4252"/>
        <w:tab w:val="right" w:pos="8504"/>
      </w:tabs>
    </w:pPr>
  </w:style>
  <w:style w:type="character" w:customStyle="1" w:styleId="EncabezadoCar">
    <w:name w:val="Encabezado Car"/>
    <w:basedOn w:val="Fuentedeprrafopredeter"/>
    <w:link w:val="Encabezado"/>
    <w:uiPriority w:val="99"/>
    <w:rsid w:val="00B12037"/>
    <w:rPr>
      <w:rFonts w:ascii="Times New Roman" w:eastAsia="Times New Roman" w:hAnsi="Times New Roman" w:cs="Times New Roman"/>
      <w:color w:val="000000"/>
      <w:sz w:val="20"/>
      <w:szCs w:val="20"/>
      <w:lang w:val="es-CO" w:eastAsia="es-CO"/>
    </w:rPr>
  </w:style>
  <w:style w:type="paragraph" w:customStyle="1" w:styleId="Estilo1">
    <w:name w:val="Estilo1"/>
    <w:basedOn w:val="Normal"/>
    <w:link w:val="Estilo1Car"/>
    <w:qFormat/>
    <w:rsid w:val="00B12037"/>
    <w:pPr>
      <w:ind w:left="360" w:hanging="360"/>
      <w:jc w:val="both"/>
    </w:pPr>
    <w:rPr>
      <w:sz w:val="28"/>
      <w:szCs w:val="28"/>
    </w:r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qFormat/>
    <w:locked/>
    <w:rsid w:val="00B12037"/>
    <w:rPr>
      <w:rFonts w:ascii="Times New Roman" w:eastAsia="Times New Roman" w:hAnsi="Times New Roman" w:cs="Times New Roman"/>
      <w:color w:val="000000"/>
      <w:sz w:val="20"/>
      <w:szCs w:val="20"/>
      <w:lang w:val="es-CO" w:eastAsia="es-CO"/>
    </w:rPr>
  </w:style>
  <w:style w:type="character" w:customStyle="1" w:styleId="Estilo1Car">
    <w:name w:val="Estilo1 Car"/>
    <w:basedOn w:val="Fuentedeprrafopredeter"/>
    <w:link w:val="Estilo1"/>
    <w:rsid w:val="00B12037"/>
    <w:rPr>
      <w:rFonts w:ascii="Times New Roman" w:eastAsia="Times New Roman" w:hAnsi="Times New Roman" w:cs="Times New Roman"/>
      <w:sz w:val="28"/>
      <w:szCs w:val="28"/>
      <w:lang w:val="es-CO" w:eastAsia="es-CO"/>
    </w:rPr>
  </w:style>
  <w:style w:type="paragraph" w:styleId="Sinespaciado">
    <w:name w:val="No Spacing"/>
    <w:aliases w:val="CAPITULO I"/>
    <w:link w:val="SinespaciadoCar"/>
    <w:uiPriority w:val="1"/>
    <w:qFormat/>
    <w:rsid w:val="00B042CF"/>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3E1F19"/>
    <w:rPr>
      <w:color w:val="0563C1" w:themeColor="hyperlink"/>
      <w:u w:val="single"/>
    </w:rPr>
  </w:style>
  <w:style w:type="character" w:customStyle="1" w:styleId="UnresolvedMention">
    <w:name w:val="Unresolved Mention"/>
    <w:basedOn w:val="Fuentedeprrafopredeter"/>
    <w:uiPriority w:val="99"/>
    <w:semiHidden/>
    <w:unhideWhenUsed/>
    <w:rsid w:val="003E1F19"/>
    <w:rPr>
      <w:color w:val="605E5C"/>
      <w:shd w:val="clear" w:color="auto" w:fill="E1DFDD"/>
    </w:rPr>
  </w:style>
  <w:style w:type="paragraph" w:customStyle="1" w:styleId="Piedepagina">
    <w:name w:val="Pie de pagina"/>
    <w:aliases w:val="Ref. de nota al pie2"/>
    <w:basedOn w:val="Normal"/>
    <w:uiPriority w:val="99"/>
    <w:qFormat/>
    <w:rsid w:val="00B15466"/>
    <w:pPr>
      <w:spacing w:line="240" w:lineRule="exact"/>
    </w:pPr>
    <w:rPr>
      <w:rFonts w:eastAsiaTheme="minorHAnsi"/>
      <w:vertAlign w:val="superscript"/>
      <w:lang w:val="es-MX" w:eastAsia="en-US"/>
    </w:rPr>
  </w:style>
  <w:style w:type="paragraph" w:styleId="NormalWeb">
    <w:name w:val="Normal (Web)"/>
    <w:basedOn w:val="Normal"/>
    <w:uiPriority w:val="99"/>
    <w:unhideWhenUsed/>
    <w:rsid w:val="00E701BB"/>
    <w:rPr>
      <w:sz w:val="24"/>
      <w:szCs w:val="24"/>
    </w:rPr>
  </w:style>
  <w:style w:type="character" w:customStyle="1" w:styleId="cf01">
    <w:name w:val="cf01"/>
    <w:basedOn w:val="Fuentedeprrafopredeter"/>
    <w:rsid w:val="002A76F2"/>
    <w:rPr>
      <w:rFonts w:ascii="Segoe UI" w:hAnsi="Segoe UI" w:cs="Segoe UI" w:hint="default"/>
      <w:sz w:val="18"/>
      <w:szCs w:val="18"/>
    </w:rPr>
  </w:style>
  <w:style w:type="paragraph" w:styleId="Textodeglobo">
    <w:name w:val="Balloon Text"/>
    <w:basedOn w:val="Normal"/>
    <w:link w:val="TextodegloboCar"/>
    <w:uiPriority w:val="99"/>
    <w:semiHidden/>
    <w:unhideWhenUsed/>
    <w:rsid w:val="001D7E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D7E70"/>
    <w:rPr>
      <w:rFonts w:ascii="Segoe UI" w:eastAsia="Times New Roman" w:hAnsi="Segoe UI" w:cs="Segoe UI"/>
      <w:color w:val="000000"/>
      <w:sz w:val="18"/>
      <w:szCs w:val="18"/>
      <w:lang w:val="es-CO" w:eastAsia="es-CO"/>
    </w:rPr>
  </w:style>
  <w:style w:type="character" w:customStyle="1" w:styleId="Ttulo4Car">
    <w:name w:val="Título 4 Car"/>
    <w:basedOn w:val="Fuentedeprrafopredeter"/>
    <w:link w:val="Ttulo4"/>
    <w:uiPriority w:val="9"/>
    <w:rsid w:val="00494CFE"/>
    <w:rPr>
      <w:rFonts w:asciiTheme="majorHAnsi" w:eastAsiaTheme="majorEastAsia" w:hAnsiTheme="majorHAnsi" w:cstheme="majorBidi"/>
      <w:i/>
      <w:iCs/>
      <w:color w:val="2E74B5" w:themeColor="accent1" w:themeShade="BF"/>
      <w:sz w:val="20"/>
      <w:szCs w:val="20"/>
      <w:lang w:val="es-CO" w:eastAsia="es-CO"/>
    </w:rPr>
  </w:style>
  <w:style w:type="character" w:customStyle="1" w:styleId="Ttulo2Car">
    <w:name w:val="Título 2 Car"/>
    <w:basedOn w:val="Fuentedeprrafopredeter"/>
    <w:link w:val="Ttulo2"/>
    <w:uiPriority w:val="9"/>
    <w:rsid w:val="00EA6FB3"/>
    <w:rPr>
      <w:rFonts w:asciiTheme="majorHAnsi" w:eastAsiaTheme="majorEastAsia" w:hAnsiTheme="majorHAnsi" w:cstheme="majorBidi"/>
      <w:color w:val="2E74B5" w:themeColor="accent1" w:themeShade="BF"/>
      <w:sz w:val="26"/>
      <w:szCs w:val="26"/>
      <w:lang w:val="es-CO" w:eastAsia="es-CO"/>
    </w:rPr>
  </w:style>
  <w:style w:type="character" w:customStyle="1" w:styleId="Ttulo3Car">
    <w:name w:val="Título 3 Car"/>
    <w:basedOn w:val="Fuentedeprrafopredeter"/>
    <w:link w:val="Ttulo3"/>
    <w:uiPriority w:val="9"/>
    <w:rsid w:val="00EA6FB3"/>
    <w:rPr>
      <w:rFonts w:asciiTheme="majorHAnsi" w:eastAsiaTheme="majorEastAsia" w:hAnsiTheme="majorHAnsi" w:cstheme="majorBidi"/>
      <w:color w:val="1F4D78" w:themeColor="accent1" w:themeShade="7F"/>
      <w:sz w:val="24"/>
      <w:szCs w:val="24"/>
      <w:lang w:val="es-CO" w:eastAsia="es-CO"/>
    </w:rPr>
  </w:style>
  <w:style w:type="character" w:customStyle="1" w:styleId="Ttulo5Car">
    <w:name w:val="Título 5 Car"/>
    <w:basedOn w:val="Fuentedeprrafopredeter"/>
    <w:link w:val="Ttulo5"/>
    <w:uiPriority w:val="9"/>
    <w:rsid w:val="00EA6FB3"/>
    <w:rPr>
      <w:rFonts w:asciiTheme="majorHAnsi" w:eastAsiaTheme="majorEastAsia" w:hAnsiTheme="majorHAnsi" w:cstheme="majorBidi"/>
      <w:color w:val="2E74B5" w:themeColor="accent1" w:themeShade="BF"/>
      <w:sz w:val="20"/>
      <w:szCs w:val="20"/>
      <w:lang w:val="es-CO" w:eastAsia="es-CO"/>
    </w:rPr>
  </w:style>
  <w:style w:type="character" w:customStyle="1" w:styleId="Ttulo6Car">
    <w:name w:val="Título 6 Car"/>
    <w:basedOn w:val="Fuentedeprrafopredeter"/>
    <w:link w:val="Ttulo6"/>
    <w:uiPriority w:val="9"/>
    <w:rsid w:val="00EA6FB3"/>
    <w:rPr>
      <w:rFonts w:asciiTheme="majorHAnsi" w:eastAsiaTheme="majorEastAsia" w:hAnsiTheme="majorHAnsi" w:cstheme="majorBidi"/>
      <w:color w:val="1F4D78" w:themeColor="accent1" w:themeShade="7F"/>
      <w:sz w:val="20"/>
      <w:szCs w:val="20"/>
      <w:lang w:val="es-CO" w:eastAsia="es-CO"/>
    </w:rPr>
  </w:style>
  <w:style w:type="paragraph" w:styleId="Lista2">
    <w:name w:val="List 2"/>
    <w:basedOn w:val="Normal"/>
    <w:uiPriority w:val="99"/>
    <w:unhideWhenUsed/>
    <w:rsid w:val="00EA6FB3"/>
    <w:pPr>
      <w:ind w:left="566" w:hanging="283"/>
      <w:contextualSpacing/>
    </w:pPr>
  </w:style>
  <w:style w:type="paragraph" w:styleId="Lista3">
    <w:name w:val="List 3"/>
    <w:basedOn w:val="Normal"/>
    <w:uiPriority w:val="99"/>
    <w:unhideWhenUsed/>
    <w:rsid w:val="00EA6FB3"/>
    <w:pPr>
      <w:ind w:left="849" w:hanging="283"/>
      <w:contextualSpacing/>
    </w:pPr>
  </w:style>
  <w:style w:type="paragraph" w:styleId="Encabezadodemensaje">
    <w:name w:val="Message Header"/>
    <w:basedOn w:val="Normal"/>
    <w:link w:val="EncabezadodemensajeCar"/>
    <w:uiPriority w:val="99"/>
    <w:unhideWhenUsed/>
    <w:rsid w:val="00EA6F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A6FB3"/>
    <w:rPr>
      <w:rFonts w:asciiTheme="majorHAnsi" w:eastAsiaTheme="majorEastAsia" w:hAnsiTheme="majorHAnsi" w:cstheme="majorBidi"/>
      <w:color w:val="000000"/>
      <w:sz w:val="24"/>
      <w:szCs w:val="24"/>
      <w:shd w:val="pct20" w:color="auto" w:fill="auto"/>
      <w:lang w:val="es-CO" w:eastAsia="es-CO"/>
    </w:rPr>
  </w:style>
  <w:style w:type="paragraph" w:styleId="Sangradetextonormal">
    <w:name w:val="Body Text Indent"/>
    <w:basedOn w:val="Normal"/>
    <w:link w:val="SangradetextonormalCar"/>
    <w:uiPriority w:val="99"/>
    <w:semiHidden/>
    <w:unhideWhenUsed/>
    <w:rsid w:val="00EA6FB3"/>
    <w:pPr>
      <w:spacing w:after="120"/>
      <w:ind w:left="283"/>
    </w:pPr>
  </w:style>
  <w:style w:type="character" w:customStyle="1" w:styleId="SangradetextonormalCar">
    <w:name w:val="Sangría de texto normal Car"/>
    <w:basedOn w:val="Fuentedeprrafopredeter"/>
    <w:link w:val="Sangradetextonormal"/>
    <w:uiPriority w:val="99"/>
    <w:semiHidden/>
    <w:rsid w:val="00EA6FB3"/>
    <w:rPr>
      <w:rFonts w:ascii="Times New Roman" w:eastAsia="Times New Roman" w:hAnsi="Times New Roman" w:cs="Times New Roman"/>
      <w:color w:val="000000"/>
      <w:sz w:val="20"/>
      <w:szCs w:val="20"/>
      <w:lang w:val="es-CO" w:eastAsia="es-CO"/>
    </w:rPr>
  </w:style>
  <w:style w:type="paragraph" w:styleId="Textoindependienteprimerasangra2">
    <w:name w:val="Body Text First Indent 2"/>
    <w:basedOn w:val="Sangradetextonormal"/>
    <w:link w:val="Textoindependienteprimerasangra2Car"/>
    <w:uiPriority w:val="99"/>
    <w:unhideWhenUsed/>
    <w:rsid w:val="00EA6FB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A6FB3"/>
    <w:rPr>
      <w:rFonts w:ascii="Times New Roman" w:eastAsia="Times New Roman" w:hAnsi="Times New Roman" w:cs="Times New Roman"/>
      <w:color w:val="000000"/>
      <w:sz w:val="20"/>
      <w:szCs w:val="20"/>
      <w:lang w:val="es-CO" w:eastAsia="es-CO"/>
    </w:rPr>
  </w:style>
  <w:style w:type="paragraph" w:customStyle="1" w:styleId="pf0">
    <w:name w:val="pf0"/>
    <w:basedOn w:val="Normal"/>
    <w:rsid w:val="00C3556A"/>
    <w:pPr>
      <w:spacing w:before="100" w:beforeAutospacing="1" w:after="100" w:afterAutospacing="1"/>
    </w:pPr>
    <w:rPr>
      <w:sz w:val="24"/>
      <w:szCs w:val="24"/>
      <w:lang w:val="es-ES" w:eastAsia="es-ES"/>
    </w:rPr>
  </w:style>
  <w:style w:type="character" w:customStyle="1" w:styleId="cf11">
    <w:name w:val="cf11"/>
    <w:basedOn w:val="Fuentedeprrafopredeter"/>
    <w:rsid w:val="00C3556A"/>
    <w:rPr>
      <w:rFonts w:ascii="Segoe UI" w:hAnsi="Segoe UI" w:cs="Segoe UI" w:hint="default"/>
      <w:b/>
      <w:bCs/>
      <w:sz w:val="18"/>
      <w:szCs w:val="18"/>
    </w:rPr>
  </w:style>
  <w:style w:type="paragraph" w:styleId="Revisin">
    <w:name w:val="Revision"/>
    <w:hidden/>
    <w:uiPriority w:val="99"/>
    <w:semiHidden/>
    <w:rsid w:val="00E43D92"/>
    <w:pPr>
      <w:spacing w:after="0" w:line="240" w:lineRule="auto"/>
    </w:pPr>
    <w:rPr>
      <w:rFonts w:ascii="Times New Roman" w:eastAsia="Times New Roman" w:hAnsi="Times New Roman" w:cs="Times New Roman"/>
      <w:color w:val="000000"/>
      <w:sz w:val="20"/>
      <w:szCs w:val="20"/>
    </w:rPr>
  </w:style>
  <w:style w:type="paragraph" w:customStyle="1" w:styleId="pa7">
    <w:name w:val="pa7"/>
    <w:basedOn w:val="Normal"/>
    <w:rsid w:val="003F4237"/>
    <w:pPr>
      <w:spacing w:before="100" w:beforeAutospacing="1" w:after="100" w:afterAutospacing="1"/>
    </w:pPr>
    <w:rPr>
      <w:sz w:val="24"/>
      <w:szCs w:val="24"/>
      <w:lang w:val="es-ES" w:eastAsia="es-ES"/>
    </w:rPr>
  </w:style>
  <w:style w:type="character" w:customStyle="1" w:styleId="a0">
    <w:name w:val="a0"/>
    <w:basedOn w:val="Fuentedeprrafopredeter"/>
    <w:rsid w:val="003F4237"/>
  </w:style>
  <w:style w:type="character" w:customStyle="1" w:styleId="spelle">
    <w:name w:val="spelle"/>
    <w:basedOn w:val="Fuentedeprrafopredeter"/>
    <w:rsid w:val="003F4237"/>
  </w:style>
  <w:style w:type="character" w:customStyle="1" w:styleId="SinespaciadoCar">
    <w:name w:val="Sin espaciado Car"/>
    <w:aliases w:val="CAPITULO I Car"/>
    <w:link w:val="Sinespaciado"/>
    <w:uiPriority w:val="1"/>
    <w:locked/>
    <w:rsid w:val="00AD0CAD"/>
    <w:rPr>
      <w:rFonts w:ascii="Calibri" w:eastAsia="Calibri" w:hAnsi="Calibri" w:cs="Times New Roman"/>
      <w:lang w:val="es-CO"/>
    </w:rPr>
  </w:style>
  <w:style w:type="character" w:styleId="Textoennegrita">
    <w:name w:val="Strong"/>
    <w:basedOn w:val="Fuentedeprrafopredeter"/>
    <w:uiPriority w:val="22"/>
    <w:qFormat/>
    <w:rsid w:val="00AD0CAD"/>
    <w:rPr>
      <w:b/>
      <w:bCs/>
    </w:rPr>
  </w:style>
  <w:style w:type="character" w:customStyle="1" w:styleId="cf21">
    <w:name w:val="cf21"/>
    <w:basedOn w:val="Fuentedeprrafopredeter"/>
    <w:rsid w:val="00A93E2E"/>
    <w:rPr>
      <w:rFonts w:ascii="Segoe UI" w:hAnsi="Segoe UI" w:cs="Segoe UI" w:hint="default"/>
      <w:b/>
      <w:bCs/>
      <w:sz w:val="18"/>
      <w:szCs w:val="18"/>
    </w:rPr>
  </w:style>
  <w:style w:type="paragraph" w:styleId="Textoindependiente3">
    <w:name w:val="Body Text 3"/>
    <w:basedOn w:val="Normal"/>
    <w:link w:val="Textoindependiente3Car"/>
    <w:uiPriority w:val="99"/>
    <w:semiHidden/>
    <w:unhideWhenUsed/>
    <w:rsid w:val="003C7F8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C7F86"/>
    <w:rPr>
      <w:rFonts w:ascii="Times New Roman" w:eastAsia="Times New Roman" w:hAnsi="Times New Roman" w:cs="Times New Roman"/>
      <w:color w:val="000000"/>
      <w:sz w:val="16"/>
      <w:szCs w:val="16"/>
      <w:lang w:val="es-CO" w:eastAsia="es-CO"/>
    </w:rPr>
  </w:style>
  <w:style w:type="paragraph" w:customStyle="1" w:styleId="Car4">
    <w:name w:val="Car4"/>
    <w:basedOn w:val="Normal"/>
    <w:rsid w:val="00CC6CC1"/>
    <w:pPr>
      <w:spacing w:line="240" w:lineRule="exact"/>
      <w:jc w:val="both"/>
    </w:pPr>
    <w:rPr>
      <w:rFonts w:ascii="Tahoma" w:hAnsi="Tahoma" w:cs="Tahoma"/>
      <w:lang w:val="en-US" w:eastAsia="en-US"/>
    </w:rPr>
  </w:style>
  <w:style w:type="character" w:customStyle="1" w:styleId="Ancladenotaalpie">
    <w:name w:val="Ancla de nota al pie"/>
    <w:rsid w:val="00591EB2"/>
    <w:rPr>
      <w:vertAlign w:val="superscript"/>
    </w:rPr>
  </w:style>
  <w:style w:type="character" w:customStyle="1" w:styleId="FootnoteCharacters">
    <w:name w:val="Footnote Characters"/>
    <w:uiPriority w:val="99"/>
    <w:unhideWhenUsed/>
    <w:qFormat/>
    <w:rsid w:val="00591EB2"/>
    <w:rPr>
      <w:vertAlign w:val="superscript"/>
    </w:rPr>
  </w:style>
  <w:style w:type="character" w:customStyle="1" w:styleId="Caracteresdenotaalpie">
    <w:name w:val="Caracteres de nota al pie"/>
    <w:qFormat/>
    <w:rsid w:val="00591EB2"/>
  </w:style>
  <w:style w:type="paragraph" w:customStyle="1" w:styleId="Ttulo11">
    <w:name w:val="Título 11"/>
    <w:basedOn w:val="Normal"/>
    <w:uiPriority w:val="99"/>
    <w:rsid w:val="00AF382A"/>
    <w:rPr>
      <w:sz w:val="24"/>
      <w:szCs w:val="24"/>
      <w:lang w:val="es-ES" w:eastAsia="es-ES"/>
    </w:rPr>
  </w:style>
  <w:style w:type="table" w:customStyle="1" w:styleId="3">
    <w:name w:val="3"/>
    <w:basedOn w:val="Tablanormal"/>
    <w:rsid w:val="00B55B73"/>
    <w:pPr>
      <w:pBdr>
        <w:top w:val="nil"/>
        <w:left w:val="nil"/>
        <w:bottom w:val="nil"/>
        <w:right w:val="nil"/>
        <w:between w:val="nil"/>
      </w:pBdr>
      <w:spacing w:after="0" w:line="240" w:lineRule="auto"/>
      <w:contextualSpacing/>
    </w:pPr>
    <w:rPr>
      <w:rFonts w:ascii="Calibri" w:eastAsia="Calibri" w:hAnsi="Calibri" w:cs="Calibri"/>
      <w:color w:val="000000"/>
    </w:rPr>
    <w:tblPr>
      <w:tblStyleRowBandSize w:val="1"/>
      <w:tblStyleColBandSize w:val="1"/>
      <w:tblInd w:w="0" w:type="nil"/>
      <w:tblCellMar>
        <w:left w:w="115" w:type="dxa"/>
        <w:right w:w="115" w:type="dxa"/>
      </w:tblCellMar>
    </w:tblPr>
  </w:style>
  <w:style w:type="character" w:customStyle="1" w:styleId="apple-converted-space">
    <w:name w:val="apple-converted-space"/>
    <w:basedOn w:val="Fuentedeprrafopredeter"/>
    <w:rsid w:val="000401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19033</Words>
  <Characters>104683</Characters>
  <Application>Microsoft Office Word</Application>
  <DocSecurity>0</DocSecurity>
  <Lines>872</Lines>
  <Paragraphs>246</Paragraphs>
  <ScaleCrop>false</ScaleCrop>
  <Company/>
  <LinksUpToDate>false</LinksUpToDate>
  <CharactersWithSpaces>123470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2025-03-21T14:33:00Z</dcterms:created>
  <dcterms:modified xsi:type="dcterms:W3CDTF">2025-03-21T14:33:00Z</dcterms:modified>
</cp:coreProperties>
</file>