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2672" w:rsidRPr="008D2758" w:rsidRDefault="00CB5581">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8D2758">
        <w:rPr>
          <w:rFonts w:ascii="Times New Roman" w:hAnsi="Times New Roman" w:cs="Times New Roman"/>
          <w:sz w:val="28"/>
          <w:szCs w:val="24"/>
        </w:rPr>
        <w:t xml:space="preserve"> </w:t>
      </w:r>
    </w:p>
    <w:p w:rsidR="002F2672" w:rsidRPr="008D2758" w:rsidRDefault="002F2672">
      <w:pPr>
        <w:widowControl w:val="0"/>
        <w:autoSpaceDE w:val="0"/>
        <w:autoSpaceDN w:val="0"/>
        <w:adjustRightInd w:val="0"/>
        <w:spacing w:after="0" w:line="240" w:lineRule="auto"/>
        <w:rPr>
          <w:rFonts w:ascii="Times New Roman" w:hAnsi="Times New Roman" w:cs="Times New Roman"/>
          <w:sz w:val="28"/>
          <w:szCs w:val="28"/>
        </w:rPr>
      </w:pPr>
    </w:p>
    <w:p w:rsidR="002F2672" w:rsidRPr="008D2758" w:rsidRDefault="00CB5581">
      <w:pPr>
        <w:widowControl w:val="0"/>
        <w:autoSpaceDE w:val="0"/>
        <w:autoSpaceDN w:val="0"/>
        <w:adjustRightInd w:val="0"/>
        <w:spacing w:after="0" w:line="240" w:lineRule="auto"/>
        <w:jc w:val="center"/>
        <w:rPr>
          <w:rFonts w:ascii="Times New Roman" w:hAnsi="Times New Roman" w:cs="Times New Roman"/>
          <w:b/>
          <w:bCs/>
          <w:sz w:val="28"/>
          <w:szCs w:val="28"/>
        </w:rPr>
      </w:pPr>
      <w:r w:rsidRPr="008D2758">
        <w:rPr>
          <w:rFonts w:ascii="Times New Roman" w:hAnsi="Times New Roman" w:cs="Times New Roman"/>
          <w:b/>
          <w:bCs/>
          <w:sz w:val="28"/>
          <w:szCs w:val="28"/>
        </w:rPr>
        <w:t xml:space="preserve">TEMAS-SUBTEMAS </w:t>
      </w:r>
    </w:p>
    <w:p w:rsidR="002F2672" w:rsidRPr="008D2758" w:rsidRDefault="002F2672">
      <w:pPr>
        <w:widowControl w:val="0"/>
        <w:autoSpaceDE w:val="0"/>
        <w:autoSpaceDN w:val="0"/>
        <w:adjustRightInd w:val="0"/>
        <w:spacing w:after="0" w:line="240" w:lineRule="auto"/>
        <w:jc w:val="center"/>
        <w:rPr>
          <w:rFonts w:ascii="Times New Roman" w:hAnsi="Times New Roman" w:cs="Times New Roman"/>
          <w:b/>
          <w:bCs/>
          <w:sz w:val="28"/>
          <w:szCs w:val="28"/>
        </w:rPr>
      </w:pPr>
    </w:p>
    <w:p w:rsidR="002F2672" w:rsidRPr="008D2758" w:rsidRDefault="00CB5581">
      <w:pPr>
        <w:widowControl w:val="0"/>
        <w:autoSpaceDE w:val="0"/>
        <w:autoSpaceDN w:val="0"/>
        <w:adjustRightInd w:val="0"/>
        <w:spacing w:after="0" w:line="240" w:lineRule="auto"/>
        <w:jc w:val="center"/>
        <w:rPr>
          <w:rFonts w:ascii="Times New Roman" w:hAnsi="Times New Roman" w:cs="Times New Roman"/>
          <w:sz w:val="28"/>
          <w:szCs w:val="28"/>
        </w:rPr>
      </w:pPr>
      <w:r w:rsidRPr="008D2758">
        <w:rPr>
          <w:rFonts w:ascii="Times New Roman" w:hAnsi="Times New Roman" w:cs="Times New Roman"/>
          <w:b/>
          <w:bCs/>
          <w:sz w:val="28"/>
          <w:szCs w:val="28"/>
        </w:rPr>
        <w:t xml:space="preserve">Sentencia C-462/24 </w:t>
      </w:r>
    </w:p>
    <w:p w:rsidR="002F2672" w:rsidRPr="008D2758" w:rsidRDefault="002F2672">
      <w:pPr>
        <w:widowControl w:val="0"/>
        <w:autoSpaceDE w:val="0"/>
        <w:autoSpaceDN w:val="0"/>
        <w:adjustRightInd w:val="0"/>
        <w:spacing w:after="0" w:line="240" w:lineRule="auto"/>
        <w:jc w:val="both"/>
        <w:rPr>
          <w:rFonts w:ascii="Times New Roman" w:hAnsi="Times New Roman" w:cs="Times New Roman"/>
          <w:sz w:val="28"/>
          <w:szCs w:val="28"/>
        </w:rPr>
      </w:pPr>
    </w:p>
    <w:p w:rsidR="002F2672" w:rsidRPr="008D2758" w:rsidRDefault="00CB5581">
      <w:pPr>
        <w:widowControl w:val="0"/>
        <w:autoSpaceDE w:val="0"/>
        <w:autoSpaceDN w:val="0"/>
        <w:adjustRightInd w:val="0"/>
        <w:spacing w:after="0" w:line="240" w:lineRule="auto"/>
        <w:jc w:val="both"/>
        <w:rPr>
          <w:rFonts w:ascii="Times New Roman" w:hAnsi="Times New Roman" w:cs="Times New Roman"/>
          <w:sz w:val="28"/>
          <w:szCs w:val="28"/>
        </w:rPr>
      </w:pPr>
      <w:r w:rsidRPr="008D2758">
        <w:rPr>
          <w:rFonts w:ascii="Times New Roman" w:hAnsi="Times New Roman" w:cs="Times New Roman"/>
          <w:b/>
          <w:bCs/>
          <w:sz w:val="28"/>
          <w:szCs w:val="28"/>
        </w:rPr>
        <w:t>DEMANDA DE INCONSTITUCIONALIDAD CONTRA LA LEY 2195 DE 2022</w:t>
      </w:r>
      <w:r w:rsidRPr="008D2758">
        <w:rPr>
          <w:rFonts w:ascii="Times New Roman" w:hAnsi="Times New Roman" w:cs="Times New Roman"/>
          <w:sz w:val="28"/>
          <w:szCs w:val="28"/>
        </w:rPr>
        <w:t xml:space="preserve">-Estarse a lo resuelto en la sentencia C-397 de 2024 </w:t>
      </w:r>
    </w:p>
    <w:p w:rsidR="002F2672" w:rsidRPr="008D2758" w:rsidRDefault="002F2672">
      <w:pPr>
        <w:widowControl w:val="0"/>
        <w:autoSpaceDE w:val="0"/>
        <w:autoSpaceDN w:val="0"/>
        <w:adjustRightInd w:val="0"/>
        <w:spacing w:after="0" w:line="240" w:lineRule="auto"/>
        <w:jc w:val="both"/>
        <w:rPr>
          <w:rFonts w:ascii="Times New Roman" w:hAnsi="Times New Roman" w:cs="Times New Roman"/>
          <w:sz w:val="28"/>
          <w:szCs w:val="28"/>
        </w:rPr>
      </w:pPr>
    </w:p>
    <w:p w:rsidR="002F2672" w:rsidRPr="008D2758" w:rsidRDefault="00CB5581">
      <w:pPr>
        <w:widowControl w:val="0"/>
        <w:autoSpaceDE w:val="0"/>
        <w:autoSpaceDN w:val="0"/>
        <w:adjustRightInd w:val="0"/>
        <w:spacing w:after="0" w:line="240" w:lineRule="auto"/>
        <w:jc w:val="both"/>
        <w:rPr>
          <w:rFonts w:ascii="Times New Roman" w:hAnsi="Times New Roman" w:cs="Times New Roman"/>
          <w:sz w:val="28"/>
          <w:szCs w:val="28"/>
        </w:rPr>
      </w:pPr>
      <w:r w:rsidRPr="008D2758">
        <w:rPr>
          <w:rFonts w:ascii="Times New Roman" w:hAnsi="Times New Roman" w:cs="Times New Roman"/>
          <w:b/>
          <w:bCs/>
          <w:sz w:val="28"/>
          <w:szCs w:val="28"/>
        </w:rPr>
        <w:t>COSA JUZGADA CONSTITUCIONAL ABSOLUTA</w:t>
      </w:r>
      <w:r w:rsidRPr="008D2758">
        <w:rPr>
          <w:rFonts w:ascii="Times New Roman" w:hAnsi="Times New Roman" w:cs="Times New Roman"/>
          <w:sz w:val="28"/>
          <w:szCs w:val="28"/>
        </w:rPr>
        <w:t xml:space="preserve">-Configuración por declaratoria de inexequibilidad </w:t>
      </w:r>
    </w:p>
    <w:p w:rsidR="002F2672" w:rsidRPr="008D2758" w:rsidRDefault="002F2672">
      <w:pPr>
        <w:widowControl w:val="0"/>
        <w:autoSpaceDE w:val="0"/>
        <w:autoSpaceDN w:val="0"/>
        <w:adjustRightInd w:val="0"/>
        <w:spacing w:after="0" w:line="240" w:lineRule="auto"/>
        <w:jc w:val="both"/>
        <w:rPr>
          <w:rFonts w:ascii="Times New Roman" w:hAnsi="Times New Roman" w:cs="Times New Roman"/>
          <w:sz w:val="28"/>
          <w:szCs w:val="28"/>
        </w:rPr>
      </w:pPr>
    </w:p>
    <w:p w:rsidR="002F2672" w:rsidRPr="008D2758" w:rsidRDefault="00CB5581">
      <w:pPr>
        <w:widowControl w:val="0"/>
        <w:autoSpaceDE w:val="0"/>
        <w:autoSpaceDN w:val="0"/>
        <w:adjustRightInd w:val="0"/>
        <w:spacing w:after="0" w:line="240" w:lineRule="auto"/>
        <w:jc w:val="both"/>
        <w:rPr>
          <w:rFonts w:ascii="Times New Roman" w:hAnsi="Times New Roman" w:cs="Times New Roman"/>
          <w:sz w:val="28"/>
          <w:szCs w:val="28"/>
        </w:rPr>
      </w:pPr>
      <w:r w:rsidRPr="008D2758">
        <w:rPr>
          <w:rFonts w:ascii="Times New Roman" w:hAnsi="Times New Roman" w:cs="Times New Roman"/>
          <w:b/>
          <w:bCs/>
          <w:sz w:val="28"/>
          <w:szCs w:val="28"/>
        </w:rPr>
        <w:t>COSA JUZGADA CONSTITUCIONAL</w:t>
      </w:r>
      <w:r w:rsidRPr="008D2758">
        <w:rPr>
          <w:rFonts w:ascii="Times New Roman" w:hAnsi="Times New Roman" w:cs="Times New Roman"/>
          <w:sz w:val="28"/>
          <w:szCs w:val="28"/>
        </w:rPr>
        <w:t xml:space="preserve">-Requisitos para su configuración </w:t>
      </w:r>
    </w:p>
    <w:p w:rsidR="002F2672" w:rsidRPr="008D2758" w:rsidRDefault="002F2672">
      <w:pPr>
        <w:widowControl w:val="0"/>
        <w:autoSpaceDE w:val="0"/>
        <w:autoSpaceDN w:val="0"/>
        <w:adjustRightInd w:val="0"/>
        <w:spacing w:after="0" w:line="240" w:lineRule="auto"/>
        <w:jc w:val="both"/>
        <w:rPr>
          <w:rFonts w:ascii="Times New Roman" w:hAnsi="Times New Roman" w:cs="Times New Roman"/>
          <w:sz w:val="28"/>
          <w:szCs w:val="28"/>
        </w:rPr>
      </w:pPr>
    </w:p>
    <w:p w:rsidR="002F2672" w:rsidRPr="008D2758" w:rsidRDefault="00CB5581">
      <w:pPr>
        <w:widowControl w:val="0"/>
        <w:autoSpaceDE w:val="0"/>
        <w:autoSpaceDN w:val="0"/>
        <w:adjustRightInd w:val="0"/>
        <w:spacing w:after="0" w:line="240" w:lineRule="auto"/>
        <w:jc w:val="both"/>
        <w:rPr>
          <w:rFonts w:ascii="Times New Roman" w:hAnsi="Times New Roman" w:cs="Times New Roman"/>
          <w:sz w:val="28"/>
          <w:szCs w:val="28"/>
        </w:rPr>
      </w:pPr>
      <w:r w:rsidRPr="008D2758">
        <w:rPr>
          <w:rFonts w:ascii="Times New Roman" w:hAnsi="Times New Roman" w:cs="Times New Roman"/>
          <w:b/>
          <w:bCs/>
          <w:sz w:val="28"/>
          <w:szCs w:val="28"/>
        </w:rPr>
        <w:t>COSA JUZGADA CONSTITUCIONAL</w:t>
      </w:r>
      <w:r w:rsidRPr="008D2758">
        <w:rPr>
          <w:rFonts w:ascii="Times New Roman" w:hAnsi="Times New Roman" w:cs="Times New Roman"/>
          <w:sz w:val="28"/>
          <w:szCs w:val="28"/>
        </w:rPr>
        <w:t>-Tipología</w:t>
      </w:r>
      <w:r w:rsidRPr="008D2758">
        <w:rPr>
          <w:rFonts w:ascii="Times New Roman" w:hAnsi="Times New Roman" w:cs="Times New Roman"/>
          <w:b/>
          <w:bCs/>
          <w:sz w:val="28"/>
          <w:szCs w:val="28"/>
        </w:rPr>
        <w:t>/COSA JUZGADA CONSTITUCIONAL</w:t>
      </w:r>
      <w:r w:rsidRPr="008D2758">
        <w:rPr>
          <w:rFonts w:ascii="Times New Roman" w:hAnsi="Times New Roman" w:cs="Times New Roman"/>
          <w:sz w:val="28"/>
          <w:szCs w:val="28"/>
        </w:rPr>
        <w:t xml:space="preserve">-Efectos </w:t>
      </w:r>
    </w:p>
    <w:p w:rsidR="002F2672" w:rsidRPr="008D2758" w:rsidRDefault="002F2672">
      <w:pPr>
        <w:widowControl w:val="0"/>
        <w:autoSpaceDE w:val="0"/>
        <w:autoSpaceDN w:val="0"/>
        <w:adjustRightInd w:val="0"/>
        <w:spacing w:after="0" w:line="240" w:lineRule="auto"/>
        <w:jc w:val="both"/>
        <w:rPr>
          <w:rFonts w:ascii="Times New Roman" w:hAnsi="Times New Roman" w:cs="Times New Roman"/>
          <w:sz w:val="28"/>
          <w:szCs w:val="28"/>
        </w:rPr>
      </w:pPr>
    </w:p>
    <w:p w:rsidR="002F2672" w:rsidRPr="008D2758" w:rsidRDefault="008D2758">
      <w:pPr>
        <w:widowControl w:val="0"/>
        <w:autoSpaceDE w:val="0"/>
        <w:autoSpaceDN w:val="0"/>
        <w:adjustRightInd w:val="0"/>
        <w:spacing w:after="0" w:line="240" w:lineRule="auto"/>
        <w:jc w:val="both"/>
        <w:rPr>
          <w:rFonts w:ascii="Times New Roman" w:hAnsi="Times New Roman" w:cs="Times New Roman"/>
          <w:sz w:val="28"/>
        </w:rPr>
      </w:pPr>
      <w:r w:rsidRPr="008D2758">
        <w:rPr>
          <w:rFonts w:ascii="Times New Roman" w:hAnsi="Times New Roman" w:cs="Times New Roman"/>
          <w:sz w:val="28"/>
          <w:szCs w:val="28"/>
        </w:rPr>
        <w:pict>
          <v:rect id="_x0000_i1025" style="width:0;height:1.5pt" o:hralign="center" o:hrstd="t" o:hr="t" fillcolor="#a0a0a0" stroked="f"/>
        </w:pict>
      </w:r>
    </w:p>
    <w:p w:rsidR="00371B5C" w:rsidRPr="008D2758" w:rsidRDefault="008D2758" w:rsidP="003A0FC3">
      <w:pPr>
        <w:tabs>
          <w:tab w:val="center" w:pos="4252"/>
          <w:tab w:val="right" w:pos="8504"/>
        </w:tabs>
        <w:contextualSpacing/>
        <w:jc w:val="center"/>
        <w:rPr>
          <w:rFonts w:ascii="Times New Roman" w:eastAsia="Times New Roman" w:hAnsi="Times New Roman" w:cs="Times New Roman"/>
          <w:b/>
          <w:sz w:val="28"/>
          <w:szCs w:val="28"/>
          <w:lang w:val="es-ES"/>
        </w:rPr>
      </w:pPr>
      <w:r w:rsidRPr="008D2758">
        <w:rPr>
          <w:rFonts w:ascii="Times New Roman" w:eastAsia="Times New Roman" w:hAnsi="Times New Roman" w:cs="Times New Roman"/>
          <w:b/>
          <w:sz w:val="28"/>
          <w:szCs w:val="28"/>
          <w:lang w:val="es-ES"/>
        </w:rPr>
        <w:t>REPÚBLICA DE COLOMBIA</w:t>
      </w:r>
    </w:p>
    <w:p w:rsidR="00371B5C" w:rsidRPr="008D2758" w:rsidRDefault="008D2758" w:rsidP="003A0FC3">
      <w:pPr>
        <w:tabs>
          <w:tab w:val="center" w:pos="4252"/>
          <w:tab w:val="right" w:pos="8504"/>
        </w:tabs>
        <w:contextualSpacing/>
        <w:jc w:val="center"/>
        <w:rPr>
          <w:rFonts w:ascii="Times New Roman" w:eastAsia="Times New Roman" w:hAnsi="Times New Roman" w:cs="Times New Roman"/>
          <w:b/>
          <w:sz w:val="28"/>
          <w:szCs w:val="28"/>
          <w:lang w:val="es-ES"/>
        </w:rPr>
      </w:pPr>
      <w:r w:rsidRPr="008D2758">
        <w:rPr>
          <w:rFonts w:ascii="Times New Roman" w:eastAsia="Times New Roman" w:hAnsi="Times New Roman" w:cs="Times New Roman"/>
          <w:b/>
          <w:noProof/>
          <w:sz w:val="28"/>
          <w:szCs w:val="28"/>
        </w:rPr>
        <w:drawing>
          <wp:inline distT="0" distB="0" distL="0" distR="0" wp14:anchorId="5A199F46" wp14:editId="505AB3B3">
            <wp:extent cx="719455" cy="719455"/>
            <wp:effectExtent l="0" t="0" r="4445"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inline>
        </w:drawing>
      </w:r>
    </w:p>
    <w:p w:rsidR="00371B5C" w:rsidRPr="008D2758" w:rsidRDefault="008D2758" w:rsidP="003A0FC3">
      <w:pPr>
        <w:tabs>
          <w:tab w:val="center" w:pos="4252"/>
          <w:tab w:val="right" w:pos="8504"/>
        </w:tabs>
        <w:contextualSpacing/>
        <w:jc w:val="center"/>
        <w:rPr>
          <w:rFonts w:ascii="Times New Roman" w:eastAsia="Times New Roman" w:hAnsi="Times New Roman" w:cs="Times New Roman"/>
          <w:b/>
          <w:sz w:val="28"/>
          <w:szCs w:val="28"/>
          <w:lang w:val="es-ES"/>
        </w:rPr>
      </w:pPr>
      <w:r w:rsidRPr="008D2758">
        <w:rPr>
          <w:rFonts w:ascii="Times New Roman" w:eastAsia="Times New Roman" w:hAnsi="Times New Roman" w:cs="Times New Roman"/>
          <w:b/>
          <w:sz w:val="28"/>
          <w:szCs w:val="28"/>
          <w:lang w:val="es-ES"/>
        </w:rPr>
        <w:t>CORTE CONSTITUCIONAL</w:t>
      </w:r>
    </w:p>
    <w:p w:rsidR="00266AF7" w:rsidRPr="008D2758" w:rsidRDefault="008D2758" w:rsidP="003A0FC3">
      <w:pPr>
        <w:kinsoku w:val="0"/>
        <w:overflowPunct w:val="0"/>
        <w:autoSpaceDE w:val="0"/>
        <w:autoSpaceDN w:val="0"/>
        <w:adjustRightInd w:val="0"/>
        <w:ind w:right="49"/>
        <w:jc w:val="center"/>
        <w:outlineLvl w:val="0"/>
        <w:rPr>
          <w:rFonts w:ascii="Times New Roman" w:hAnsi="Times New Roman" w:cs="Times New Roman"/>
          <w:b/>
          <w:bCs/>
          <w:sz w:val="28"/>
          <w:szCs w:val="28"/>
          <w:lang w:val="es-ES"/>
        </w:rPr>
      </w:pPr>
      <w:r w:rsidRPr="008D2758">
        <w:rPr>
          <w:rFonts w:ascii="Times New Roman" w:hAnsi="Times New Roman" w:cs="Times New Roman"/>
          <w:b/>
          <w:bCs/>
          <w:sz w:val="28"/>
          <w:szCs w:val="28"/>
          <w:lang w:val="es-ES"/>
        </w:rPr>
        <w:t>-Sala Plena-</w:t>
      </w:r>
    </w:p>
    <w:p w:rsidR="006154A8" w:rsidRPr="008D2758" w:rsidRDefault="008D2758" w:rsidP="003A0FC3">
      <w:pPr>
        <w:kinsoku w:val="0"/>
        <w:overflowPunct w:val="0"/>
        <w:autoSpaceDE w:val="0"/>
        <w:autoSpaceDN w:val="0"/>
        <w:adjustRightInd w:val="0"/>
        <w:ind w:right="49"/>
        <w:outlineLvl w:val="0"/>
        <w:rPr>
          <w:rFonts w:ascii="Times New Roman" w:hAnsi="Times New Roman" w:cs="Times New Roman"/>
          <w:b/>
          <w:bCs/>
          <w:sz w:val="28"/>
          <w:szCs w:val="28"/>
          <w:lang w:val="es-ES"/>
        </w:rPr>
      </w:pPr>
    </w:p>
    <w:p w:rsidR="006154A8" w:rsidRPr="008D2758" w:rsidRDefault="008D2758" w:rsidP="00070311">
      <w:pPr>
        <w:kinsoku w:val="0"/>
        <w:overflowPunct w:val="0"/>
        <w:autoSpaceDE w:val="0"/>
        <w:autoSpaceDN w:val="0"/>
        <w:adjustRightInd w:val="0"/>
        <w:ind w:right="49"/>
        <w:jc w:val="center"/>
        <w:outlineLvl w:val="0"/>
        <w:rPr>
          <w:rFonts w:ascii="Times New Roman" w:hAnsi="Times New Roman" w:cs="Times New Roman"/>
          <w:b/>
          <w:bCs/>
          <w:sz w:val="28"/>
          <w:szCs w:val="28"/>
          <w:lang w:val="es-ES"/>
        </w:rPr>
      </w:pPr>
      <w:r w:rsidRPr="008D2758">
        <w:rPr>
          <w:rFonts w:ascii="Times New Roman" w:hAnsi="Times New Roman" w:cs="Times New Roman"/>
          <w:b/>
          <w:bCs/>
          <w:sz w:val="28"/>
          <w:szCs w:val="28"/>
          <w:lang w:val="es-ES"/>
        </w:rPr>
        <w:t xml:space="preserve">SENTENCIA C-462 de 2024 </w:t>
      </w:r>
    </w:p>
    <w:p w:rsidR="00266AF7" w:rsidRPr="008D2758" w:rsidRDefault="008D2758" w:rsidP="00070311">
      <w:pPr>
        <w:kinsoku w:val="0"/>
        <w:overflowPunct w:val="0"/>
        <w:autoSpaceDE w:val="0"/>
        <w:autoSpaceDN w:val="0"/>
        <w:adjustRightInd w:val="0"/>
        <w:ind w:left="3828" w:right="49"/>
        <w:jc w:val="both"/>
        <w:rPr>
          <w:rFonts w:ascii="Times New Roman" w:hAnsi="Times New Roman" w:cs="Times New Roman"/>
          <w:b/>
          <w:bCs/>
          <w:sz w:val="28"/>
          <w:szCs w:val="28"/>
          <w:lang w:val="es-ES_tradnl"/>
        </w:rPr>
      </w:pPr>
    </w:p>
    <w:p w:rsidR="00266AF7" w:rsidRPr="008D2758" w:rsidRDefault="008D2758" w:rsidP="00070311">
      <w:pPr>
        <w:kinsoku w:val="0"/>
        <w:overflowPunct w:val="0"/>
        <w:autoSpaceDE w:val="0"/>
        <w:autoSpaceDN w:val="0"/>
        <w:adjustRightInd w:val="0"/>
        <w:ind w:left="4395" w:right="49"/>
        <w:jc w:val="both"/>
        <w:rPr>
          <w:rFonts w:ascii="Times New Roman" w:hAnsi="Times New Roman" w:cs="Times New Roman"/>
          <w:sz w:val="28"/>
          <w:szCs w:val="28"/>
          <w:lang w:val="es-ES_tradnl"/>
        </w:rPr>
      </w:pPr>
      <w:r w:rsidRPr="008D2758">
        <w:rPr>
          <w:rFonts w:ascii="Times New Roman" w:hAnsi="Times New Roman" w:cs="Times New Roman"/>
          <w:b/>
          <w:bCs/>
          <w:sz w:val="28"/>
          <w:szCs w:val="28"/>
          <w:lang w:val="es-ES_tradnl"/>
        </w:rPr>
        <w:t xml:space="preserve">Referencia: </w:t>
      </w:r>
      <w:r w:rsidRPr="008D2758">
        <w:rPr>
          <w:rFonts w:ascii="Times New Roman" w:hAnsi="Times New Roman" w:cs="Times New Roman"/>
          <w:sz w:val="28"/>
          <w:szCs w:val="28"/>
          <w:lang w:val="es-ES_tradnl"/>
        </w:rPr>
        <w:t xml:space="preserve">Expediente </w:t>
      </w:r>
      <w:r w:rsidRPr="008D2758">
        <w:rPr>
          <w:rFonts w:ascii="Times New Roman" w:hAnsi="Times New Roman" w:cs="Times New Roman"/>
          <w:sz w:val="28"/>
          <w:szCs w:val="28"/>
          <w:lang w:val="es-ES_tradnl"/>
        </w:rPr>
        <w:t>D-15</w:t>
      </w:r>
      <w:r w:rsidRPr="008D2758">
        <w:rPr>
          <w:rFonts w:ascii="Times New Roman" w:hAnsi="Times New Roman" w:cs="Times New Roman"/>
          <w:sz w:val="28"/>
          <w:szCs w:val="28"/>
          <w:lang w:val="es-ES_tradnl"/>
        </w:rPr>
        <w:t>754</w:t>
      </w:r>
    </w:p>
    <w:p w:rsidR="00266AF7" w:rsidRPr="008D2758" w:rsidRDefault="008D2758" w:rsidP="00070311">
      <w:pPr>
        <w:kinsoku w:val="0"/>
        <w:overflowPunct w:val="0"/>
        <w:autoSpaceDE w:val="0"/>
        <w:autoSpaceDN w:val="0"/>
        <w:adjustRightInd w:val="0"/>
        <w:ind w:left="4395" w:right="49"/>
        <w:jc w:val="both"/>
        <w:rPr>
          <w:rFonts w:ascii="Times New Roman" w:hAnsi="Times New Roman" w:cs="Times New Roman"/>
          <w:sz w:val="28"/>
          <w:szCs w:val="28"/>
          <w:lang w:val="es-ES_tradnl"/>
        </w:rPr>
      </w:pPr>
    </w:p>
    <w:p w:rsidR="00266AF7" w:rsidRPr="008D2758" w:rsidRDefault="008D2758" w:rsidP="211C61EE">
      <w:pPr>
        <w:kinsoku w:val="0"/>
        <w:overflowPunct w:val="0"/>
        <w:autoSpaceDE w:val="0"/>
        <w:autoSpaceDN w:val="0"/>
        <w:adjustRightInd w:val="0"/>
        <w:ind w:left="4395" w:right="49"/>
        <w:jc w:val="both"/>
        <w:rPr>
          <w:rFonts w:ascii="Times New Roman" w:hAnsi="Times New Roman" w:cs="Times New Roman"/>
          <w:sz w:val="28"/>
          <w:szCs w:val="28"/>
          <w:lang w:val="es-ES"/>
        </w:rPr>
      </w:pPr>
      <w:r w:rsidRPr="008D2758">
        <w:rPr>
          <w:rFonts w:ascii="Times New Roman" w:hAnsi="Times New Roman" w:cs="Times New Roman"/>
          <w:sz w:val="28"/>
          <w:szCs w:val="28"/>
          <w:lang w:val="es-ES"/>
        </w:rPr>
        <w:t xml:space="preserve">Acción pública de inconstitucionalidad </w:t>
      </w:r>
      <w:r w:rsidRPr="008D2758">
        <w:rPr>
          <w:rFonts w:ascii="Times New Roman" w:hAnsi="Times New Roman" w:cs="Times New Roman"/>
          <w:sz w:val="28"/>
          <w:szCs w:val="28"/>
          <w:lang w:val="es-ES"/>
        </w:rPr>
        <w:t xml:space="preserve">en </w:t>
      </w:r>
      <w:r w:rsidRPr="008D2758">
        <w:rPr>
          <w:rFonts w:ascii="Times New Roman" w:hAnsi="Times New Roman" w:cs="Times New Roman"/>
          <w:sz w:val="28"/>
          <w:szCs w:val="28"/>
          <w:lang w:val="es-ES"/>
        </w:rPr>
        <w:t xml:space="preserve">contra </w:t>
      </w:r>
      <w:r w:rsidRPr="008D2758">
        <w:rPr>
          <w:rFonts w:ascii="Times New Roman" w:hAnsi="Times New Roman" w:cs="Times New Roman"/>
          <w:sz w:val="28"/>
          <w:szCs w:val="28"/>
          <w:lang w:val="es-ES"/>
        </w:rPr>
        <w:t>d</w:t>
      </w:r>
      <w:r w:rsidRPr="008D2758">
        <w:rPr>
          <w:rFonts w:ascii="Times New Roman" w:hAnsi="Times New Roman" w:cs="Times New Roman"/>
          <w:sz w:val="28"/>
          <w:szCs w:val="28"/>
          <w:lang w:val="es-ES"/>
        </w:rPr>
        <w:t xml:space="preserve">el </w:t>
      </w:r>
      <w:r w:rsidRPr="008D2758">
        <w:rPr>
          <w:rFonts w:ascii="Times New Roman" w:hAnsi="Times New Roman" w:cs="Times New Roman"/>
          <w:sz w:val="28"/>
          <w:szCs w:val="28"/>
          <w:lang w:val="es-ES"/>
        </w:rPr>
        <w:t xml:space="preserve">artículo </w:t>
      </w:r>
      <w:r w:rsidRPr="008D2758">
        <w:rPr>
          <w:rFonts w:ascii="Times New Roman" w:hAnsi="Times New Roman" w:cs="Times New Roman"/>
          <w:sz w:val="28"/>
          <w:szCs w:val="28"/>
          <w:lang w:val="es-ES"/>
        </w:rPr>
        <w:t>8</w:t>
      </w:r>
      <w:r w:rsidRPr="008D2758">
        <w:rPr>
          <w:rFonts w:ascii="Times New Roman" w:hAnsi="Times New Roman" w:cs="Times New Roman"/>
          <w:sz w:val="28"/>
          <w:szCs w:val="28"/>
          <w:lang w:val="es-ES"/>
        </w:rPr>
        <w:t xml:space="preserve"> </w:t>
      </w:r>
      <w:r w:rsidRPr="008D2758">
        <w:rPr>
          <w:rFonts w:ascii="Times New Roman" w:hAnsi="Times New Roman" w:cs="Times New Roman"/>
          <w:sz w:val="28"/>
          <w:szCs w:val="28"/>
          <w:lang w:val="es-ES"/>
        </w:rPr>
        <w:t xml:space="preserve">(parcial) </w:t>
      </w:r>
      <w:r w:rsidRPr="008D2758">
        <w:rPr>
          <w:rFonts w:ascii="Times New Roman" w:hAnsi="Times New Roman" w:cs="Times New Roman"/>
          <w:sz w:val="28"/>
          <w:szCs w:val="28"/>
          <w:lang w:val="es-ES"/>
        </w:rPr>
        <w:t xml:space="preserve">de la Ley </w:t>
      </w:r>
      <w:r w:rsidRPr="008D2758">
        <w:rPr>
          <w:rFonts w:ascii="Times New Roman" w:hAnsi="Times New Roman" w:cs="Times New Roman"/>
          <w:sz w:val="28"/>
          <w:szCs w:val="28"/>
          <w:lang w:val="es-ES"/>
        </w:rPr>
        <w:t>21</w:t>
      </w:r>
      <w:r w:rsidRPr="008D2758">
        <w:rPr>
          <w:rFonts w:ascii="Times New Roman" w:hAnsi="Times New Roman" w:cs="Times New Roman"/>
          <w:sz w:val="28"/>
          <w:szCs w:val="28"/>
          <w:lang w:val="es-ES"/>
        </w:rPr>
        <w:t>95 de 2022</w:t>
      </w:r>
      <w:r w:rsidRPr="008D2758">
        <w:rPr>
          <w:rFonts w:ascii="Times New Roman" w:hAnsi="Times New Roman" w:cs="Times New Roman"/>
          <w:sz w:val="28"/>
          <w:szCs w:val="28"/>
          <w:lang w:val="es-ES"/>
        </w:rPr>
        <w:t xml:space="preserve"> “</w:t>
      </w:r>
      <w:r w:rsidRPr="008D2758">
        <w:rPr>
          <w:rFonts w:ascii="Times New Roman" w:hAnsi="Times New Roman" w:cs="Times New Roman"/>
          <w:sz w:val="28"/>
          <w:szCs w:val="28"/>
          <w:lang w:val="es-ES"/>
        </w:rPr>
        <w:t>[</w:t>
      </w:r>
      <w:r w:rsidRPr="008D2758">
        <w:rPr>
          <w:rFonts w:ascii="Times New Roman" w:hAnsi="Times New Roman" w:cs="Times New Roman"/>
          <w:sz w:val="28"/>
          <w:szCs w:val="28"/>
          <w:lang w:val="es-ES"/>
        </w:rPr>
        <w:t>p]</w:t>
      </w:r>
      <w:r w:rsidRPr="008D2758">
        <w:rPr>
          <w:rFonts w:ascii="Times New Roman" w:hAnsi="Times New Roman" w:cs="Times New Roman"/>
          <w:sz w:val="28"/>
          <w:szCs w:val="28"/>
          <w:lang w:val="es-ES"/>
        </w:rPr>
        <w:t xml:space="preserve">or medio de la cual se </w:t>
      </w:r>
      <w:r w:rsidRPr="008D2758">
        <w:rPr>
          <w:rFonts w:ascii="Times New Roman" w:hAnsi="Times New Roman" w:cs="Times New Roman"/>
          <w:sz w:val="28"/>
          <w:szCs w:val="28"/>
          <w:lang w:val="es-ES"/>
        </w:rPr>
        <w:t>adoptan</w:t>
      </w:r>
      <w:r w:rsidRPr="008D2758">
        <w:rPr>
          <w:rFonts w:ascii="Times New Roman" w:hAnsi="Times New Roman" w:cs="Times New Roman"/>
          <w:sz w:val="28"/>
          <w:szCs w:val="28"/>
          <w:lang w:val="es-ES"/>
        </w:rPr>
        <w:t xml:space="preserve"> medidas en </w:t>
      </w:r>
      <w:r w:rsidRPr="008D2758">
        <w:rPr>
          <w:rFonts w:ascii="Times New Roman" w:hAnsi="Times New Roman" w:cs="Times New Roman"/>
          <w:sz w:val="28"/>
          <w:szCs w:val="28"/>
          <w:lang w:val="es-ES"/>
        </w:rPr>
        <w:t xml:space="preserve">materia de </w:t>
      </w:r>
      <w:r w:rsidRPr="008D2758">
        <w:rPr>
          <w:rFonts w:ascii="Times New Roman" w:hAnsi="Times New Roman" w:cs="Times New Roman"/>
          <w:sz w:val="28"/>
          <w:szCs w:val="28"/>
          <w:lang w:val="es-ES"/>
        </w:rPr>
        <w:t>transparencia, prevención y lucha contra la corrupción y se dictan otras disposiciones</w:t>
      </w:r>
      <w:r w:rsidRPr="008D2758">
        <w:rPr>
          <w:rFonts w:ascii="Times New Roman" w:hAnsi="Times New Roman" w:cs="Times New Roman"/>
          <w:sz w:val="28"/>
          <w:szCs w:val="28"/>
          <w:lang w:val="es-ES"/>
        </w:rPr>
        <w:t>”</w:t>
      </w:r>
    </w:p>
    <w:p w:rsidR="00266AF7" w:rsidRPr="008D2758" w:rsidRDefault="008D2758" w:rsidP="00070311">
      <w:pPr>
        <w:kinsoku w:val="0"/>
        <w:overflowPunct w:val="0"/>
        <w:autoSpaceDE w:val="0"/>
        <w:autoSpaceDN w:val="0"/>
        <w:adjustRightInd w:val="0"/>
        <w:ind w:left="4395" w:right="49"/>
        <w:jc w:val="both"/>
        <w:rPr>
          <w:rFonts w:ascii="Times New Roman" w:hAnsi="Times New Roman" w:cs="Times New Roman"/>
          <w:sz w:val="28"/>
          <w:szCs w:val="28"/>
          <w:lang w:val="es-ES_tradnl"/>
        </w:rPr>
      </w:pPr>
    </w:p>
    <w:p w:rsidR="00266AF7" w:rsidRPr="008D2758" w:rsidRDefault="008D2758" w:rsidP="00070311">
      <w:pPr>
        <w:kinsoku w:val="0"/>
        <w:overflowPunct w:val="0"/>
        <w:autoSpaceDE w:val="0"/>
        <w:autoSpaceDN w:val="0"/>
        <w:adjustRightInd w:val="0"/>
        <w:ind w:left="4395" w:right="49"/>
        <w:jc w:val="both"/>
        <w:rPr>
          <w:rFonts w:ascii="Times New Roman" w:hAnsi="Times New Roman" w:cs="Times New Roman"/>
          <w:sz w:val="28"/>
          <w:szCs w:val="28"/>
          <w:lang w:val="es-ES_tradnl"/>
        </w:rPr>
      </w:pPr>
      <w:bookmarkStart w:id="1" w:name="_Hlk135159396"/>
      <w:r w:rsidRPr="008D2758">
        <w:rPr>
          <w:rFonts w:ascii="Times New Roman" w:hAnsi="Times New Roman" w:cs="Times New Roman"/>
          <w:b/>
          <w:bCs/>
          <w:sz w:val="28"/>
          <w:szCs w:val="28"/>
          <w:lang w:val="es-ES_tradnl"/>
        </w:rPr>
        <w:t xml:space="preserve">Demandante: </w:t>
      </w:r>
      <w:r w:rsidRPr="008D2758">
        <w:rPr>
          <w:rFonts w:ascii="Times New Roman" w:hAnsi="Times New Roman" w:cs="Times New Roman"/>
          <w:sz w:val="28"/>
          <w:szCs w:val="28"/>
          <w:lang w:val="es-ES_tradnl"/>
        </w:rPr>
        <w:t>Jaime Eduardo Chaves Villada</w:t>
      </w:r>
    </w:p>
    <w:bookmarkEnd w:id="1"/>
    <w:p w:rsidR="00266AF7" w:rsidRPr="008D2758" w:rsidRDefault="008D2758" w:rsidP="00070311">
      <w:pPr>
        <w:kinsoku w:val="0"/>
        <w:overflowPunct w:val="0"/>
        <w:autoSpaceDE w:val="0"/>
        <w:autoSpaceDN w:val="0"/>
        <w:adjustRightInd w:val="0"/>
        <w:ind w:left="4395" w:right="49"/>
        <w:rPr>
          <w:rFonts w:ascii="Times New Roman" w:hAnsi="Times New Roman" w:cs="Times New Roman"/>
          <w:sz w:val="28"/>
          <w:szCs w:val="28"/>
          <w:lang w:val="es-ES_tradnl"/>
        </w:rPr>
      </w:pPr>
    </w:p>
    <w:p w:rsidR="00266AF7" w:rsidRPr="008D2758" w:rsidRDefault="008D2758" w:rsidP="00070311">
      <w:pPr>
        <w:kinsoku w:val="0"/>
        <w:overflowPunct w:val="0"/>
        <w:autoSpaceDE w:val="0"/>
        <w:autoSpaceDN w:val="0"/>
        <w:adjustRightInd w:val="0"/>
        <w:ind w:left="4395" w:right="49"/>
        <w:jc w:val="both"/>
        <w:outlineLvl w:val="0"/>
        <w:rPr>
          <w:rFonts w:ascii="Times New Roman" w:hAnsi="Times New Roman" w:cs="Times New Roman"/>
          <w:b/>
          <w:bCs/>
          <w:sz w:val="28"/>
          <w:szCs w:val="28"/>
          <w:lang w:val="es-ES_tradnl"/>
        </w:rPr>
      </w:pPr>
      <w:r w:rsidRPr="008D2758">
        <w:rPr>
          <w:rFonts w:ascii="Times New Roman" w:hAnsi="Times New Roman" w:cs="Times New Roman"/>
          <w:b/>
          <w:bCs/>
          <w:sz w:val="28"/>
          <w:szCs w:val="28"/>
          <w:lang w:val="es-ES_tradnl"/>
        </w:rPr>
        <w:t xml:space="preserve">Magistrada </w:t>
      </w:r>
      <w:r w:rsidRPr="008D2758">
        <w:rPr>
          <w:rFonts w:ascii="Times New Roman" w:hAnsi="Times New Roman" w:cs="Times New Roman"/>
          <w:b/>
          <w:bCs/>
          <w:sz w:val="28"/>
          <w:szCs w:val="28"/>
          <w:lang w:val="es-ES_tradnl"/>
        </w:rPr>
        <w:t>sustanciadora:</w:t>
      </w:r>
    </w:p>
    <w:p w:rsidR="00266AF7" w:rsidRPr="008D2758" w:rsidRDefault="008D2758" w:rsidP="00070311">
      <w:pPr>
        <w:kinsoku w:val="0"/>
        <w:overflowPunct w:val="0"/>
        <w:autoSpaceDE w:val="0"/>
        <w:autoSpaceDN w:val="0"/>
        <w:adjustRightInd w:val="0"/>
        <w:ind w:left="4395" w:right="49"/>
        <w:rPr>
          <w:rFonts w:ascii="Times New Roman" w:hAnsi="Times New Roman" w:cs="Times New Roman"/>
          <w:sz w:val="28"/>
          <w:szCs w:val="28"/>
          <w:lang w:val="es-ES_tradnl"/>
        </w:rPr>
      </w:pPr>
      <w:r w:rsidRPr="008D2758">
        <w:rPr>
          <w:rFonts w:ascii="Times New Roman" w:hAnsi="Times New Roman" w:cs="Times New Roman"/>
          <w:sz w:val="28"/>
          <w:szCs w:val="28"/>
          <w:lang w:val="es-ES_tradnl"/>
        </w:rPr>
        <w:t>Natalia Ángel Cabo</w:t>
      </w:r>
    </w:p>
    <w:p w:rsidR="00266AF7" w:rsidRPr="008D2758" w:rsidRDefault="008D2758" w:rsidP="00070311">
      <w:pPr>
        <w:kinsoku w:val="0"/>
        <w:overflowPunct w:val="0"/>
        <w:autoSpaceDE w:val="0"/>
        <w:autoSpaceDN w:val="0"/>
        <w:adjustRightInd w:val="0"/>
        <w:ind w:right="49"/>
        <w:jc w:val="both"/>
        <w:rPr>
          <w:rFonts w:ascii="Times New Roman" w:hAnsi="Times New Roman" w:cs="Times New Roman"/>
          <w:sz w:val="28"/>
          <w:szCs w:val="28"/>
          <w:lang w:val="es-ES_tradnl"/>
        </w:rPr>
      </w:pPr>
    </w:p>
    <w:p w:rsidR="00266AF7" w:rsidRPr="008D2758" w:rsidRDefault="008D2758" w:rsidP="00070311">
      <w:pPr>
        <w:kinsoku w:val="0"/>
        <w:overflowPunct w:val="0"/>
        <w:autoSpaceDE w:val="0"/>
        <w:autoSpaceDN w:val="0"/>
        <w:adjustRightInd w:val="0"/>
        <w:ind w:right="49"/>
        <w:jc w:val="both"/>
        <w:rPr>
          <w:rFonts w:ascii="Times New Roman" w:hAnsi="Times New Roman" w:cs="Times New Roman"/>
          <w:sz w:val="28"/>
          <w:szCs w:val="28"/>
          <w:lang w:val="es-ES_tradnl"/>
        </w:rPr>
      </w:pPr>
      <w:r w:rsidRPr="008D2758">
        <w:rPr>
          <w:rFonts w:ascii="Times New Roman" w:hAnsi="Times New Roman" w:cs="Times New Roman"/>
          <w:sz w:val="28"/>
          <w:szCs w:val="28"/>
          <w:lang w:val="es-ES_tradnl"/>
        </w:rPr>
        <w:t>Bogotá D.C.</w:t>
      </w:r>
      <w:r w:rsidRPr="008D2758">
        <w:rPr>
          <w:rFonts w:ascii="Times New Roman" w:hAnsi="Times New Roman" w:cs="Times New Roman"/>
          <w:sz w:val="28"/>
          <w:szCs w:val="28"/>
          <w:lang w:val="es-ES_tradnl"/>
        </w:rPr>
        <w:t xml:space="preserve">, </w:t>
      </w:r>
      <w:r w:rsidRPr="008D2758">
        <w:rPr>
          <w:rFonts w:ascii="Times New Roman" w:hAnsi="Times New Roman" w:cs="Times New Roman"/>
          <w:sz w:val="28"/>
          <w:szCs w:val="28"/>
          <w:lang w:val="es-ES_tradnl"/>
        </w:rPr>
        <w:t>seis (</w:t>
      </w:r>
      <w:r w:rsidRPr="008D2758">
        <w:rPr>
          <w:rFonts w:ascii="Times New Roman" w:hAnsi="Times New Roman" w:cs="Times New Roman"/>
          <w:sz w:val="28"/>
          <w:szCs w:val="28"/>
          <w:lang w:val="es-ES_tradnl"/>
        </w:rPr>
        <w:t>6</w:t>
      </w:r>
      <w:r w:rsidRPr="008D2758">
        <w:rPr>
          <w:rFonts w:ascii="Times New Roman" w:hAnsi="Times New Roman" w:cs="Times New Roman"/>
          <w:sz w:val="28"/>
          <w:szCs w:val="28"/>
          <w:lang w:val="es-ES_tradnl"/>
        </w:rPr>
        <w:t>)</w:t>
      </w:r>
      <w:r w:rsidRPr="008D2758">
        <w:rPr>
          <w:rFonts w:ascii="Times New Roman" w:hAnsi="Times New Roman" w:cs="Times New Roman"/>
          <w:sz w:val="28"/>
          <w:szCs w:val="28"/>
          <w:lang w:val="es-ES_tradnl"/>
        </w:rPr>
        <w:t xml:space="preserve"> de noviembre de </w:t>
      </w:r>
      <w:r w:rsidRPr="008D2758">
        <w:rPr>
          <w:rFonts w:ascii="Times New Roman" w:hAnsi="Times New Roman" w:cs="Times New Roman"/>
          <w:sz w:val="28"/>
          <w:szCs w:val="28"/>
          <w:lang w:val="es-ES_tradnl"/>
        </w:rPr>
        <w:t>dos mil veinticuatro (</w:t>
      </w:r>
      <w:r w:rsidRPr="008D2758">
        <w:rPr>
          <w:rFonts w:ascii="Times New Roman" w:hAnsi="Times New Roman" w:cs="Times New Roman"/>
          <w:sz w:val="28"/>
          <w:szCs w:val="28"/>
          <w:lang w:val="es-ES_tradnl"/>
        </w:rPr>
        <w:t>2024</w:t>
      </w:r>
      <w:r w:rsidRPr="008D2758">
        <w:rPr>
          <w:rFonts w:ascii="Times New Roman" w:hAnsi="Times New Roman" w:cs="Times New Roman"/>
          <w:sz w:val="28"/>
          <w:szCs w:val="28"/>
          <w:lang w:val="es-ES_tradnl"/>
        </w:rPr>
        <w:t>)</w:t>
      </w:r>
      <w:r w:rsidRPr="008D2758">
        <w:rPr>
          <w:rFonts w:ascii="Times New Roman" w:hAnsi="Times New Roman" w:cs="Times New Roman"/>
          <w:sz w:val="28"/>
          <w:szCs w:val="28"/>
          <w:lang w:val="es-ES_tradnl"/>
        </w:rPr>
        <w:t xml:space="preserve">. </w:t>
      </w:r>
      <w:r w:rsidRPr="008D2758">
        <w:rPr>
          <w:rFonts w:ascii="Times New Roman" w:hAnsi="Times New Roman" w:cs="Times New Roman"/>
          <w:sz w:val="28"/>
          <w:szCs w:val="28"/>
          <w:lang w:val="es-ES_tradnl"/>
        </w:rPr>
        <w:t xml:space="preserve"> </w:t>
      </w:r>
    </w:p>
    <w:p w:rsidR="00A6560A" w:rsidRPr="008D2758" w:rsidRDefault="008D2758" w:rsidP="00070311">
      <w:pPr>
        <w:kinsoku w:val="0"/>
        <w:overflowPunct w:val="0"/>
        <w:autoSpaceDE w:val="0"/>
        <w:autoSpaceDN w:val="0"/>
        <w:adjustRightInd w:val="0"/>
        <w:ind w:right="49"/>
        <w:jc w:val="both"/>
        <w:rPr>
          <w:rFonts w:ascii="Times New Roman" w:hAnsi="Times New Roman" w:cs="Times New Roman"/>
          <w:sz w:val="28"/>
          <w:szCs w:val="28"/>
          <w:lang w:val="es-ES_tradnl"/>
        </w:rPr>
      </w:pPr>
    </w:p>
    <w:p w:rsidR="00824E72" w:rsidRPr="008D2758" w:rsidRDefault="008D2758" w:rsidP="00070311">
      <w:pPr>
        <w:jc w:val="both"/>
        <w:rPr>
          <w:rFonts w:ascii="Times New Roman" w:hAnsi="Times New Roman" w:cs="Times New Roman"/>
          <w:sz w:val="28"/>
        </w:rPr>
      </w:pPr>
      <w:r w:rsidRPr="008D2758">
        <w:rPr>
          <w:rFonts w:ascii="Times New Roman" w:hAnsi="Times New Roman" w:cs="Times New Roman"/>
          <w:sz w:val="28"/>
          <w:szCs w:val="28"/>
          <w:shd w:val="clear" w:color="auto" w:fill="FFFFFF"/>
        </w:rPr>
        <w:t>La Sala Plena de la Corte Constitucional</w:t>
      </w:r>
      <w:r w:rsidRPr="008D2758">
        <w:rPr>
          <w:rFonts w:ascii="Times New Roman" w:hAnsi="Times New Roman" w:cs="Times New Roman"/>
          <w:sz w:val="28"/>
          <w:szCs w:val="28"/>
          <w:shd w:val="clear" w:color="auto" w:fill="FFFFFF"/>
        </w:rPr>
        <w:t>,</w:t>
      </w:r>
      <w:r w:rsidRPr="008D2758">
        <w:rPr>
          <w:rFonts w:ascii="Times New Roman" w:hAnsi="Times New Roman" w:cs="Times New Roman"/>
          <w:sz w:val="28"/>
          <w:szCs w:val="28"/>
          <w:shd w:val="clear" w:color="auto" w:fill="FFFFFF"/>
        </w:rPr>
        <w:t xml:space="preserve"> en ejercicio de sus competencias constitucionales y en cumplimiento de los requisitos y trámites establecidos en el Decreto Ley 2067 de 1991, profiere la siguiente</w:t>
      </w:r>
      <w:r w:rsidRPr="008D2758">
        <w:rPr>
          <w:rFonts w:ascii="Times New Roman" w:hAnsi="Times New Roman" w:cs="Times New Roman"/>
          <w:sz w:val="28"/>
          <w:szCs w:val="28"/>
          <w:shd w:val="clear" w:color="auto" w:fill="FFFFFF"/>
        </w:rPr>
        <w:t>:</w:t>
      </w:r>
      <w:r w:rsidRPr="008D2758">
        <w:rPr>
          <w:rFonts w:ascii="Times New Roman" w:hAnsi="Times New Roman" w:cs="Times New Roman"/>
          <w:sz w:val="28"/>
          <w:szCs w:val="28"/>
          <w:shd w:val="clear" w:color="auto" w:fill="FFFFFF"/>
        </w:rPr>
        <w:t xml:space="preserve"> </w:t>
      </w:r>
    </w:p>
    <w:p w:rsidR="00500B32" w:rsidRPr="008D2758" w:rsidRDefault="008D2758" w:rsidP="00070311">
      <w:pPr>
        <w:tabs>
          <w:tab w:val="left" w:pos="2608"/>
        </w:tabs>
        <w:contextualSpacing/>
        <w:jc w:val="both"/>
        <w:rPr>
          <w:rFonts w:ascii="Times New Roman" w:hAnsi="Times New Roman" w:cs="Times New Roman"/>
          <w:sz w:val="28"/>
          <w:szCs w:val="28"/>
          <w:lang w:val="es-ES"/>
        </w:rPr>
      </w:pPr>
    </w:p>
    <w:p w:rsidR="00A6560A" w:rsidRPr="008D2758" w:rsidRDefault="008D2758" w:rsidP="00070311">
      <w:pPr>
        <w:kinsoku w:val="0"/>
        <w:overflowPunct w:val="0"/>
        <w:autoSpaceDE w:val="0"/>
        <w:autoSpaceDN w:val="0"/>
        <w:adjustRightInd w:val="0"/>
        <w:ind w:right="49"/>
        <w:jc w:val="center"/>
        <w:rPr>
          <w:rFonts w:ascii="Times New Roman" w:hAnsi="Times New Roman" w:cs="Times New Roman"/>
          <w:sz w:val="28"/>
          <w:szCs w:val="28"/>
          <w:lang w:val="es-ES_tradnl"/>
        </w:rPr>
      </w:pPr>
      <w:r w:rsidRPr="008D2758">
        <w:rPr>
          <w:rFonts w:ascii="Times New Roman" w:hAnsi="Times New Roman" w:cs="Times New Roman"/>
          <w:b/>
          <w:bCs/>
          <w:sz w:val="28"/>
          <w:szCs w:val="28"/>
        </w:rPr>
        <w:t xml:space="preserve">SENTENCIA. </w:t>
      </w:r>
    </w:p>
    <w:p w:rsidR="00266AF7" w:rsidRPr="008D2758" w:rsidRDefault="008D2758" w:rsidP="00893A6A">
      <w:pPr>
        <w:ind w:right="48"/>
        <w:contextualSpacing/>
        <w:jc w:val="both"/>
        <w:rPr>
          <w:rFonts w:ascii="Times New Roman" w:eastAsia="Calibri" w:hAnsi="Times New Roman" w:cs="Times New Roman"/>
          <w:b/>
          <w:bCs/>
          <w:sz w:val="28"/>
          <w:szCs w:val="28"/>
          <w:lang w:val="es-ES_tradnl" w:eastAsia="es-ES"/>
        </w:rPr>
      </w:pPr>
    </w:p>
    <w:p w:rsidR="00B316DB" w:rsidRPr="008D2758" w:rsidRDefault="008D2758" w:rsidP="00893A6A">
      <w:pPr>
        <w:ind w:right="48"/>
        <w:contextualSpacing/>
        <w:jc w:val="both"/>
        <w:rPr>
          <w:rFonts w:ascii="Times New Roman" w:eastAsia="Calibri" w:hAnsi="Times New Roman" w:cs="Times New Roman"/>
          <w:b/>
          <w:bCs/>
          <w:sz w:val="28"/>
          <w:szCs w:val="28"/>
          <w:lang w:val="es-ES_tradnl" w:eastAsia="es-ES"/>
        </w:rPr>
      </w:pPr>
      <w:r w:rsidRPr="008D2758">
        <w:rPr>
          <w:rFonts w:ascii="Times New Roman" w:eastAsia="Calibri" w:hAnsi="Times New Roman" w:cs="Times New Roman"/>
          <w:b/>
          <w:bCs/>
          <w:sz w:val="28"/>
          <w:szCs w:val="28"/>
          <w:lang w:val="es-ES_tradnl" w:eastAsia="es-ES"/>
        </w:rPr>
        <w:t>Síntesis</w:t>
      </w:r>
    </w:p>
    <w:p w:rsidR="00B316DB" w:rsidRPr="008D2758" w:rsidRDefault="008D2758" w:rsidP="00893A6A">
      <w:pPr>
        <w:ind w:right="48"/>
        <w:contextualSpacing/>
        <w:jc w:val="both"/>
        <w:rPr>
          <w:rFonts w:ascii="Times New Roman" w:eastAsia="Calibri" w:hAnsi="Times New Roman" w:cs="Times New Roman"/>
          <w:sz w:val="28"/>
          <w:szCs w:val="28"/>
          <w:lang w:val="es-ES_tradnl" w:eastAsia="es-ES"/>
        </w:rPr>
      </w:pPr>
    </w:p>
    <w:p w:rsidR="00B316DB" w:rsidRPr="008D2758" w:rsidRDefault="008D2758" w:rsidP="00893A6A">
      <w:pPr>
        <w:ind w:right="48"/>
        <w:contextualSpacing/>
        <w:jc w:val="both"/>
        <w:rPr>
          <w:rFonts w:ascii="Times New Roman" w:eastAsia="Calibri" w:hAnsi="Times New Roman" w:cs="Times New Roman"/>
          <w:sz w:val="28"/>
          <w:szCs w:val="28"/>
          <w:lang w:val="es-ES_tradnl" w:eastAsia="es-ES"/>
        </w:rPr>
      </w:pPr>
      <w:r w:rsidRPr="008D2758">
        <w:rPr>
          <w:rFonts w:ascii="Times New Roman" w:eastAsia="Calibri" w:hAnsi="Times New Roman" w:cs="Times New Roman"/>
          <w:sz w:val="28"/>
          <w:szCs w:val="28"/>
          <w:lang w:val="es-ES_tradnl" w:eastAsia="es-ES"/>
        </w:rPr>
        <w:t xml:space="preserve">La Corte </w:t>
      </w:r>
      <w:r w:rsidRPr="008D2758">
        <w:rPr>
          <w:rFonts w:ascii="Times New Roman" w:eastAsia="Calibri" w:hAnsi="Times New Roman" w:cs="Times New Roman"/>
          <w:sz w:val="28"/>
          <w:szCs w:val="28"/>
          <w:lang w:val="es-ES_tradnl" w:eastAsia="es-ES"/>
        </w:rPr>
        <w:t xml:space="preserve">Constitucional estudió una demanda de </w:t>
      </w:r>
      <w:r w:rsidRPr="008D2758">
        <w:rPr>
          <w:rFonts w:ascii="Times New Roman" w:eastAsia="Calibri" w:hAnsi="Times New Roman" w:cs="Times New Roman"/>
          <w:sz w:val="28"/>
          <w:szCs w:val="28"/>
          <w:lang w:val="es-ES_tradnl" w:eastAsia="es-ES"/>
        </w:rPr>
        <w:t>inconstitucionalidad presentada en contra del artículo 8° (parcial) de la Ley 2195 de 2022, referida al término de caducidad para las investigaciones administrativas contra personas jurídicas por actos de corrupción cometidos por sus administradores, funci</w:t>
      </w:r>
      <w:r w:rsidRPr="008D2758">
        <w:rPr>
          <w:rFonts w:ascii="Times New Roman" w:eastAsia="Calibri" w:hAnsi="Times New Roman" w:cs="Times New Roman"/>
          <w:sz w:val="28"/>
          <w:szCs w:val="28"/>
          <w:lang w:val="es-ES_tradnl" w:eastAsia="es-ES"/>
        </w:rPr>
        <w:t>onarios o empleados. La norma cuestionada permitía que el ejercicio de la facultad sancionatoria administrativa se ejerciera dentro de los 10 años siguientes a la ejecutoria de la condena penal o del reconocimiento del principio de oportunidad, independien</w:t>
      </w:r>
      <w:r w:rsidRPr="008D2758">
        <w:rPr>
          <w:rFonts w:ascii="Times New Roman" w:eastAsia="Calibri" w:hAnsi="Times New Roman" w:cs="Times New Roman"/>
          <w:sz w:val="28"/>
          <w:szCs w:val="28"/>
          <w:lang w:val="es-ES_tradnl" w:eastAsia="es-ES"/>
        </w:rPr>
        <w:t>temente de la fecha de comisión del delito. Para el demandante, la posibilidad de ejercer la competencia sancionatoria sin importar la fecha de la conducta punible vulnera el principio de irretroactividad que surge del artículo 29 de la Constitución, en ta</w:t>
      </w:r>
      <w:r w:rsidRPr="008D2758">
        <w:rPr>
          <w:rFonts w:ascii="Times New Roman" w:eastAsia="Calibri" w:hAnsi="Times New Roman" w:cs="Times New Roman"/>
          <w:sz w:val="28"/>
          <w:szCs w:val="28"/>
          <w:lang w:val="es-ES_tradnl" w:eastAsia="es-ES"/>
        </w:rPr>
        <w:t>nto permite la aplicación de la norma a hechos ocurridos antes de su vigencia.</w:t>
      </w:r>
    </w:p>
    <w:p w:rsidR="00815BDE" w:rsidRPr="008D2758" w:rsidRDefault="008D2758" w:rsidP="00893A6A">
      <w:pPr>
        <w:ind w:right="48"/>
        <w:contextualSpacing/>
        <w:jc w:val="both"/>
        <w:rPr>
          <w:rFonts w:ascii="Times New Roman" w:eastAsia="Calibri" w:hAnsi="Times New Roman" w:cs="Times New Roman"/>
          <w:sz w:val="28"/>
          <w:szCs w:val="28"/>
          <w:lang w:val="es-ES_tradnl" w:eastAsia="es-ES"/>
        </w:rPr>
      </w:pPr>
    </w:p>
    <w:p w:rsidR="00815BDE" w:rsidRPr="008D2758" w:rsidRDefault="008D2758" w:rsidP="211C61EE">
      <w:pPr>
        <w:ind w:right="48"/>
        <w:contextualSpacing/>
        <w:jc w:val="both"/>
        <w:rPr>
          <w:rFonts w:ascii="Times New Roman" w:eastAsia="Calibri" w:hAnsi="Times New Roman" w:cs="Times New Roman"/>
          <w:sz w:val="28"/>
          <w:szCs w:val="28"/>
          <w:lang w:val="es-ES" w:eastAsia="es-ES"/>
        </w:rPr>
      </w:pPr>
      <w:r w:rsidRPr="008D2758">
        <w:rPr>
          <w:rFonts w:ascii="Times New Roman" w:eastAsia="Calibri" w:hAnsi="Times New Roman" w:cs="Times New Roman"/>
          <w:sz w:val="28"/>
          <w:szCs w:val="28"/>
          <w:lang w:val="es-ES" w:eastAsia="es-ES"/>
        </w:rPr>
        <w:t xml:space="preserve">La Corte resolvió estarse a lo resuelto en la sentencia C-397 de 2024 por existir cosa juzgada formal y absoluta. En efecto, dicha providencia declaró la inexequibilidad de la </w:t>
      </w:r>
      <w:r w:rsidRPr="008D2758">
        <w:rPr>
          <w:rFonts w:ascii="Times New Roman" w:eastAsia="Calibri" w:hAnsi="Times New Roman" w:cs="Times New Roman"/>
          <w:sz w:val="28"/>
          <w:szCs w:val="28"/>
          <w:lang w:val="es-ES" w:eastAsia="es-ES"/>
        </w:rPr>
        <w:t>misma norma</w:t>
      </w:r>
      <w:r w:rsidRPr="008D2758">
        <w:rPr>
          <w:rFonts w:ascii="Times New Roman" w:eastAsia="Calibri" w:hAnsi="Times New Roman" w:cs="Times New Roman"/>
          <w:sz w:val="28"/>
          <w:szCs w:val="28"/>
          <w:lang w:val="es-ES" w:eastAsia="es-ES"/>
        </w:rPr>
        <w:t xml:space="preserve"> que ahora se demanda, por un cargo igual al que aquí se formula.</w:t>
      </w:r>
    </w:p>
    <w:p w:rsidR="00B316DB" w:rsidRPr="008D2758" w:rsidRDefault="008D2758" w:rsidP="00893A6A">
      <w:pPr>
        <w:ind w:right="48"/>
        <w:contextualSpacing/>
        <w:jc w:val="both"/>
        <w:rPr>
          <w:rFonts w:ascii="Times New Roman" w:eastAsia="Calibri" w:hAnsi="Times New Roman" w:cs="Times New Roman"/>
          <w:sz w:val="28"/>
          <w:szCs w:val="28"/>
          <w:lang w:val="es-ES_tradnl" w:eastAsia="es-ES"/>
        </w:rPr>
      </w:pPr>
    </w:p>
    <w:p w:rsidR="00CA0ED4" w:rsidRPr="008D2758" w:rsidRDefault="008D2758" w:rsidP="00024F64">
      <w:pPr>
        <w:pStyle w:val="Ttulo1"/>
        <w:numPr>
          <w:ilvl w:val="0"/>
          <w:numId w:val="2"/>
        </w:numPr>
        <w:spacing w:before="0"/>
        <w:rPr>
          <w:rFonts w:ascii="Times New Roman" w:hAnsi="Times New Roman" w:cs="Times New Roman"/>
          <w:b/>
          <w:bCs/>
          <w:color w:val="auto"/>
          <w:sz w:val="28"/>
        </w:rPr>
      </w:pPr>
      <w:r w:rsidRPr="008D2758">
        <w:rPr>
          <w:rFonts w:ascii="Times New Roman" w:hAnsi="Times New Roman" w:cs="Times New Roman"/>
          <w:b/>
          <w:bCs/>
          <w:color w:val="auto"/>
          <w:sz w:val="28"/>
          <w:szCs w:val="28"/>
        </w:rPr>
        <w:t>Antecedentes</w:t>
      </w:r>
    </w:p>
    <w:p w:rsidR="005C3B5B" w:rsidRPr="008D2758" w:rsidRDefault="008D2758" w:rsidP="00893A6A">
      <w:pPr>
        <w:ind w:left="1080"/>
        <w:rPr>
          <w:rFonts w:ascii="Times New Roman" w:hAnsi="Times New Roman" w:cs="Times New Roman"/>
          <w:b/>
          <w:bCs/>
          <w:sz w:val="28"/>
          <w:szCs w:val="28"/>
        </w:rPr>
      </w:pPr>
    </w:p>
    <w:p w:rsidR="00FF096D" w:rsidRPr="008D2758" w:rsidRDefault="008D2758" w:rsidP="00070311">
      <w:pPr>
        <w:pStyle w:val="Prrafodelista"/>
        <w:rPr>
          <w:lang w:val="es-ES_tradnl"/>
        </w:rPr>
      </w:pPr>
      <w:r w:rsidRPr="008D2758">
        <w:t>En ejercicio de la acción pública de inconstitucionalidad consagrada en el artículo 241 de la Constitución Política,</w:t>
      </w:r>
      <w:r w:rsidRPr="008D2758">
        <w:t xml:space="preserve"> </w:t>
      </w:r>
      <w:r w:rsidRPr="008D2758">
        <w:t xml:space="preserve">el ciudadano </w:t>
      </w:r>
      <w:r w:rsidRPr="008D2758">
        <w:t>Jaime Eduardo Chaves Villada</w:t>
      </w:r>
      <w:r w:rsidRPr="008D2758">
        <w:t xml:space="preserve"> </w:t>
      </w:r>
      <w:r w:rsidRPr="008D2758">
        <w:t>formuló</w:t>
      </w:r>
      <w:r w:rsidRPr="008D2758">
        <w:t xml:space="preserve"> demanda de inconstitucionalidad </w:t>
      </w:r>
      <w:r w:rsidRPr="008D2758">
        <w:t xml:space="preserve">en </w:t>
      </w:r>
      <w:r w:rsidRPr="008D2758">
        <w:t xml:space="preserve">contra </w:t>
      </w:r>
      <w:r w:rsidRPr="008D2758">
        <w:t>d</w:t>
      </w:r>
      <w:r w:rsidRPr="008D2758">
        <w:rPr>
          <w:lang w:val="es-ES_tradnl"/>
        </w:rPr>
        <w:t xml:space="preserve">el </w:t>
      </w:r>
      <w:r w:rsidRPr="008D2758">
        <w:rPr>
          <w:lang w:val="es-ES_tradnl"/>
        </w:rPr>
        <w:t xml:space="preserve">artículo </w:t>
      </w:r>
      <w:r w:rsidRPr="008D2758">
        <w:rPr>
          <w:lang w:val="es-ES_tradnl"/>
        </w:rPr>
        <w:t>8</w:t>
      </w:r>
      <w:r w:rsidRPr="008D2758">
        <w:rPr>
          <w:lang w:val="es-ES_tradnl"/>
        </w:rPr>
        <w:t xml:space="preserve"> </w:t>
      </w:r>
      <w:r w:rsidRPr="008D2758">
        <w:t xml:space="preserve">(parcial) </w:t>
      </w:r>
      <w:r w:rsidRPr="008D2758">
        <w:rPr>
          <w:lang w:val="es-ES_tradnl"/>
        </w:rPr>
        <w:t xml:space="preserve">de la Ley </w:t>
      </w:r>
      <w:r w:rsidRPr="008D2758">
        <w:rPr>
          <w:lang w:val="es-ES_tradnl"/>
        </w:rPr>
        <w:t>2195 de 2022</w:t>
      </w:r>
      <w:r w:rsidRPr="008D2758">
        <w:rPr>
          <w:lang w:val="es-ES_tradnl"/>
        </w:rPr>
        <w:t>, “[p]or medio de la cual se adoptan medidas en materia de transparencia, prevención y lucha contra la corrupción y se dictan otras disposiciones”</w:t>
      </w:r>
      <w:r w:rsidRPr="008D2758">
        <w:t xml:space="preserve">. En su </w:t>
      </w:r>
      <w:r w:rsidRPr="008D2758">
        <w:t>escri</w:t>
      </w:r>
      <w:r w:rsidRPr="008D2758">
        <w:t>to</w:t>
      </w:r>
      <w:r w:rsidRPr="008D2758">
        <w:t>, el accionante alegó</w:t>
      </w:r>
      <w:r w:rsidRPr="008D2758">
        <w:t xml:space="preserve"> que la disposici</w:t>
      </w:r>
      <w:r w:rsidRPr="008D2758">
        <w:t>ón acusada vulnera el artículo 29 de la Constitución Política.</w:t>
      </w:r>
    </w:p>
    <w:p w:rsidR="00FF096D" w:rsidRPr="008D2758" w:rsidRDefault="008D2758" w:rsidP="00070311">
      <w:pPr>
        <w:pStyle w:val="Prrafodelista"/>
        <w:numPr>
          <w:ilvl w:val="0"/>
          <w:numId w:val="0"/>
        </w:numPr>
        <w:rPr>
          <w:lang w:val="es-ES_tradnl"/>
        </w:rPr>
      </w:pPr>
    </w:p>
    <w:p w:rsidR="00FF096D" w:rsidRPr="008D2758" w:rsidRDefault="008D2758" w:rsidP="00070311">
      <w:pPr>
        <w:pStyle w:val="Prrafodelista"/>
        <w:rPr>
          <w:lang w:val="es-ES_tradnl"/>
        </w:rPr>
      </w:pPr>
      <w:r w:rsidRPr="008D2758">
        <w:rPr>
          <w:lang w:val="es-ES_tradnl"/>
        </w:rPr>
        <w:t>Inicialmente, mediante auto del 8 de abril de 2024, la magistrada sustanciadora inadmitió todos los cargos formulados por el ciudadano</w:t>
      </w:r>
      <w:r w:rsidRPr="008D2758">
        <w:rPr>
          <w:lang w:val="es-ES_tradnl"/>
        </w:rPr>
        <w:t xml:space="preserve"> por </w:t>
      </w:r>
      <w:r w:rsidRPr="008D2758">
        <w:rPr>
          <w:lang w:val="es-ES_tradnl"/>
        </w:rPr>
        <w:t xml:space="preserve">no </w:t>
      </w:r>
      <w:r w:rsidRPr="008D2758">
        <w:rPr>
          <w:lang w:val="es-ES_tradnl"/>
        </w:rPr>
        <w:t xml:space="preserve">satisfacer los requisitos de admisibilidad. </w:t>
      </w:r>
      <w:r w:rsidRPr="008D2758">
        <w:rPr>
          <w:lang w:val="es-ES_tradnl"/>
        </w:rPr>
        <w:t xml:space="preserve">En esa decisión, la magistrada concedió tres días para que el demandante </w:t>
      </w:r>
      <w:r w:rsidRPr="008D2758">
        <w:rPr>
          <w:lang w:val="es-ES_tradnl"/>
        </w:rPr>
        <w:t>corrigiera la demanda.</w:t>
      </w:r>
    </w:p>
    <w:p w:rsidR="00FF096D" w:rsidRPr="008D2758" w:rsidRDefault="008D2758" w:rsidP="00070311">
      <w:pPr>
        <w:pStyle w:val="Prrafodelista"/>
        <w:numPr>
          <w:ilvl w:val="0"/>
          <w:numId w:val="0"/>
        </w:numPr>
        <w:rPr>
          <w:lang w:val="es-ES_tradnl"/>
        </w:rPr>
      </w:pPr>
    </w:p>
    <w:p w:rsidR="001050D1" w:rsidRPr="008D2758" w:rsidRDefault="008D2758" w:rsidP="72AB2DCF">
      <w:pPr>
        <w:pStyle w:val="Prrafodelista"/>
        <w:rPr>
          <w:lang w:val="es-ES"/>
        </w:rPr>
      </w:pPr>
      <w:r w:rsidRPr="008D2758">
        <w:rPr>
          <w:lang w:val="es-ES"/>
        </w:rPr>
        <w:t>E</w:t>
      </w:r>
      <w:r w:rsidRPr="008D2758">
        <w:rPr>
          <w:lang w:val="es-ES"/>
        </w:rPr>
        <w:t xml:space="preserve">l 15 de abril de 2024, el señor Chaves </w:t>
      </w:r>
      <w:r w:rsidRPr="008D2758">
        <w:rPr>
          <w:lang w:val="es-ES"/>
        </w:rPr>
        <w:t xml:space="preserve">Villada </w:t>
      </w:r>
      <w:r w:rsidRPr="008D2758">
        <w:rPr>
          <w:lang w:val="es-ES"/>
        </w:rPr>
        <w:t xml:space="preserve">corrigió </w:t>
      </w:r>
      <w:r w:rsidRPr="008D2758">
        <w:rPr>
          <w:lang w:val="es-ES"/>
        </w:rPr>
        <w:t>en tiempo</w:t>
      </w:r>
      <w:r w:rsidRPr="008D2758">
        <w:rPr>
          <w:lang w:val="es-ES"/>
        </w:rPr>
        <w:t xml:space="preserve"> </w:t>
      </w:r>
      <w:r w:rsidRPr="008D2758">
        <w:rPr>
          <w:lang w:val="es-ES"/>
        </w:rPr>
        <w:t xml:space="preserve">algunos de </w:t>
      </w:r>
      <w:r w:rsidRPr="008D2758">
        <w:rPr>
          <w:lang w:val="es-ES"/>
        </w:rPr>
        <w:t xml:space="preserve">los </w:t>
      </w:r>
      <w:r w:rsidRPr="008D2758">
        <w:rPr>
          <w:lang w:val="es-ES"/>
        </w:rPr>
        <w:t xml:space="preserve">problemas </w:t>
      </w:r>
      <w:r w:rsidRPr="008D2758">
        <w:rPr>
          <w:lang w:val="es-ES"/>
        </w:rPr>
        <w:t>id</w:t>
      </w:r>
      <w:r w:rsidRPr="008D2758">
        <w:rPr>
          <w:lang w:val="es-ES"/>
        </w:rPr>
        <w:t xml:space="preserve">entificados en su </w:t>
      </w:r>
      <w:r w:rsidRPr="008D2758">
        <w:rPr>
          <w:lang w:val="es-ES"/>
        </w:rPr>
        <w:t>demanda inicial</w:t>
      </w:r>
      <w:r w:rsidRPr="008D2758">
        <w:rPr>
          <w:lang w:val="es-ES"/>
        </w:rPr>
        <w:t xml:space="preserve">. El </w:t>
      </w:r>
      <w:r w:rsidRPr="008D2758">
        <w:rPr>
          <w:lang w:val="es-ES"/>
        </w:rPr>
        <w:t xml:space="preserve">30 de abril de 2024, la magistrada ponente </w:t>
      </w:r>
      <w:r w:rsidRPr="008D2758">
        <w:rPr>
          <w:lang w:val="es-ES"/>
        </w:rPr>
        <w:t>admitió</w:t>
      </w:r>
      <w:r w:rsidRPr="008D2758">
        <w:rPr>
          <w:lang w:val="es-ES"/>
        </w:rPr>
        <w:t xml:space="preserve"> </w:t>
      </w:r>
      <w:r w:rsidRPr="008D2758">
        <w:rPr>
          <w:lang w:val="es-ES"/>
        </w:rPr>
        <w:t xml:space="preserve">únicamente el </w:t>
      </w:r>
      <w:r w:rsidRPr="008D2758">
        <w:rPr>
          <w:lang w:val="es-ES"/>
        </w:rPr>
        <w:t xml:space="preserve">cargo </w:t>
      </w:r>
      <w:r w:rsidRPr="008D2758">
        <w:rPr>
          <w:lang w:val="es-ES"/>
        </w:rPr>
        <w:t xml:space="preserve">según el cual </w:t>
      </w:r>
      <w:r w:rsidRPr="008D2758">
        <w:rPr>
          <w:lang w:val="es-ES"/>
        </w:rPr>
        <w:t xml:space="preserve">las expresiones demandadas, </w:t>
      </w:r>
      <w:r w:rsidRPr="008D2758">
        <w:t>al permitir la aplicación de sanciones administrativas a personas jurídicas por hechos ocurridos antes de su vigencia, resu</w:t>
      </w:r>
      <w:r w:rsidRPr="008D2758">
        <w:t>lta violatoria de</w:t>
      </w:r>
      <w:r w:rsidRPr="008D2758">
        <w:t xml:space="preserve">l derecho fundamental al debido proceso consagrado en el artículo 29 de la Constitución </w:t>
      </w:r>
      <w:r w:rsidRPr="008D2758">
        <w:t>(principio de irretroactividad)</w:t>
      </w:r>
      <w:r w:rsidRPr="008D2758">
        <w:rPr>
          <w:rStyle w:val="Refdenotaalpie"/>
        </w:rPr>
        <w:footnoteReference w:id="1"/>
      </w:r>
      <w:r w:rsidRPr="008D2758">
        <w:rPr>
          <w:lang w:val="es-ES"/>
        </w:rPr>
        <w:t xml:space="preserve">.  </w:t>
      </w:r>
    </w:p>
    <w:p w:rsidR="00A6560A" w:rsidRPr="008D2758" w:rsidRDefault="008D2758" w:rsidP="00070311">
      <w:pPr>
        <w:pStyle w:val="Prrafodelista"/>
        <w:widowControl/>
        <w:numPr>
          <w:ilvl w:val="0"/>
          <w:numId w:val="0"/>
        </w:numPr>
        <w:autoSpaceDE/>
        <w:autoSpaceDN/>
        <w:spacing w:before="100" w:beforeAutospacing="1"/>
        <w:rPr>
          <w:iCs/>
        </w:rPr>
      </w:pPr>
    </w:p>
    <w:p w:rsidR="00A6560A" w:rsidRPr="008D2758" w:rsidRDefault="008D2758" w:rsidP="00070311">
      <w:pPr>
        <w:pStyle w:val="Prrafodelista"/>
        <w:rPr>
          <w:lang w:val="es-ES_tradnl"/>
        </w:rPr>
      </w:pPr>
      <w:r w:rsidRPr="008D2758">
        <w:rPr>
          <w:shd w:val="clear" w:color="auto" w:fill="FFFFFF"/>
        </w:rPr>
        <w:t xml:space="preserve">Así mismo, en aplicación de lo previsto en el artículo 7º del Decreto 2067 de 1991, en el auto admisorio se </w:t>
      </w:r>
      <w:r w:rsidRPr="008D2758">
        <w:t>ordenó</w:t>
      </w:r>
      <w:r w:rsidRPr="008D2758">
        <w:t>: (i) fijar en lista la norma acusada para garantiza</w:t>
      </w:r>
      <w:r w:rsidRPr="008D2758">
        <w:t>r las intervenciones ciudadanas,</w:t>
      </w:r>
      <w:r w:rsidRPr="008D2758">
        <w:t xml:space="preserve"> (ii) correr traslado a la </w:t>
      </w:r>
      <w:r w:rsidRPr="008D2758">
        <w:t>P</w:t>
      </w:r>
      <w:r w:rsidRPr="008D2758">
        <w:t>rocurad</w:t>
      </w:r>
      <w:r w:rsidRPr="008D2758">
        <w:t xml:space="preserve">uría General de la Nación </w:t>
      </w:r>
      <w:r w:rsidRPr="008D2758">
        <w:t>para que rinda concepto ante</w:t>
      </w:r>
      <w:r w:rsidRPr="008D2758">
        <w:t xml:space="preserve"> la Corte,</w:t>
      </w:r>
      <w:r w:rsidRPr="008D2758">
        <w:t xml:space="preserve"> (iii) comunicar el inicio del proceso al </w:t>
      </w:r>
      <w:r w:rsidRPr="008D2758">
        <w:t xml:space="preserve">presidente </w:t>
      </w:r>
      <w:r w:rsidRPr="008D2758">
        <w:t xml:space="preserve">de la República, al </w:t>
      </w:r>
      <w:r w:rsidRPr="008D2758">
        <w:t xml:space="preserve">presidente </w:t>
      </w:r>
      <w:r w:rsidRPr="008D2758">
        <w:t>del Congreso, al Ministerio del Interior y al de</w:t>
      </w:r>
      <w:r w:rsidRPr="008D2758">
        <w:t xml:space="preserve"> Justicia y del Derecho. De la misma manera, se invitó a participar en el presente trámite constitucional a </w:t>
      </w:r>
      <w:r w:rsidRPr="008D2758">
        <w:rPr>
          <w:lang w:val="es-ES_tradnl"/>
        </w:rPr>
        <w:t>instituciones y organizaciones</w:t>
      </w:r>
      <w:r w:rsidRPr="008D2758">
        <w:rPr>
          <w:rStyle w:val="Refdenotaalpie"/>
          <w:lang w:val="es-ES_tradnl"/>
        </w:rPr>
        <w:footnoteReference w:id="2"/>
      </w:r>
      <w:r w:rsidRPr="008D2758">
        <w:rPr>
          <w:lang w:val="es-ES_tradnl"/>
        </w:rPr>
        <w:t xml:space="preserve"> para que </w:t>
      </w:r>
      <w:r w:rsidRPr="008D2758">
        <w:rPr>
          <w:lang w:val="es-ES_tradnl"/>
        </w:rPr>
        <w:t>conceptuaran</w:t>
      </w:r>
      <w:r w:rsidRPr="008D2758">
        <w:rPr>
          <w:lang w:val="es-ES_tradnl"/>
        </w:rPr>
        <w:t xml:space="preserve"> sobre la constitucionalidad norma d</w:t>
      </w:r>
      <w:r w:rsidRPr="008D2758">
        <w:rPr>
          <w:lang w:val="es-ES_tradnl"/>
        </w:rPr>
        <w:t>emandada en relación con el cargo admitido.</w:t>
      </w:r>
    </w:p>
    <w:p w:rsidR="005C3B5B" w:rsidRPr="008D2758" w:rsidRDefault="008D2758" w:rsidP="00070311">
      <w:pPr>
        <w:rPr>
          <w:rFonts w:ascii="Times New Roman" w:hAnsi="Times New Roman" w:cs="Times New Roman"/>
          <w:b/>
          <w:bCs/>
          <w:sz w:val="28"/>
          <w:szCs w:val="28"/>
          <w:lang w:val="es-ES_tradnl"/>
        </w:rPr>
      </w:pPr>
    </w:p>
    <w:p w:rsidR="00024F25" w:rsidRPr="008D2758" w:rsidRDefault="008D2758" w:rsidP="00024F64">
      <w:pPr>
        <w:pStyle w:val="Ttulo2"/>
        <w:numPr>
          <w:ilvl w:val="0"/>
          <w:numId w:val="3"/>
        </w:numPr>
        <w:rPr>
          <w:rFonts w:ascii="Times New Roman" w:hAnsi="Times New Roman" w:cs="Times New Roman"/>
          <w:b/>
          <w:bCs/>
          <w:color w:val="auto"/>
          <w:sz w:val="28"/>
        </w:rPr>
      </w:pPr>
      <w:r w:rsidRPr="008D2758">
        <w:rPr>
          <w:rFonts w:ascii="Times New Roman" w:hAnsi="Times New Roman" w:cs="Times New Roman"/>
          <w:b/>
          <w:bCs/>
          <w:color w:val="auto"/>
          <w:sz w:val="28"/>
          <w:szCs w:val="28"/>
        </w:rPr>
        <w:t>Texto de la norma demandada</w:t>
      </w:r>
    </w:p>
    <w:p w:rsidR="005C3B5B" w:rsidRPr="008D2758" w:rsidRDefault="008D2758" w:rsidP="00070311">
      <w:pPr>
        <w:ind w:left="1080"/>
        <w:rPr>
          <w:rFonts w:ascii="Times New Roman" w:hAnsi="Times New Roman" w:cs="Times New Roman"/>
          <w:b/>
          <w:bCs/>
          <w:sz w:val="28"/>
          <w:szCs w:val="28"/>
        </w:rPr>
      </w:pPr>
    </w:p>
    <w:p w:rsidR="00266AF7" w:rsidRPr="008D2758" w:rsidRDefault="008D2758" w:rsidP="00070311">
      <w:pPr>
        <w:pStyle w:val="Prrafodelista"/>
      </w:pPr>
      <w:r w:rsidRPr="008D2758">
        <w:t>A continuación</w:t>
      </w:r>
      <w:r w:rsidRPr="008D2758">
        <w:t xml:space="preserve">, </w:t>
      </w:r>
      <w:r w:rsidRPr="008D2758">
        <w:t>se transcribe el texto de la disposición acusad</w:t>
      </w:r>
      <w:r w:rsidRPr="008D2758">
        <w:t>a</w:t>
      </w:r>
      <w:r w:rsidRPr="008D2758">
        <w:t>, con el aparte demandado subrayado</w:t>
      </w:r>
      <w:r w:rsidRPr="008D2758">
        <w:t>:</w:t>
      </w:r>
    </w:p>
    <w:p w:rsidR="00A409E8" w:rsidRPr="008D2758" w:rsidRDefault="008D2758" w:rsidP="00070311">
      <w:pPr>
        <w:ind w:left="284"/>
        <w:contextualSpacing/>
        <w:jc w:val="center"/>
        <w:rPr>
          <w:rFonts w:ascii="Times New Roman" w:hAnsi="Times New Roman" w:cs="Times New Roman"/>
          <w:b/>
          <w:bCs/>
          <w:sz w:val="28"/>
          <w:szCs w:val="26"/>
          <w:lang w:val="es-ES"/>
        </w:rPr>
      </w:pPr>
    </w:p>
    <w:p w:rsidR="00DE5110" w:rsidRPr="008D2758" w:rsidRDefault="008D2758" w:rsidP="00070311">
      <w:pPr>
        <w:ind w:left="851" w:right="616"/>
        <w:contextualSpacing/>
        <w:jc w:val="center"/>
        <w:rPr>
          <w:rFonts w:ascii="Times New Roman" w:hAnsi="Times New Roman" w:cs="Times New Roman"/>
          <w:b/>
          <w:bCs/>
          <w:sz w:val="28"/>
          <w:lang w:val="es-ES"/>
        </w:rPr>
      </w:pPr>
      <w:r w:rsidRPr="008D2758">
        <w:rPr>
          <w:rFonts w:ascii="Times New Roman" w:hAnsi="Times New Roman" w:cs="Times New Roman"/>
          <w:b/>
          <w:bCs/>
          <w:sz w:val="28"/>
          <w:lang w:val="es-ES"/>
        </w:rPr>
        <w:t>Ley</w:t>
      </w:r>
      <w:r w:rsidRPr="008D2758">
        <w:rPr>
          <w:rFonts w:ascii="Times New Roman" w:hAnsi="Times New Roman" w:cs="Times New Roman"/>
          <w:b/>
          <w:bCs/>
          <w:sz w:val="28"/>
          <w:lang w:val="es-ES"/>
        </w:rPr>
        <w:t xml:space="preserve"> 2195 de 2022</w:t>
      </w:r>
    </w:p>
    <w:p w:rsidR="00DE5110" w:rsidRPr="008D2758" w:rsidRDefault="008D2758" w:rsidP="00070311">
      <w:pPr>
        <w:ind w:left="851" w:right="616"/>
        <w:contextualSpacing/>
        <w:jc w:val="center"/>
        <w:rPr>
          <w:rFonts w:ascii="Times New Roman" w:hAnsi="Times New Roman" w:cs="Times New Roman"/>
          <w:bCs/>
          <w:sz w:val="28"/>
          <w:lang w:val="es-ES"/>
        </w:rPr>
      </w:pPr>
      <w:r w:rsidRPr="008D2758">
        <w:rPr>
          <w:rFonts w:ascii="Times New Roman" w:hAnsi="Times New Roman" w:cs="Times New Roman"/>
          <w:bCs/>
          <w:sz w:val="28"/>
          <w:lang w:val="es-ES"/>
        </w:rPr>
        <w:t>(</w:t>
      </w:r>
      <w:r w:rsidRPr="008D2758">
        <w:rPr>
          <w:rFonts w:ascii="Times New Roman" w:hAnsi="Times New Roman" w:cs="Times New Roman"/>
          <w:bCs/>
          <w:sz w:val="28"/>
          <w:lang w:val="es-ES"/>
        </w:rPr>
        <w:t>enero 18</w:t>
      </w:r>
      <w:r w:rsidRPr="008D2758">
        <w:rPr>
          <w:rFonts w:ascii="Times New Roman" w:hAnsi="Times New Roman" w:cs="Times New Roman"/>
          <w:bCs/>
          <w:sz w:val="28"/>
          <w:lang w:val="es-ES"/>
        </w:rPr>
        <w:t>)</w:t>
      </w:r>
    </w:p>
    <w:p w:rsidR="00DE5110" w:rsidRPr="008D2758" w:rsidRDefault="008D2758" w:rsidP="00070311">
      <w:pPr>
        <w:ind w:left="851" w:right="616"/>
        <w:contextualSpacing/>
        <w:jc w:val="center"/>
        <w:rPr>
          <w:rFonts w:ascii="Times New Roman" w:hAnsi="Times New Roman" w:cs="Times New Roman"/>
          <w:bCs/>
          <w:sz w:val="28"/>
          <w:lang w:val="es-ES"/>
        </w:rPr>
      </w:pPr>
    </w:p>
    <w:p w:rsidR="00DE5110" w:rsidRPr="008D2758" w:rsidRDefault="008D2758" w:rsidP="00070311">
      <w:pPr>
        <w:ind w:left="851" w:right="616"/>
        <w:contextualSpacing/>
        <w:jc w:val="center"/>
        <w:rPr>
          <w:rFonts w:ascii="Times New Roman" w:hAnsi="Times New Roman" w:cs="Times New Roman"/>
          <w:bCs/>
          <w:sz w:val="28"/>
          <w:lang w:val="es-ES"/>
        </w:rPr>
      </w:pPr>
      <w:r w:rsidRPr="008D2758">
        <w:rPr>
          <w:rFonts w:ascii="Times New Roman" w:hAnsi="Times New Roman" w:cs="Times New Roman"/>
          <w:bCs/>
          <w:sz w:val="28"/>
          <w:lang w:val="es-ES"/>
        </w:rPr>
        <w:t>Diario Oficial No. 51.921</w:t>
      </w:r>
      <w:r w:rsidRPr="008D2758">
        <w:rPr>
          <w:rFonts w:ascii="Times New Roman" w:hAnsi="Times New Roman" w:cs="Times New Roman"/>
          <w:bCs/>
          <w:sz w:val="28"/>
          <w:lang w:val="es-ES"/>
        </w:rPr>
        <w:t xml:space="preserve"> de</w:t>
      </w:r>
      <w:r w:rsidRPr="008D2758">
        <w:rPr>
          <w:rFonts w:ascii="Times New Roman" w:hAnsi="Times New Roman" w:cs="Times New Roman"/>
          <w:bCs/>
          <w:sz w:val="28"/>
          <w:lang w:val="es-ES"/>
        </w:rPr>
        <w:t>l 18 de enero de 2022</w:t>
      </w:r>
    </w:p>
    <w:p w:rsidR="00DE5110" w:rsidRPr="008D2758" w:rsidRDefault="008D2758" w:rsidP="00070311">
      <w:pPr>
        <w:ind w:left="851" w:right="616"/>
        <w:contextualSpacing/>
        <w:jc w:val="center"/>
        <w:rPr>
          <w:rFonts w:ascii="Times New Roman" w:hAnsi="Times New Roman" w:cs="Times New Roman"/>
          <w:b/>
          <w:sz w:val="28"/>
          <w:lang w:val="es-ES"/>
        </w:rPr>
      </w:pPr>
    </w:p>
    <w:p w:rsidR="00DE5110" w:rsidRPr="008D2758" w:rsidRDefault="008D2758" w:rsidP="00070311">
      <w:pPr>
        <w:ind w:left="851" w:right="616"/>
        <w:contextualSpacing/>
        <w:jc w:val="center"/>
        <w:rPr>
          <w:rFonts w:ascii="Times New Roman" w:hAnsi="Times New Roman" w:cs="Times New Roman"/>
          <w:bCs/>
          <w:sz w:val="28"/>
          <w:lang w:val="es-ES"/>
        </w:rPr>
      </w:pPr>
      <w:r w:rsidRPr="008D2758">
        <w:rPr>
          <w:rFonts w:ascii="Times New Roman" w:hAnsi="Times New Roman" w:cs="Times New Roman"/>
          <w:bCs/>
          <w:sz w:val="28"/>
          <w:lang w:val="es-ES"/>
        </w:rPr>
        <w:t>P</w:t>
      </w:r>
      <w:r w:rsidRPr="008D2758">
        <w:rPr>
          <w:rFonts w:ascii="Times New Roman" w:hAnsi="Times New Roman" w:cs="Times New Roman"/>
          <w:bCs/>
          <w:sz w:val="28"/>
          <w:lang w:val="es-ES"/>
        </w:rPr>
        <w:t>or medio de la cual se adoptan medidas en materia de transparencia, prevención y lucha contra la corrupción y se dictan otras disposiciones</w:t>
      </w:r>
      <w:r w:rsidRPr="008D2758">
        <w:rPr>
          <w:rFonts w:ascii="Times New Roman" w:hAnsi="Times New Roman" w:cs="Times New Roman"/>
          <w:bCs/>
          <w:sz w:val="28"/>
          <w:lang w:val="es-ES"/>
        </w:rPr>
        <w:t xml:space="preserve"> </w:t>
      </w:r>
    </w:p>
    <w:p w:rsidR="006E199C" w:rsidRPr="008D2758" w:rsidRDefault="008D2758" w:rsidP="00070311">
      <w:pPr>
        <w:ind w:left="851" w:right="616"/>
        <w:contextualSpacing/>
        <w:rPr>
          <w:rFonts w:ascii="Times New Roman" w:hAnsi="Times New Roman" w:cs="Times New Roman"/>
          <w:sz w:val="28"/>
          <w:lang w:val="es-ES"/>
        </w:rPr>
      </w:pPr>
    </w:p>
    <w:p w:rsidR="00535071" w:rsidRPr="008D2758" w:rsidRDefault="008D2758" w:rsidP="00070311">
      <w:pPr>
        <w:pStyle w:val="NormalWeb"/>
        <w:spacing w:before="0" w:beforeAutospacing="0" w:after="0" w:afterAutospacing="0"/>
        <w:ind w:left="851" w:right="616"/>
        <w:jc w:val="both"/>
        <w:rPr>
          <w:sz w:val="28"/>
        </w:rPr>
      </w:pPr>
      <w:bookmarkStart w:id="2" w:name="8"/>
      <w:r w:rsidRPr="008D2758">
        <w:rPr>
          <w:b/>
          <w:bCs/>
          <w:sz w:val="28"/>
        </w:rPr>
        <w:t>ARTÍCULO 8o.</w:t>
      </w:r>
      <w:bookmarkEnd w:id="2"/>
      <w:r w:rsidRPr="008D2758">
        <w:rPr>
          <w:sz w:val="28"/>
        </w:rPr>
        <w:t xml:space="preserve"> </w:t>
      </w:r>
      <w:r w:rsidRPr="008D2758">
        <w:rPr>
          <w:sz w:val="28"/>
        </w:rPr>
        <w:t>Adiciónese el artículo </w:t>
      </w:r>
      <w:r w:rsidRPr="008D2758">
        <w:rPr>
          <w:rFonts w:eastAsiaTheme="minorEastAsia"/>
          <w:sz w:val="28"/>
        </w:rPr>
        <w:t>34-6 de</w:t>
      </w:r>
      <w:r w:rsidRPr="008D2758">
        <w:rPr>
          <w:sz w:val="28"/>
        </w:rPr>
        <w:t xml:space="preserve"> la Ley 1474 de 2011, el cual quedará así:</w:t>
      </w:r>
    </w:p>
    <w:p w:rsidR="00527FBD" w:rsidRPr="008D2758" w:rsidRDefault="008D2758" w:rsidP="00070311">
      <w:pPr>
        <w:pStyle w:val="NormalWeb"/>
        <w:spacing w:before="0" w:beforeAutospacing="0" w:after="0" w:afterAutospacing="0"/>
        <w:ind w:left="851" w:right="616"/>
        <w:jc w:val="both"/>
        <w:rPr>
          <w:sz w:val="28"/>
        </w:rPr>
      </w:pPr>
    </w:p>
    <w:p w:rsidR="00535071" w:rsidRPr="008D2758" w:rsidRDefault="008D2758" w:rsidP="00070311">
      <w:pPr>
        <w:pStyle w:val="NormalWeb"/>
        <w:spacing w:before="0" w:beforeAutospacing="0" w:after="0" w:afterAutospacing="0"/>
        <w:ind w:left="851" w:right="616"/>
        <w:jc w:val="both"/>
        <w:rPr>
          <w:sz w:val="28"/>
        </w:rPr>
      </w:pPr>
      <w:r w:rsidRPr="008D2758">
        <w:rPr>
          <w:rStyle w:val="baj"/>
          <w:b/>
          <w:bCs/>
          <w:sz w:val="28"/>
        </w:rPr>
        <w:t>Artículo</w:t>
      </w:r>
      <w:r w:rsidRPr="008D2758">
        <w:rPr>
          <w:rStyle w:val="baj"/>
          <w:b/>
          <w:bCs/>
          <w:sz w:val="28"/>
        </w:rPr>
        <w:t xml:space="preserve"> </w:t>
      </w:r>
      <w:r w:rsidRPr="008D2758">
        <w:rPr>
          <w:rStyle w:val="baj"/>
          <w:rFonts w:eastAsiaTheme="minorEastAsia"/>
          <w:b/>
          <w:bCs/>
          <w:sz w:val="28"/>
        </w:rPr>
        <w:t>34-6</w:t>
      </w:r>
      <w:r w:rsidRPr="008D2758">
        <w:rPr>
          <w:rStyle w:val="baj"/>
          <w:b/>
          <w:bCs/>
          <w:sz w:val="28"/>
        </w:rPr>
        <w:t xml:space="preserve">. Caducidad </w:t>
      </w:r>
      <w:r w:rsidRPr="008D2758">
        <w:rPr>
          <w:rStyle w:val="baj"/>
          <w:b/>
          <w:bCs/>
          <w:sz w:val="28"/>
        </w:rPr>
        <w:t>de las investigaciones administrativas. </w:t>
      </w:r>
      <w:r w:rsidRPr="008D2758">
        <w:rPr>
          <w:sz w:val="28"/>
        </w:rPr>
        <w:t>La facultad sancionatoria administrativa prevista en el artículo </w:t>
      </w:r>
      <w:r w:rsidRPr="008D2758">
        <w:rPr>
          <w:rFonts w:eastAsiaTheme="minorEastAsia"/>
          <w:sz w:val="28"/>
        </w:rPr>
        <w:t>34</w:t>
      </w:r>
      <w:r w:rsidRPr="008D2758">
        <w:rPr>
          <w:sz w:val="28"/>
        </w:rPr>
        <w:t> de la Ley 1474 de 2011 podrá ejercerse por las autoridades competentes en el término de diez (10) años, contados a partir de la ejecutoria de la sen</w:t>
      </w:r>
      <w:r w:rsidRPr="008D2758">
        <w:rPr>
          <w:sz w:val="28"/>
        </w:rPr>
        <w:t>tencia judicial, mediante la cual se declare la responsabilidad penal de los administradores, funcionarios o empleados de las personas jurídicas o sucursales de sociedades extranjeras domiciliadas en Colombia o en firme el reconocimiento de un principio de</w:t>
      </w:r>
      <w:r w:rsidRPr="008D2758">
        <w:rPr>
          <w:sz w:val="28"/>
        </w:rPr>
        <w:t xml:space="preserve"> oportunidad en favor de los mismos, que hayan quedado ejecutoriados o en firme con posterioridad a la entrada en vigencia de la presente ley </w:t>
      </w:r>
      <w:r w:rsidRPr="008D2758">
        <w:rPr>
          <w:bCs/>
          <w:sz w:val="28"/>
          <w:u w:val="single"/>
        </w:rPr>
        <w:t>e independientemente de la fecha de comisión de la conducta punible por parte de las personas naturales</w:t>
      </w:r>
      <w:r w:rsidRPr="008D2758">
        <w:rPr>
          <w:sz w:val="28"/>
        </w:rPr>
        <w:t>.</w:t>
      </w:r>
    </w:p>
    <w:p w:rsidR="00A409E8" w:rsidRPr="008D2758" w:rsidRDefault="008D2758" w:rsidP="00070311">
      <w:pPr>
        <w:pStyle w:val="NormalWeb"/>
        <w:spacing w:before="0" w:beforeAutospacing="0" w:after="0" w:afterAutospacing="0"/>
        <w:ind w:left="851" w:right="616"/>
        <w:jc w:val="both"/>
        <w:rPr>
          <w:sz w:val="28"/>
        </w:rPr>
      </w:pPr>
    </w:p>
    <w:p w:rsidR="003C7443" w:rsidRPr="008D2758" w:rsidRDefault="008D2758" w:rsidP="00070311">
      <w:pPr>
        <w:pStyle w:val="NormalWeb"/>
        <w:spacing w:before="0" w:beforeAutospacing="0" w:after="0" w:afterAutospacing="0"/>
        <w:ind w:left="851" w:right="616"/>
        <w:jc w:val="both"/>
        <w:rPr>
          <w:sz w:val="28"/>
          <w:szCs w:val="26"/>
        </w:rPr>
      </w:pPr>
      <w:r w:rsidRPr="008D2758">
        <w:rPr>
          <w:sz w:val="28"/>
        </w:rPr>
        <w:t>Constitu</w:t>
      </w:r>
      <w:r w:rsidRPr="008D2758">
        <w:rPr>
          <w:sz w:val="28"/>
        </w:rPr>
        <w:t>ye falta gravísima para el funcionario de la autoridad competente que no inicie actuación administrativa, estando obligado a ello, conforme los artículos </w:t>
      </w:r>
      <w:r w:rsidRPr="008D2758">
        <w:rPr>
          <w:rFonts w:eastAsiaTheme="minorEastAsia"/>
          <w:sz w:val="28"/>
        </w:rPr>
        <w:t>34</w:t>
      </w:r>
      <w:r w:rsidRPr="008D2758">
        <w:rPr>
          <w:sz w:val="28"/>
        </w:rPr>
        <w:t>, </w:t>
      </w:r>
      <w:r w:rsidRPr="008D2758">
        <w:rPr>
          <w:rFonts w:eastAsiaTheme="minorEastAsia"/>
          <w:sz w:val="28"/>
        </w:rPr>
        <w:t>34-1</w:t>
      </w:r>
      <w:r w:rsidRPr="008D2758">
        <w:rPr>
          <w:sz w:val="28"/>
        </w:rPr>
        <w:t> y </w:t>
      </w:r>
      <w:r w:rsidRPr="008D2758">
        <w:rPr>
          <w:rFonts w:eastAsiaTheme="minorEastAsia"/>
          <w:sz w:val="28"/>
        </w:rPr>
        <w:t>34-5</w:t>
      </w:r>
      <w:r w:rsidRPr="008D2758">
        <w:rPr>
          <w:sz w:val="28"/>
        </w:rPr>
        <w:t> de la Ley 1474 de 2011.</w:t>
      </w:r>
      <w:bookmarkStart w:id="3" w:name="_Hlk135126606"/>
    </w:p>
    <w:p w:rsidR="00A409E8" w:rsidRPr="008D2758" w:rsidRDefault="008D2758" w:rsidP="00070311">
      <w:pPr>
        <w:pStyle w:val="NormalWeb"/>
        <w:spacing w:before="0" w:beforeAutospacing="0" w:after="0" w:afterAutospacing="0"/>
        <w:jc w:val="both"/>
        <w:rPr>
          <w:b/>
          <w:bCs/>
          <w:sz w:val="28"/>
          <w:szCs w:val="28"/>
        </w:rPr>
      </w:pPr>
    </w:p>
    <w:bookmarkEnd w:id="3"/>
    <w:p w:rsidR="002525CD" w:rsidRPr="008D2758" w:rsidRDefault="008D2758" w:rsidP="00024F64">
      <w:pPr>
        <w:pStyle w:val="Ttulo2"/>
        <w:numPr>
          <w:ilvl w:val="0"/>
          <w:numId w:val="3"/>
        </w:numPr>
        <w:rPr>
          <w:rFonts w:ascii="Times New Roman" w:hAnsi="Times New Roman" w:cs="Times New Roman"/>
          <w:b/>
          <w:bCs/>
          <w:color w:val="auto"/>
          <w:sz w:val="28"/>
        </w:rPr>
      </w:pPr>
      <w:r w:rsidRPr="008D2758">
        <w:rPr>
          <w:rFonts w:ascii="Times New Roman" w:hAnsi="Times New Roman" w:cs="Times New Roman"/>
          <w:b/>
          <w:bCs/>
          <w:color w:val="auto"/>
          <w:sz w:val="28"/>
          <w:szCs w:val="28"/>
        </w:rPr>
        <w:t>La demanda</w:t>
      </w:r>
    </w:p>
    <w:p w:rsidR="00100161" w:rsidRPr="008D2758" w:rsidRDefault="008D2758" w:rsidP="00070311">
      <w:pPr>
        <w:rPr>
          <w:rFonts w:ascii="Times New Roman" w:hAnsi="Times New Roman" w:cs="Times New Roman"/>
          <w:b/>
          <w:bCs/>
          <w:sz w:val="28"/>
          <w:szCs w:val="28"/>
        </w:rPr>
      </w:pPr>
    </w:p>
    <w:p w:rsidR="00CA0ED4" w:rsidRPr="008D2758" w:rsidRDefault="008D2758" w:rsidP="00070311">
      <w:pPr>
        <w:pStyle w:val="Prrafodelista"/>
      </w:pPr>
      <w:r w:rsidRPr="008D2758">
        <w:t>El</w:t>
      </w:r>
      <w:r w:rsidRPr="008D2758">
        <w:t xml:space="preserve"> demandante</w:t>
      </w:r>
      <w:r w:rsidRPr="008D2758">
        <w:t xml:space="preserve"> </w:t>
      </w:r>
      <w:r w:rsidRPr="008D2758">
        <w:t xml:space="preserve">solicitó </w:t>
      </w:r>
      <w:r w:rsidRPr="008D2758">
        <w:t>a la Corte</w:t>
      </w:r>
      <w:r w:rsidRPr="008D2758">
        <w:t xml:space="preserve"> d</w:t>
      </w:r>
      <w:r w:rsidRPr="008D2758">
        <w:t xml:space="preserve">eclarar la </w:t>
      </w:r>
      <w:r w:rsidRPr="008D2758">
        <w:t xml:space="preserve">inexequibilidad </w:t>
      </w:r>
      <w:r w:rsidRPr="008D2758">
        <w:t xml:space="preserve">de la </w:t>
      </w:r>
      <w:r w:rsidRPr="008D2758">
        <w:t>expresión</w:t>
      </w:r>
      <w:r w:rsidRPr="008D2758">
        <w:t xml:space="preserve"> </w:t>
      </w:r>
      <w:r w:rsidRPr="008D2758">
        <w:t>acusada</w:t>
      </w:r>
      <w:r w:rsidRPr="008D2758">
        <w:t xml:space="preserve"> </w:t>
      </w:r>
      <w:r w:rsidRPr="008D2758">
        <w:t xml:space="preserve">o, en su defecto, </w:t>
      </w:r>
      <w:r w:rsidRPr="008D2758">
        <w:t>su</w:t>
      </w:r>
      <w:r w:rsidRPr="008D2758">
        <w:t xml:space="preserve"> constitucionalidad condicionada</w:t>
      </w:r>
      <w:r w:rsidRPr="008D2758">
        <w:t xml:space="preserve">. En criterio del actor, </w:t>
      </w:r>
      <w:r w:rsidRPr="008D2758">
        <w:t xml:space="preserve">la norma </w:t>
      </w:r>
      <w:r w:rsidRPr="008D2758">
        <w:t>parcialmente acusada, al permitir la aplicación de sanciones administrativas a personas jurídicas por hechos ocurridos antes de su</w:t>
      </w:r>
      <w:r w:rsidRPr="008D2758">
        <w:t xml:space="preserve"> vigencia, resulta violatoria de </w:t>
      </w:r>
      <w:r w:rsidRPr="008D2758">
        <w:t xml:space="preserve">varias garantías </w:t>
      </w:r>
      <w:r w:rsidRPr="008D2758">
        <w:t xml:space="preserve">inherentes al </w:t>
      </w:r>
      <w:r w:rsidRPr="008D2758">
        <w:t xml:space="preserve">derecho al debido proceso </w:t>
      </w:r>
      <w:r w:rsidRPr="008D2758">
        <w:t xml:space="preserve">consagrado en el </w:t>
      </w:r>
      <w:r w:rsidRPr="008D2758">
        <w:t>artículo 2</w:t>
      </w:r>
      <w:r w:rsidRPr="008D2758">
        <w:t>9</w:t>
      </w:r>
      <w:r w:rsidRPr="008D2758">
        <w:t xml:space="preserve"> de la </w:t>
      </w:r>
      <w:r w:rsidRPr="008D2758">
        <w:t>Carta</w:t>
      </w:r>
      <w:r w:rsidRPr="008D2758">
        <w:t>.</w:t>
      </w:r>
      <w:r w:rsidRPr="008D2758">
        <w:t xml:space="preserve"> </w:t>
      </w:r>
    </w:p>
    <w:p w:rsidR="002525CD" w:rsidRPr="008D2758" w:rsidRDefault="008D2758" w:rsidP="00070311">
      <w:pPr>
        <w:rPr>
          <w:rFonts w:ascii="Times New Roman" w:hAnsi="Times New Roman" w:cs="Times New Roman"/>
          <w:sz w:val="28"/>
          <w:lang w:val="es-ES_tradnl"/>
        </w:rPr>
      </w:pPr>
    </w:p>
    <w:p w:rsidR="00240672" w:rsidRPr="008D2758" w:rsidRDefault="008D2758" w:rsidP="00070311">
      <w:pPr>
        <w:pStyle w:val="Prrafodelista"/>
      </w:pPr>
      <w:r w:rsidRPr="008D2758">
        <w:t xml:space="preserve">De manera preliminar, </w:t>
      </w:r>
      <w:r w:rsidRPr="008D2758">
        <w:t xml:space="preserve">el </w:t>
      </w:r>
      <w:r w:rsidRPr="008D2758">
        <w:t>actor</w:t>
      </w:r>
      <w:r w:rsidRPr="008D2758">
        <w:t xml:space="preserve"> señaló que</w:t>
      </w:r>
      <w:r w:rsidRPr="008D2758">
        <w:t xml:space="preserve"> en el presente caso no se configura cosa juzgada constitucional. S</w:t>
      </w:r>
      <w:r w:rsidRPr="008D2758">
        <w:t>i bien la Cort</w:t>
      </w:r>
      <w:r w:rsidRPr="008D2758">
        <w:t>e ya ha estudiado acciones públicas en contra de la misma norma y por razones similares</w:t>
      </w:r>
      <w:r w:rsidRPr="008D2758">
        <w:rPr>
          <w:rStyle w:val="Refdenotaalpie"/>
        </w:rPr>
        <w:footnoteReference w:id="3"/>
      </w:r>
      <w:r w:rsidRPr="008D2758">
        <w:t>,</w:t>
      </w:r>
      <w:r w:rsidRPr="008D2758">
        <w:t xml:space="preserve"> </w:t>
      </w:r>
      <w:r w:rsidRPr="008D2758">
        <w:t xml:space="preserve">en ninguno de los casos ha proferido una decisión de fondo. Por ello, el ciudadano consideró </w:t>
      </w:r>
      <w:r w:rsidRPr="008D2758">
        <w:t xml:space="preserve">que se encuentra habilitado para volver a discutir la inconstitucionalidad del artículo 8 de la Ley 2195 de 2022. </w:t>
      </w:r>
    </w:p>
    <w:p w:rsidR="00240672" w:rsidRPr="008D2758" w:rsidRDefault="008D2758" w:rsidP="00070311">
      <w:pPr>
        <w:rPr>
          <w:rFonts w:ascii="Times New Roman" w:hAnsi="Times New Roman" w:cs="Times New Roman"/>
          <w:sz w:val="28"/>
        </w:rPr>
      </w:pPr>
    </w:p>
    <w:p w:rsidR="00A409E8" w:rsidRPr="008D2758" w:rsidRDefault="008D2758" w:rsidP="00070311">
      <w:pPr>
        <w:pStyle w:val="Prrafodelista"/>
        <w:rPr>
          <w:szCs w:val="26"/>
        </w:rPr>
      </w:pPr>
      <w:r w:rsidRPr="008D2758">
        <w:t xml:space="preserve">Posteriormente, el accionante presentó </w:t>
      </w:r>
      <w:r w:rsidRPr="008D2758">
        <w:t xml:space="preserve">un acápite con el objetivo de </w:t>
      </w:r>
      <w:r w:rsidRPr="008D2758">
        <w:t xml:space="preserve">indicar </w:t>
      </w:r>
      <w:r w:rsidRPr="008D2758">
        <w:t xml:space="preserve">lo que en su opinión </w:t>
      </w:r>
      <w:r w:rsidRPr="008D2758">
        <w:t>constituye</w:t>
      </w:r>
      <w:r w:rsidRPr="008D2758">
        <w:t xml:space="preserve"> </w:t>
      </w:r>
      <w:r w:rsidRPr="008D2758">
        <w:t xml:space="preserve">el </w:t>
      </w:r>
      <w:r w:rsidRPr="008D2758">
        <w:t>con</w:t>
      </w:r>
      <w:r w:rsidRPr="008D2758">
        <w:t xml:space="preserve">texto y el alcance de la </w:t>
      </w:r>
      <w:r w:rsidRPr="008D2758">
        <w:t>disposición acusada</w:t>
      </w:r>
      <w:r w:rsidRPr="008D2758">
        <w:t xml:space="preserve">. </w:t>
      </w:r>
      <w:r w:rsidRPr="008D2758">
        <w:t xml:space="preserve">Luego de hacer un recuento sobre las principales normas que regulan la materia (Ley 1474 de 2011 y Ley 1778 de 2016), el señor Chaves </w:t>
      </w:r>
      <w:r w:rsidRPr="008D2758">
        <w:t xml:space="preserve">Villada </w:t>
      </w:r>
      <w:r w:rsidRPr="008D2758">
        <w:t xml:space="preserve">manifestó </w:t>
      </w:r>
      <w:r w:rsidRPr="008D2758">
        <w:t xml:space="preserve">que </w:t>
      </w:r>
      <w:r w:rsidRPr="008D2758">
        <w:t>el artículo 8 demandado está regido por dos reglas de derecho</w:t>
      </w:r>
      <w:r w:rsidRPr="008D2758">
        <w:t>: u</w:t>
      </w:r>
      <w:r w:rsidRPr="008D2758">
        <w:t>na positiva, se</w:t>
      </w:r>
      <w:r w:rsidRPr="008D2758">
        <w:t xml:space="preserve">gún la cual la caducidad del trámite administrativo al que se refiere el artículo 34 de la Ley 1474 de 2011 se </w:t>
      </w:r>
      <w:r w:rsidRPr="008D2758">
        <w:t xml:space="preserve">contabiliza </w:t>
      </w:r>
      <w:r w:rsidRPr="008D2758">
        <w:t>desde que existe certeza de la responsabilidad penal de la persona natural que actuó como administrador, representante legal o direct</w:t>
      </w:r>
      <w:r w:rsidRPr="008D2758">
        <w:t>ivo de la persona jurídica</w:t>
      </w:r>
      <w:r w:rsidRPr="008D2758">
        <w:t xml:space="preserve">; y una negativa que </w:t>
      </w:r>
      <w:r w:rsidRPr="008D2758">
        <w:t>excluye de la contabilización del término de caducidad el momento en el que ocurrieron los hechos objeto de investigación.</w:t>
      </w:r>
      <w:r w:rsidRPr="008D2758">
        <w:t xml:space="preserve"> El actor precisó que su reproche de constitucionalidad recae únicamente respecto de es</w:t>
      </w:r>
      <w:r w:rsidRPr="008D2758">
        <w:t>ta segunda regla.</w:t>
      </w:r>
    </w:p>
    <w:p w:rsidR="00217C92" w:rsidRPr="008D2758" w:rsidRDefault="008D2758" w:rsidP="00070311">
      <w:pPr>
        <w:rPr>
          <w:rFonts w:ascii="Times New Roman" w:hAnsi="Times New Roman" w:cs="Times New Roman"/>
          <w:sz w:val="28"/>
        </w:rPr>
      </w:pPr>
    </w:p>
    <w:p w:rsidR="00621460" w:rsidRPr="008D2758" w:rsidRDefault="008D2758" w:rsidP="00070311">
      <w:pPr>
        <w:pStyle w:val="Prrafodelista"/>
      </w:pPr>
      <w:r w:rsidRPr="008D2758">
        <w:t xml:space="preserve">En relación con el </w:t>
      </w:r>
      <w:r w:rsidRPr="008D2758">
        <w:t>cargo admitido</w:t>
      </w:r>
      <w:r w:rsidRPr="008D2758">
        <w:t xml:space="preserve"> por desconocimiento del principio de irretroactividad</w:t>
      </w:r>
      <w:r w:rsidRPr="008D2758">
        <w:t xml:space="preserve">, </w:t>
      </w:r>
      <w:r w:rsidRPr="008D2758">
        <w:t>el actor sostuvo</w:t>
      </w:r>
      <w:r w:rsidRPr="008D2758">
        <w:t xml:space="preserve"> </w:t>
      </w:r>
      <w:r w:rsidRPr="008D2758">
        <w:t xml:space="preserve">que </w:t>
      </w:r>
      <w:r w:rsidRPr="008D2758">
        <w:t xml:space="preserve">la expresión demandada, al </w:t>
      </w:r>
      <w:r w:rsidRPr="008D2758">
        <w:t>establecer que</w:t>
      </w:r>
      <w:r w:rsidRPr="008D2758">
        <w:t xml:space="preserve"> la</w:t>
      </w:r>
      <w:r w:rsidRPr="008D2758">
        <w:t xml:space="preserve"> caducidad de la facultad sancionatoria se contabiliza a partir de la firmeza de la</w:t>
      </w:r>
      <w:r w:rsidRPr="008D2758">
        <w:t xml:space="preserve"> condena o de la aplicación del principio de oportunidad sin importar la fecha de ocurrencia de los hechos motivo de investigación, quebranta el principio de irretroactividad de la ley sancionatoria porque</w:t>
      </w:r>
      <w:r w:rsidRPr="008D2758">
        <w:t xml:space="preserve"> permite</w:t>
      </w:r>
      <w:r w:rsidRPr="008D2758">
        <w:t xml:space="preserve"> el ejercicio de dicha competencia a </w:t>
      </w:r>
      <w:r w:rsidRPr="008D2758">
        <w:t>hechos</w:t>
      </w:r>
      <w:r w:rsidRPr="008D2758">
        <w:t xml:space="preserve"> ocurrid</w:t>
      </w:r>
      <w:r w:rsidRPr="008D2758">
        <w:t>os</w:t>
      </w:r>
      <w:r w:rsidRPr="008D2758">
        <w:t xml:space="preserve"> con anteriorid</w:t>
      </w:r>
      <w:r w:rsidRPr="008D2758">
        <w:t xml:space="preserve">ad </w:t>
      </w:r>
      <w:r w:rsidRPr="008D2758">
        <w:t xml:space="preserve">a su vigencia. </w:t>
      </w:r>
      <w:r w:rsidRPr="008D2758">
        <w:t xml:space="preserve">Para el </w:t>
      </w:r>
      <w:r w:rsidRPr="008D2758">
        <w:t>demandante</w:t>
      </w:r>
      <w:r w:rsidRPr="008D2758">
        <w:t>, mantener la posibilidad o competencia de las autoridades administrativas para investigar y sancionar hechos anteriores a la Ley 2195 de 2022</w:t>
      </w:r>
      <w:r w:rsidRPr="008D2758">
        <w:t xml:space="preserve"> e</w:t>
      </w:r>
      <w:r w:rsidRPr="008D2758">
        <w:t>quivale a consagrar en el ordenamiento legal</w:t>
      </w:r>
      <w:r w:rsidRPr="008D2758">
        <w:t xml:space="preserve"> </w:t>
      </w:r>
      <w:r w:rsidRPr="008D2758">
        <w:t>una</w:t>
      </w:r>
      <w:r w:rsidRPr="008D2758">
        <w:t xml:space="preserve"> facultad para indagar por asuntos que no eran sancionables al momento de </w:t>
      </w:r>
      <w:r w:rsidRPr="008D2758">
        <w:t>la ocurrencia de</w:t>
      </w:r>
      <w:r w:rsidRPr="008D2758">
        <w:t xml:space="preserve"> los hechos</w:t>
      </w:r>
      <w:r w:rsidRPr="008D2758">
        <w:t xml:space="preserve">, situación </w:t>
      </w:r>
      <w:r w:rsidRPr="008D2758">
        <w:t xml:space="preserve">que </w:t>
      </w:r>
      <w:r w:rsidRPr="008D2758">
        <w:t xml:space="preserve">vulnera el principio de irretroactividad de la sanción disciplinaria. </w:t>
      </w:r>
    </w:p>
    <w:p w:rsidR="00634126" w:rsidRPr="008D2758" w:rsidRDefault="008D2758" w:rsidP="00070311">
      <w:pPr>
        <w:pStyle w:val="Prrafodelista"/>
        <w:numPr>
          <w:ilvl w:val="0"/>
          <w:numId w:val="0"/>
        </w:numPr>
      </w:pPr>
    </w:p>
    <w:p w:rsidR="00CF68A5" w:rsidRPr="008D2758" w:rsidRDefault="008D2758" w:rsidP="00CF68A5">
      <w:pPr>
        <w:pStyle w:val="Prrafodelista"/>
      </w:pPr>
      <w:r w:rsidRPr="008D2758">
        <w:t>En el escrito de sub</w:t>
      </w:r>
      <w:r w:rsidRPr="008D2758">
        <w:t>s</w:t>
      </w:r>
      <w:r w:rsidRPr="008D2758">
        <w:t xml:space="preserve">anación el actor agregó que si bien el aparte </w:t>
      </w:r>
      <w:r w:rsidRPr="008D2758">
        <w:t>demandado hace parte de la regulación sobre el término de caducidad para el ejercicio de la facultad sancionatoria administrativa, lo cierto es que sí extiende su ámbito de aplicación temporal a hechos ocurridos antes de su vigencia, ya que expresamente se</w:t>
      </w:r>
      <w:r w:rsidRPr="008D2758">
        <w:t>ñala que tal potestad puede emplearse dentro de los 10 años siguientes a la ejecutoria de la condena o del reconocimiento del principio de oportunidad, sin importar la fecha del delito.</w:t>
      </w:r>
    </w:p>
    <w:p w:rsidR="00CF68A5" w:rsidRPr="008D2758" w:rsidRDefault="008D2758" w:rsidP="00CF68A5">
      <w:pPr>
        <w:pStyle w:val="Prrafodelista"/>
        <w:numPr>
          <w:ilvl w:val="0"/>
          <w:numId w:val="0"/>
        </w:numPr>
      </w:pPr>
    </w:p>
    <w:p w:rsidR="00634126" w:rsidRPr="008D2758" w:rsidRDefault="008D2758" w:rsidP="00CF68A5">
      <w:pPr>
        <w:pStyle w:val="Prrafodelista"/>
      </w:pPr>
      <w:r w:rsidRPr="008D2758">
        <w:t>Por último, el actor se pronunció sobre la sentencia C-298 de 2022 pr</w:t>
      </w:r>
      <w:r w:rsidRPr="008D2758">
        <w:t>oferida por esta Corporación. Al respecto, el demandante sostuvo que dicha providencia no constituye un precedente aplicable al caso concreto</w:t>
      </w:r>
      <w:r w:rsidRPr="008D2758">
        <w:t>.</w:t>
      </w:r>
      <w:r w:rsidRPr="008D2758">
        <w:t xml:space="preserve"> </w:t>
      </w:r>
      <w:r w:rsidRPr="008D2758">
        <w:t xml:space="preserve">El actor sostuvo, en primer lugar, que dicha sentencia corresponde a </w:t>
      </w:r>
      <w:r w:rsidRPr="008D2758">
        <w:t>una decisión inhibitoria que no hace tránsit</w:t>
      </w:r>
      <w:r w:rsidRPr="008D2758">
        <w:t>o a cosa juzgada</w:t>
      </w:r>
      <w:r w:rsidRPr="008D2758">
        <w:t xml:space="preserve"> y, </w:t>
      </w:r>
      <w:r w:rsidRPr="008D2758">
        <w:t xml:space="preserve">en </w:t>
      </w:r>
      <w:r w:rsidRPr="008D2758">
        <w:t>s</w:t>
      </w:r>
      <w:r w:rsidRPr="008D2758">
        <w:t>egundo</w:t>
      </w:r>
      <w:r w:rsidRPr="008D2758">
        <w:t xml:space="preserve"> lugar</w:t>
      </w:r>
      <w:r w:rsidRPr="008D2758">
        <w:t xml:space="preserve">, </w:t>
      </w:r>
      <w:r w:rsidRPr="008D2758">
        <w:t xml:space="preserve">que </w:t>
      </w:r>
      <w:r w:rsidRPr="008D2758">
        <w:t xml:space="preserve">en esta ocasión </w:t>
      </w:r>
      <w:r w:rsidRPr="008D2758">
        <w:t>no</w:t>
      </w:r>
      <w:r w:rsidRPr="008D2758">
        <w:t xml:space="preserve"> </w:t>
      </w:r>
      <w:r w:rsidRPr="008D2758">
        <w:t xml:space="preserve">se </w:t>
      </w:r>
      <w:r w:rsidRPr="008D2758">
        <w:t xml:space="preserve">discute </w:t>
      </w:r>
      <w:r w:rsidRPr="008D2758">
        <w:t>que</w:t>
      </w:r>
      <w:r w:rsidRPr="008D2758">
        <w:t xml:space="preserve"> </w:t>
      </w:r>
      <w:r w:rsidRPr="008D2758">
        <w:t xml:space="preserve">el artículo cuestionado haya creado </w:t>
      </w:r>
      <w:r w:rsidRPr="008D2758">
        <w:t xml:space="preserve">sanciones </w:t>
      </w:r>
      <w:r w:rsidRPr="008D2758">
        <w:t xml:space="preserve">(pues </w:t>
      </w:r>
      <w:r w:rsidRPr="008D2758">
        <w:t>solo fija el término de caducidad</w:t>
      </w:r>
      <w:r w:rsidRPr="008D2758">
        <w:t xml:space="preserve">). </w:t>
      </w:r>
      <w:r w:rsidRPr="008D2758">
        <w:t xml:space="preserve">El demandante señaló que, por el </w:t>
      </w:r>
      <w:r w:rsidRPr="008D2758">
        <w:t>contrario, lo</w:t>
      </w:r>
      <w:r w:rsidRPr="008D2758">
        <w:t xml:space="preserve"> que </w:t>
      </w:r>
      <w:r w:rsidRPr="008D2758">
        <w:t xml:space="preserve">aquí </w:t>
      </w:r>
      <w:r w:rsidRPr="008D2758">
        <w:t>reclama es que la norma acusada perm</w:t>
      </w:r>
      <w:r w:rsidRPr="008D2758">
        <w:t xml:space="preserve">ite </w:t>
      </w:r>
      <w:r w:rsidRPr="008D2758">
        <w:t>que las autoridades administrativas adelanten investigaciones respecto de hechos que</w:t>
      </w:r>
      <w:r w:rsidRPr="008D2758">
        <w:t xml:space="preserve"> no eran sancionables </w:t>
      </w:r>
      <w:r w:rsidRPr="008D2758">
        <w:t>cuando ocurrieron</w:t>
      </w:r>
      <w:r w:rsidRPr="008D2758">
        <w:t>.</w:t>
      </w:r>
    </w:p>
    <w:p w:rsidR="00B13186" w:rsidRPr="008D2758" w:rsidRDefault="008D2758" w:rsidP="00070311">
      <w:pPr>
        <w:rPr>
          <w:rFonts w:ascii="Times New Roman" w:hAnsi="Times New Roman" w:cs="Times New Roman"/>
          <w:sz w:val="28"/>
          <w:lang w:val="es-US"/>
        </w:rPr>
      </w:pPr>
    </w:p>
    <w:p w:rsidR="00E94FB5" w:rsidRPr="008D2758" w:rsidRDefault="008D2758" w:rsidP="00070311">
      <w:pPr>
        <w:pStyle w:val="Prrafodelista"/>
      </w:pPr>
      <w:r w:rsidRPr="008D2758">
        <w:t>Con base en lo expuesto</w:t>
      </w:r>
      <w:r w:rsidRPr="008D2758">
        <w:t xml:space="preserve">, el demandante solicitó la inexequibilidad </w:t>
      </w:r>
      <w:r w:rsidRPr="008D2758">
        <w:t>de la expresión demandada o</w:t>
      </w:r>
      <w:r w:rsidRPr="008D2758">
        <w:t xml:space="preserve">, en su </w:t>
      </w:r>
      <w:r w:rsidRPr="008D2758">
        <w:t>defecto</w:t>
      </w:r>
      <w:r w:rsidRPr="008D2758">
        <w:t xml:space="preserve">, </w:t>
      </w:r>
      <w:r w:rsidRPr="008D2758">
        <w:t xml:space="preserve">su </w:t>
      </w:r>
      <w:r w:rsidRPr="008D2758">
        <w:t>exequibilidad</w:t>
      </w:r>
      <w:r w:rsidRPr="008D2758">
        <w:t xml:space="preserve"> condicionada </w:t>
      </w:r>
      <w:r w:rsidRPr="008D2758">
        <w:t xml:space="preserve">en </w:t>
      </w:r>
      <w:r w:rsidRPr="008D2758">
        <w:t xml:space="preserve">el entendido de que la caducidad de la facultad sancionatoria administrativa prevista en el artículo 34 de la Ley 1474 de 2011 no autoriza a investigar hechos con anterioridad </w:t>
      </w:r>
      <w:r w:rsidRPr="008D2758">
        <w:t>a</w:t>
      </w:r>
      <w:r w:rsidRPr="008D2758">
        <w:t xml:space="preserve"> la vigencia de la Ley 2195 de 2022.</w:t>
      </w:r>
    </w:p>
    <w:p w:rsidR="00FE539E" w:rsidRPr="008D2758" w:rsidRDefault="008D2758" w:rsidP="00070311">
      <w:pPr>
        <w:pStyle w:val="Prrafodelista"/>
        <w:numPr>
          <w:ilvl w:val="0"/>
          <w:numId w:val="0"/>
        </w:numPr>
      </w:pPr>
      <w:r w:rsidRPr="008D2758">
        <w:t xml:space="preserve"> </w:t>
      </w:r>
    </w:p>
    <w:p w:rsidR="00177FD8" w:rsidRPr="008D2758" w:rsidRDefault="008D2758" w:rsidP="00024F64">
      <w:pPr>
        <w:pStyle w:val="Ttulo2"/>
        <w:numPr>
          <w:ilvl w:val="0"/>
          <w:numId w:val="3"/>
        </w:numPr>
        <w:rPr>
          <w:rFonts w:ascii="Times New Roman" w:hAnsi="Times New Roman" w:cs="Times New Roman"/>
          <w:b/>
          <w:color w:val="auto"/>
          <w:sz w:val="28"/>
        </w:rPr>
      </w:pPr>
      <w:r w:rsidRPr="008D2758">
        <w:rPr>
          <w:rFonts w:ascii="Times New Roman" w:hAnsi="Times New Roman" w:cs="Times New Roman"/>
          <w:b/>
          <w:bCs/>
          <w:color w:val="auto"/>
          <w:sz w:val="28"/>
          <w:szCs w:val="28"/>
        </w:rPr>
        <w:t>Intervenci</w:t>
      </w:r>
      <w:r w:rsidRPr="008D2758">
        <w:rPr>
          <w:rFonts w:ascii="Times New Roman" w:hAnsi="Times New Roman" w:cs="Times New Roman"/>
          <w:b/>
          <w:bCs/>
          <w:color w:val="auto"/>
          <w:sz w:val="28"/>
          <w:szCs w:val="28"/>
        </w:rPr>
        <w:t>ones</w:t>
      </w:r>
      <w:r w:rsidRPr="008D2758">
        <w:rPr>
          <w:rFonts w:ascii="Times New Roman" w:hAnsi="Times New Roman" w:cs="Times New Roman"/>
          <w:b/>
          <w:color w:val="auto"/>
          <w:sz w:val="28"/>
          <w:szCs w:val="28"/>
        </w:rPr>
        <w:t xml:space="preserve"> </w:t>
      </w:r>
    </w:p>
    <w:p w:rsidR="00E95D89" w:rsidRPr="008D2758" w:rsidRDefault="008D2758" w:rsidP="00070311">
      <w:pPr>
        <w:rPr>
          <w:rFonts w:ascii="Times New Roman" w:hAnsi="Times New Roman" w:cs="Times New Roman"/>
          <w:b/>
          <w:sz w:val="28"/>
          <w:szCs w:val="28"/>
        </w:rPr>
      </w:pPr>
    </w:p>
    <w:p w:rsidR="00E95D89" w:rsidRPr="008D2758" w:rsidRDefault="008D2758" w:rsidP="00070311">
      <w:pPr>
        <w:pStyle w:val="Prrafodelista"/>
      </w:pPr>
      <w:r w:rsidRPr="008D2758">
        <w:t xml:space="preserve">Durante el trámite se recibieron </w:t>
      </w:r>
      <w:r w:rsidRPr="008D2758">
        <w:t>diez escritos con intervenciones o conceptos acerca de la constitucionalidad de expresión demandada, cuyos planteamientos se reseñan a continuación</w:t>
      </w:r>
      <w:r w:rsidRPr="008D2758">
        <w:t>.</w:t>
      </w:r>
    </w:p>
    <w:p w:rsidR="00857FB9" w:rsidRPr="008D2758" w:rsidRDefault="008D2758" w:rsidP="00857FB9">
      <w:pPr>
        <w:pStyle w:val="Prrafodelista"/>
        <w:numPr>
          <w:ilvl w:val="0"/>
          <w:numId w:val="0"/>
        </w:numPr>
      </w:pPr>
    </w:p>
    <w:p w:rsidR="00857FB9" w:rsidRPr="008D2758" w:rsidRDefault="008D2758" w:rsidP="00857FB9">
      <w:pPr>
        <w:pStyle w:val="Prrafodelista"/>
        <w:numPr>
          <w:ilvl w:val="0"/>
          <w:numId w:val="0"/>
        </w:numPr>
        <w:jc w:val="center"/>
        <w:rPr>
          <w:b/>
          <w:bCs/>
          <w:szCs w:val="24"/>
        </w:rPr>
      </w:pPr>
      <w:r w:rsidRPr="008D2758">
        <w:rPr>
          <w:b/>
          <w:bCs/>
          <w:szCs w:val="24"/>
        </w:rPr>
        <w:t xml:space="preserve">Tabla </w:t>
      </w:r>
      <w:r w:rsidRPr="008D2758">
        <w:rPr>
          <w:b/>
          <w:bCs/>
          <w:caps/>
          <w:szCs w:val="24"/>
        </w:rPr>
        <w:fldChar w:fldCharType="begin"/>
      </w:r>
      <w:r w:rsidRPr="008D2758">
        <w:rPr>
          <w:b/>
          <w:bCs/>
          <w:szCs w:val="24"/>
        </w:rPr>
        <w:instrText xml:space="preserve"> SEQ Tabla \* ARABIC </w:instrText>
      </w:r>
      <w:r w:rsidRPr="008D2758">
        <w:rPr>
          <w:b/>
          <w:bCs/>
          <w:caps/>
          <w:szCs w:val="24"/>
        </w:rPr>
        <w:fldChar w:fldCharType="separate"/>
      </w:r>
      <w:r w:rsidRPr="008D2758">
        <w:rPr>
          <w:b/>
          <w:bCs/>
          <w:noProof/>
          <w:szCs w:val="24"/>
        </w:rPr>
        <w:t>1</w:t>
      </w:r>
      <w:r w:rsidRPr="008D2758">
        <w:rPr>
          <w:b/>
          <w:bCs/>
          <w:caps/>
          <w:szCs w:val="24"/>
        </w:rPr>
        <w:fldChar w:fldCharType="end"/>
      </w:r>
      <w:r w:rsidRPr="008D2758">
        <w:rPr>
          <w:b/>
          <w:bCs/>
          <w:szCs w:val="24"/>
        </w:rPr>
        <w:t xml:space="preserve"> – Síntesis de intervenciones y conceptos</w:t>
      </w:r>
    </w:p>
    <w:p w:rsidR="00E95D89" w:rsidRPr="008D2758" w:rsidRDefault="008D2758" w:rsidP="00070311">
      <w:pPr>
        <w:rPr>
          <w:rFonts w:ascii="Times New Roman" w:hAnsi="Times New Roman" w:cs="Times New Roman"/>
          <w:sz w:val="28"/>
        </w:rPr>
      </w:pPr>
    </w:p>
    <w:tbl>
      <w:tblPr>
        <w:tblStyle w:val="Tablaconcuadrcula"/>
        <w:tblW w:w="0" w:type="auto"/>
        <w:tblLook w:val="04A0" w:firstRow="1" w:lastRow="0" w:firstColumn="1" w:lastColumn="0" w:noHBand="0" w:noVBand="1"/>
      </w:tblPr>
      <w:tblGrid>
        <w:gridCol w:w="2563"/>
        <w:gridCol w:w="6265"/>
      </w:tblGrid>
      <w:tr w:rsidR="00C55AAA" w:rsidRPr="008D2758" w:rsidTr="72AB2DCF">
        <w:trPr>
          <w:tblHeader/>
        </w:trPr>
        <w:tc>
          <w:tcPr>
            <w:tcW w:w="2563" w:type="dxa"/>
            <w:shd w:val="clear" w:color="auto" w:fill="E2EFD9" w:themeFill="accent6" w:themeFillTint="33"/>
          </w:tcPr>
          <w:p w:rsidR="00E95D89" w:rsidRPr="008D2758" w:rsidRDefault="008D2758" w:rsidP="00070311">
            <w:pPr>
              <w:pStyle w:val="Sombreadovistoso-nfasis31"/>
              <w:ind w:left="0"/>
              <w:jc w:val="center"/>
              <w:rPr>
                <w:b/>
                <w:color w:val="auto"/>
                <w:szCs w:val="24"/>
                <w:lang w:val="es-CO"/>
              </w:rPr>
            </w:pPr>
            <w:r w:rsidRPr="008D2758">
              <w:rPr>
                <w:b/>
                <w:color w:val="auto"/>
                <w:szCs w:val="24"/>
                <w:lang w:val="es-CO"/>
              </w:rPr>
              <w:t>Intervención/Concepto</w:t>
            </w:r>
          </w:p>
        </w:tc>
        <w:tc>
          <w:tcPr>
            <w:tcW w:w="6265" w:type="dxa"/>
            <w:shd w:val="clear" w:color="auto" w:fill="E2EFD9" w:themeFill="accent6" w:themeFillTint="33"/>
          </w:tcPr>
          <w:p w:rsidR="00E95D89" w:rsidRPr="008D2758" w:rsidRDefault="008D2758" w:rsidP="00070311">
            <w:pPr>
              <w:pStyle w:val="Sombreadovistoso-nfasis31"/>
              <w:ind w:left="0"/>
              <w:jc w:val="center"/>
              <w:rPr>
                <w:b/>
                <w:color w:val="auto"/>
                <w:szCs w:val="24"/>
                <w:lang w:val="es-CO"/>
              </w:rPr>
            </w:pPr>
            <w:r w:rsidRPr="008D2758">
              <w:rPr>
                <w:b/>
                <w:color w:val="auto"/>
                <w:szCs w:val="24"/>
                <w:lang w:val="es-CO"/>
              </w:rPr>
              <w:t>Argumentos</w:t>
            </w:r>
          </w:p>
        </w:tc>
      </w:tr>
      <w:tr w:rsidR="00C55AAA" w:rsidRPr="008D2758" w:rsidTr="72AB2DCF">
        <w:tc>
          <w:tcPr>
            <w:tcW w:w="2563" w:type="dxa"/>
          </w:tcPr>
          <w:p w:rsidR="00981032" w:rsidRPr="008D2758" w:rsidRDefault="008D2758" w:rsidP="00070311">
            <w:pPr>
              <w:pStyle w:val="Sombreadovistoso-nfasis31"/>
              <w:ind w:left="0"/>
              <w:jc w:val="center"/>
              <w:rPr>
                <w:bCs/>
                <w:color w:val="auto"/>
                <w:szCs w:val="24"/>
                <w:lang w:val="es-CO"/>
              </w:rPr>
            </w:pPr>
            <w:r w:rsidRPr="008D2758">
              <w:rPr>
                <w:b/>
                <w:color w:val="auto"/>
                <w:szCs w:val="24"/>
                <w:lang w:val="es-CO"/>
              </w:rPr>
              <w:t>Departamento Administrativo de la Presidencia de la República</w:t>
            </w:r>
            <w:r w:rsidRPr="008D2758">
              <w:rPr>
                <w:rStyle w:val="Refdenotaalpie"/>
                <w:b/>
                <w:color w:val="auto"/>
                <w:szCs w:val="24"/>
              </w:rPr>
              <w:footnoteReference w:id="4"/>
            </w:r>
            <w:r w:rsidRPr="008D2758">
              <w:rPr>
                <w:b/>
                <w:color w:val="auto"/>
                <w:szCs w:val="24"/>
                <w:lang w:val="es-CO"/>
              </w:rPr>
              <w:t>:</w:t>
            </w:r>
            <w:r w:rsidRPr="008D2758">
              <w:rPr>
                <w:bCs/>
                <w:color w:val="auto"/>
                <w:szCs w:val="24"/>
                <w:lang w:val="es-CO"/>
              </w:rPr>
              <w:t xml:space="preserve"> inhibición o exequibilidad de la norma. </w:t>
            </w:r>
          </w:p>
        </w:tc>
        <w:tc>
          <w:tcPr>
            <w:tcW w:w="6265" w:type="dxa"/>
            <w:vAlign w:val="center"/>
          </w:tcPr>
          <w:p w:rsidR="00981032" w:rsidRPr="008D2758" w:rsidRDefault="008D2758" w:rsidP="00070311">
            <w:pPr>
              <w:jc w:val="both"/>
              <w:rPr>
                <w:rFonts w:ascii="Times New Roman" w:hAnsi="Times New Roman" w:cs="Times New Roman"/>
                <w:sz w:val="28"/>
                <w:lang w:val="es-US"/>
              </w:rPr>
            </w:pPr>
            <w:r w:rsidRPr="008D2758">
              <w:rPr>
                <w:rFonts w:ascii="Times New Roman" w:hAnsi="Times New Roman" w:cs="Times New Roman"/>
                <w:sz w:val="28"/>
              </w:rPr>
              <w:t xml:space="preserve">El actor parte de una lectura descontextualizada y subjetiva de la norma. </w:t>
            </w:r>
            <w:r w:rsidRPr="008D2758">
              <w:rPr>
                <w:rFonts w:ascii="Times New Roman" w:hAnsi="Times New Roman" w:cs="Times New Roman"/>
                <w:sz w:val="28"/>
              </w:rPr>
              <w:t xml:space="preserve">Para el DAPRE, </w:t>
            </w:r>
            <w:r w:rsidRPr="008D2758">
              <w:rPr>
                <w:rFonts w:ascii="Times New Roman" w:eastAsia="Calibri" w:hAnsi="Times New Roman" w:cs="Times New Roman"/>
                <w:sz w:val="28"/>
              </w:rPr>
              <w:t>el ciudadano se equivoca al considerar que la norma tiene efectos retroactivos ya que “sin la certeza de la comisión del delito, no podría ejercerse la facultad sancionatoria”</w:t>
            </w:r>
            <w:r w:rsidRPr="008D2758">
              <w:rPr>
                <w:rFonts w:ascii="Times New Roman" w:eastAsia="Calibri" w:hAnsi="Times New Roman" w:cs="Times New Roman"/>
                <w:sz w:val="28"/>
                <w:vertAlign w:val="superscript"/>
              </w:rPr>
              <w:footnoteReference w:id="5"/>
            </w:r>
            <w:r w:rsidRPr="008D2758">
              <w:rPr>
                <w:rFonts w:ascii="Times New Roman" w:eastAsia="Calibri" w:hAnsi="Times New Roman" w:cs="Times New Roman"/>
                <w:sz w:val="28"/>
              </w:rPr>
              <w:t xml:space="preserve">. Esto significa que, contrario a lo dicho por la demanda, lo que busca la norma es garantizar el principio de presunción de inocencia. </w:t>
            </w:r>
            <w:r w:rsidRPr="008D2758">
              <w:rPr>
                <w:rFonts w:ascii="Times New Roman" w:hAnsi="Times New Roman" w:cs="Times New Roman"/>
                <w:sz w:val="28"/>
                <w:lang w:val="es-US"/>
              </w:rPr>
              <w:t>Así mismo, la entidad interviniente alegó que el propio artículo 69 de la Ley 2195 de 2022 expresamente señaló que la no</w:t>
            </w:r>
            <w:r w:rsidRPr="008D2758">
              <w:rPr>
                <w:rFonts w:ascii="Times New Roman" w:hAnsi="Times New Roman" w:cs="Times New Roman"/>
                <w:sz w:val="28"/>
                <w:lang w:val="es-US"/>
              </w:rPr>
              <w:t xml:space="preserve">rma no tiene efectos retroactivos. Por lo anterior, los cargos formulados por el ciudadano tampoco cumplen con los requisitos de especificidad y suficiencia, ampliamente desarrollados por la jurisprudencia de la Corte. </w:t>
            </w:r>
          </w:p>
          <w:p w:rsidR="00070311" w:rsidRPr="008D2758" w:rsidRDefault="008D2758" w:rsidP="00070311">
            <w:pPr>
              <w:jc w:val="both"/>
              <w:rPr>
                <w:rFonts w:ascii="Times New Roman" w:hAnsi="Times New Roman" w:cs="Times New Roman"/>
                <w:sz w:val="28"/>
              </w:rPr>
            </w:pPr>
          </w:p>
          <w:p w:rsidR="00E95D89" w:rsidRPr="008D2758" w:rsidRDefault="008D2758" w:rsidP="00070311">
            <w:pPr>
              <w:jc w:val="both"/>
              <w:rPr>
                <w:rFonts w:ascii="Times New Roman" w:hAnsi="Times New Roman" w:cs="Times New Roman"/>
                <w:sz w:val="28"/>
              </w:rPr>
            </w:pPr>
            <w:r w:rsidRPr="008D2758">
              <w:rPr>
                <w:rFonts w:ascii="Times New Roman" w:hAnsi="Times New Roman" w:cs="Times New Roman"/>
                <w:sz w:val="28"/>
              </w:rPr>
              <w:t>Sobre el fondo, el DAPRE indicó que</w:t>
            </w:r>
            <w:r w:rsidRPr="008D2758">
              <w:rPr>
                <w:rFonts w:ascii="Times New Roman" w:hAnsi="Times New Roman" w:cs="Times New Roman"/>
                <w:sz w:val="28"/>
              </w:rPr>
              <w:t xml:space="preserve"> la expresión “e independientemente de la fecha de la comisión de la conducta punible por parte de las personas naturales”</w:t>
            </w:r>
            <w:r w:rsidRPr="008D2758">
              <w:rPr>
                <w:rFonts w:ascii="Times New Roman" w:hAnsi="Times New Roman" w:cs="Times New Roman"/>
                <w:sz w:val="28"/>
                <w:vertAlign w:val="superscript"/>
              </w:rPr>
              <w:footnoteReference w:id="6"/>
            </w:r>
            <w:r w:rsidRPr="008D2758">
              <w:rPr>
                <w:rFonts w:ascii="Times New Roman" w:hAnsi="Times New Roman" w:cs="Times New Roman"/>
                <w:sz w:val="28"/>
              </w:rPr>
              <w:t>, no significa que las autoridades puedan aplicar retroactivamente una Ley. Al contrario, la norma en cuestión estableció que “la cad</w:t>
            </w:r>
            <w:r w:rsidRPr="008D2758">
              <w:rPr>
                <w:rFonts w:ascii="Times New Roman" w:hAnsi="Times New Roman" w:cs="Times New Roman"/>
                <w:sz w:val="28"/>
              </w:rPr>
              <w:t>ucidad de las investigaciones administrativas comienza a partir de la ejecución de sentencias o en firme o del reconocimiento de un principio de oportunidad”</w:t>
            </w:r>
            <w:r w:rsidRPr="008D2758">
              <w:rPr>
                <w:rFonts w:ascii="Times New Roman" w:hAnsi="Times New Roman" w:cs="Times New Roman"/>
                <w:sz w:val="28"/>
                <w:vertAlign w:val="superscript"/>
              </w:rPr>
              <w:footnoteReference w:id="7"/>
            </w:r>
            <w:r w:rsidRPr="008D2758">
              <w:rPr>
                <w:rFonts w:ascii="Times New Roman" w:hAnsi="Times New Roman" w:cs="Times New Roman"/>
                <w:sz w:val="28"/>
              </w:rPr>
              <w:t xml:space="preserve">, ambas situaciones con posterioridad a la </w:t>
            </w:r>
            <w:r w:rsidRPr="008D2758">
              <w:rPr>
                <w:rFonts w:ascii="Times New Roman" w:hAnsi="Times New Roman" w:cs="Times New Roman"/>
                <w:sz w:val="28"/>
              </w:rPr>
              <w:t>entrada en vigor</w:t>
            </w:r>
            <w:r w:rsidRPr="008D2758">
              <w:rPr>
                <w:rFonts w:ascii="Times New Roman" w:hAnsi="Times New Roman" w:cs="Times New Roman"/>
                <w:sz w:val="28"/>
              </w:rPr>
              <w:t xml:space="preserve"> de la norma que contiene de la expresi</w:t>
            </w:r>
            <w:r w:rsidRPr="008D2758">
              <w:rPr>
                <w:rFonts w:ascii="Times New Roman" w:hAnsi="Times New Roman" w:cs="Times New Roman"/>
                <w:sz w:val="28"/>
              </w:rPr>
              <w:t xml:space="preserve">ón demandada. Por el contrario, el artículo demandado no solo respeta el principio de irretroactividad, sino que también asegura la plena vigencia del derecho al debido proceso y la presunción de inocencia. </w:t>
            </w:r>
          </w:p>
          <w:p w:rsidR="00D8621F" w:rsidRPr="008D2758" w:rsidRDefault="008D2758" w:rsidP="00070311">
            <w:pPr>
              <w:jc w:val="both"/>
              <w:rPr>
                <w:rFonts w:ascii="Times New Roman" w:hAnsi="Times New Roman" w:cs="Times New Roman"/>
                <w:bCs/>
                <w:sz w:val="28"/>
              </w:rPr>
            </w:pPr>
          </w:p>
        </w:tc>
      </w:tr>
      <w:tr w:rsidR="00C55AAA" w:rsidRPr="008D2758" w:rsidTr="72AB2DCF">
        <w:tc>
          <w:tcPr>
            <w:tcW w:w="2563" w:type="dxa"/>
          </w:tcPr>
          <w:p w:rsidR="00070311" w:rsidRPr="008D2758" w:rsidRDefault="008D2758" w:rsidP="00070311">
            <w:pPr>
              <w:pStyle w:val="Sombreadovistoso-nfasis31"/>
              <w:ind w:left="0"/>
              <w:jc w:val="center"/>
              <w:rPr>
                <w:b/>
                <w:color w:val="auto"/>
                <w:szCs w:val="24"/>
                <w:lang w:val="es-CO"/>
              </w:rPr>
            </w:pPr>
            <w:r w:rsidRPr="008D2758">
              <w:rPr>
                <w:b/>
                <w:color w:val="auto"/>
                <w:szCs w:val="24"/>
                <w:lang w:val="es-CO"/>
              </w:rPr>
              <w:t>Andrés Camilo Gutiérrez Buitrago</w:t>
            </w:r>
            <w:r w:rsidRPr="008D2758">
              <w:rPr>
                <w:rStyle w:val="Refdenotaalpie"/>
                <w:b/>
                <w:color w:val="auto"/>
                <w:szCs w:val="24"/>
              </w:rPr>
              <w:footnoteReference w:id="8"/>
            </w:r>
            <w:r w:rsidRPr="008D2758">
              <w:rPr>
                <w:b/>
                <w:color w:val="auto"/>
                <w:szCs w:val="24"/>
                <w:lang w:val="es-CO"/>
              </w:rPr>
              <w:t xml:space="preserve">: </w:t>
            </w:r>
            <w:r w:rsidRPr="008D2758">
              <w:rPr>
                <w:bCs/>
                <w:color w:val="auto"/>
                <w:szCs w:val="24"/>
                <w:lang w:val="es-CO"/>
              </w:rPr>
              <w:t>inexequibil</w:t>
            </w:r>
            <w:r w:rsidRPr="008D2758">
              <w:rPr>
                <w:bCs/>
                <w:color w:val="auto"/>
                <w:szCs w:val="24"/>
                <w:lang w:val="es-CO"/>
              </w:rPr>
              <w:t xml:space="preserve">idad de la norma. </w:t>
            </w:r>
            <w:r w:rsidRPr="008D2758">
              <w:rPr>
                <w:b/>
                <w:color w:val="auto"/>
                <w:szCs w:val="24"/>
                <w:lang w:val="es-CO"/>
              </w:rPr>
              <w:t xml:space="preserve"> </w:t>
            </w:r>
          </w:p>
        </w:tc>
        <w:tc>
          <w:tcPr>
            <w:tcW w:w="6265" w:type="dxa"/>
          </w:tcPr>
          <w:p w:rsidR="00070311" w:rsidRPr="008D2758" w:rsidRDefault="008D2758" w:rsidP="00070311">
            <w:pPr>
              <w:pStyle w:val="Prrafodelista"/>
              <w:numPr>
                <w:ilvl w:val="0"/>
                <w:numId w:val="0"/>
              </w:numPr>
              <w:rPr>
                <w:szCs w:val="24"/>
              </w:rPr>
            </w:pPr>
            <w:r w:rsidRPr="008D2758">
              <w:rPr>
                <w:szCs w:val="24"/>
              </w:rPr>
              <w:t>El ciudadano señaló que la caducidad en materia sancionatoria es en sí mismo un límite a este poder punitivo y una herramienta para proteger los derechos de las y los investigados. En este punto, el ciudadano destacó que, incluso, la expresión demandada pe</w:t>
            </w:r>
            <w:r w:rsidRPr="008D2758">
              <w:rPr>
                <w:szCs w:val="24"/>
              </w:rPr>
              <w:t xml:space="preserve">rmite imputar responsabilidad jurídica a personas por acciones de terceros. Por lo anterior, concluyó que la norma acusada vulnera el artículo 29 de la Constitución y solicitó que se declare la inconstitucionalidad de las expresiones demandadas. </w:t>
            </w:r>
          </w:p>
          <w:p w:rsidR="00D8621F" w:rsidRPr="008D2758" w:rsidRDefault="008D2758" w:rsidP="00070311">
            <w:pPr>
              <w:pStyle w:val="Prrafodelista"/>
              <w:numPr>
                <w:ilvl w:val="0"/>
                <w:numId w:val="0"/>
              </w:numPr>
              <w:rPr>
                <w:szCs w:val="24"/>
              </w:rPr>
            </w:pPr>
          </w:p>
        </w:tc>
      </w:tr>
      <w:tr w:rsidR="00C55AAA" w:rsidRPr="008D2758" w:rsidTr="72AB2DCF">
        <w:tc>
          <w:tcPr>
            <w:tcW w:w="2563" w:type="dxa"/>
          </w:tcPr>
          <w:p w:rsidR="00070311" w:rsidRPr="008D2758" w:rsidRDefault="008D2758" w:rsidP="00070311">
            <w:pPr>
              <w:jc w:val="center"/>
              <w:rPr>
                <w:rFonts w:ascii="Times New Roman" w:hAnsi="Times New Roman" w:cs="Times New Roman"/>
                <w:bCs/>
                <w:sz w:val="28"/>
              </w:rPr>
            </w:pPr>
            <w:r w:rsidRPr="008D2758">
              <w:rPr>
                <w:rFonts w:ascii="Times New Roman" w:hAnsi="Times New Roman" w:cs="Times New Roman"/>
                <w:b/>
                <w:sz w:val="28"/>
              </w:rPr>
              <w:t>Asociac</w:t>
            </w:r>
            <w:r w:rsidRPr="008D2758">
              <w:rPr>
                <w:rFonts w:ascii="Times New Roman" w:hAnsi="Times New Roman" w:cs="Times New Roman"/>
                <w:b/>
                <w:sz w:val="28"/>
              </w:rPr>
              <w:t>ión Nacional de Empresarios de Colombia (ANDI)</w:t>
            </w:r>
            <w:r w:rsidRPr="008D2758">
              <w:rPr>
                <w:rStyle w:val="Refdenotaalpie"/>
                <w:rFonts w:ascii="Times New Roman" w:hAnsi="Times New Roman" w:cs="Times New Roman"/>
                <w:b/>
                <w:sz w:val="28"/>
              </w:rPr>
              <w:footnoteReference w:id="9"/>
            </w:r>
            <w:r w:rsidRPr="008D2758">
              <w:rPr>
                <w:rFonts w:ascii="Times New Roman" w:hAnsi="Times New Roman" w:cs="Times New Roman"/>
                <w:b/>
                <w:sz w:val="28"/>
              </w:rPr>
              <w:t xml:space="preserve">: </w:t>
            </w:r>
            <w:r w:rsidRPr="008D2758">
              <w:rPr>
                <w:rFonts w:ascii="Times New Roman" w:hAnsi="Times New Roman" w:cs="Times New Roman"/>
                <w:bCs/>
                <w:sz w:val="28"/>
              </w:rPr>
              <w:t xml:space="preserve">inhibición. </w:t>
            </w:r>
          </w:p>
          <w:p w:rsidR="00070311" w:rsidRPr="008D2758" w:rsidRDefault="008D2758" w:rsidP="00070311">
            <w:pPr>
              <w:pStyle w:val="Sombreadovistoso-nfasis31"/>
              <w:ind w:left="0"/>
              <w:jc w:val="center"/>
              <w:rPr>
                <w:b/>
                <w:color w:val="auto"/>
                <w:szCs w:val="24"/>
                <w:lang w:val="es-CO"/>
              </w:rPr>
            </w:pPr>
          </w:p>
        </w:tc>
        <w:tc>
          <w:tcPr>
            <w:tcW w:w="6265" w:type="dxa"/>
          </w:tcPr>
          <w:p w:rsidR="00070311" w:rsidRPr="008D2758" w:rsidRDefault="008D2758" w:rsidP="00C55AAA">
            <w:pPr>
              <w:pStyle w:val="Prrafodelista"/>
              <w:numPr>
                <w:ilvl w:val="0"/>
                <w:numId w:val="0"/>
              </w:numPr>
              <w:rPr>
                <w:szCs w:val="24"/>
              </w:rPr>
            </w:pPr>
            <w:r w:rsidRPr="008D2758">
              <w:rPr>
                <w:szCs w:val="24"/>
              </w:rPr>
              <w:t xml:space="preserve">Para la ANDI, la lectura del demandante es equivocada y, por tanto, carece de certeza, toda vez que el ciudadano erróneamente considera que la norma en cuestión habilita a sancionar a personas por hechos cometidos con anterioridad a su </w:t>
            </w:r>
            <w:r w:rsidRPr="008D2758">
              <w:rPr>
                <w:szCs w:val="24"/>
              </w:rPr>
              <w:t>entrada en vigor</w:t>
            </w:r>
            <w:r w:rsidRPr="008D2758">
              <w:rPr>
                <w:szCs w:val="24"/>
              </w:rPr>
              <w:t xml:space="preserve">. </w:t>
            </w:r>
            <w:r w:rsidRPr="008D2758">
              <w:rPr>
                <w:szCs w:val="24"/>
              </w:rPr>
              <w:t>Po</w:t>
            </w:r>
            <w:r w:rsidRPr="008D2758">
              <w:rPr>
                <w:szCs w:val="24"/>
              </w:rPr>
              <w:t xml:space="preserve">r el </w:t>
            </w:r>
            <w:r w:rsidRPr="008D2758">
              <w:rPr>
                <w:szCs w:val="24"/>
              </w:rPr>
              <w:t xml:space="preserve">contrario, el artículo 8 de la Ley 2195 de 2022 tan solo habilitó a las autoridades a iniciar investigaciones mas no a sancionar a nadie. </w:t>
            </w:r>
            <w:r w:rsidRPr="008D2758">
              <w:rPr>
                <w:szCs w:val="24"/>
              </w:rPr>
              <w:t>S</w:t>
            </w:r>
            <w:r w:rsidRPr="008D2758">
              <w:rPr>
                <w:szCs w:val="24"/>
              </w:rPr>
              <w:t xml:space="preserve">i la autoridad administrativa inicia un procedimiento sancionatorio por conductas o hechos anteriores a la </w:t>
            </w:r>
            <w:r w:rsidRPr="008D2758">
              <w:rPr>
                <w:szCs w:val="24"/>
              </w:rPr>
              <w:t>entra</w:t>
            </w:r>
            <w:r w:rsidRPr="008D2758">
              <w:rPr>
                <w:szCs w:val="24"/>
              </w:rPr>
              <w:t>da en vigor</w:t>
            </w:r>
            <w:r w:rsidRPr="008D2758">
              <w:rPr>
                <w:szCs w:val="24"/>
              </w:rPr>
              <w:t xml:space="preserve"> de la Ley 2195 de 2022, “debe partirse de la base de que esa autoridad actuará de buena fe y de acuerdo con los principios de la actuación”</w:t>
            </w:r>
            <w:r w:rsidRPr="008D2758">
              <w:rPr>
                <w:rStyle w:val="Refdenotaalpie"/>
                <w:szCs w:val="24"/>
              </w:rPr>
              <w:footnoteReference w:id="10"/>
            </w:r>
            <w:r w:rsidRPr="008D2758">
              <w:rPr>
                <w:szCs w:val="24"/>
              </w:rPr>
              <w:t>. Así las cosas, si la autoridad evidencia que la conducta no estaba sancionada, debería proceder al arc</w:t>
            </w:r>
            <w:r w:rsidRPr="008D2758">
              <w:rPr>
                <w:szCs w:val="24"/>
              </w:rPr>
              <w:t>hivo del proceso o a la exoneración del investigado. En otras palabras, la asociación insistió en que la sola iniciación del procedimiento no configura una vulneración del principio de irretroactividad.</w:t>
            </w:r>
          </w:p>
          <w:p w:rsidR="00D8621F" w:rsidRPr="008D2758" w:rsidRDefault="008D2758" w:rsidP="00C55AAA">
            <w:pPr>
              <w:pStyle w:val="Prrafodelista"/>
              <w:numPr>
                <w:ilvl w:val="0"/>
                <w:numId w:val="0"/>
              </w:numPr>
              <w:rPr>
                <w:szCs w:val="24"/>
              </w:rPr>
            </w:pPr>
          </w:p>
        </w:tc>
      </w:tr>
      <w:tr w:rsidR="00C55AAA" w:rsidRPr="008D2758" w:rsidTr="72AB2DCF">
        <w:tc>
          <w:tcPr>
            <w:tcW w:w="2563" w:type="dxa"/>
          </w:tcPr>
          <w:p w:rsidR="00070311" w:rsidRPr="008D2758" w:rsidRDefault="008D2758" w:rsidP="0033324A">
            <w:pPr>
              <w:jc w:val="center"/>
              <w:rPr>
                <w:rFonts w:ascii="Times New Roman" w:hAnsi="Times New Roman" w:cs="Times New Roman"/>
                <w:bCs/>
                <w:sz w:val="28"/>
              </w:rPr>
            </w:pPr>
            <w:r w:rsidRPr="008D2758">
              <w:rPr>
                <w:rFonts w:ascii="Times New Roman" w:hAnsi="Times New Roman" w:cs="Times New Roman"/>
                <w:b/>
                <w:sz w:val="28"/>
              </w:rPr>
              <w:t>Ronald Steven Camargo Rey</w:t>
            </w:r>
            <w:r w:rsidRPr="008D2758">
              <w:rPr>
                <w:rStyle w:val="Refdenotaalpie"/>
                <w:rFonts w:ascii="Times New Roman" w:hAnsi="Times New Roman" w:cs="Times New Roman"/>
                <w:b/>
                <w:sz w:val="28"/>
              </w:rPr>
              <w:footnoteReference w:id="11"/>
            </w:r>
            <w:r w:rsidRPr="008D2758">
              <w:rPr>
                <w:rFonts w:ascii="Times New Roman" w:hAnsi="Times New Roman" w:cs="Times New Roman"/>
                <w:b/>
                <w:sz w:val="28"/>
              </w:rPr>
              <w:t xml:space="preserve">: </w:t>
            </w:r>
            <w:r w:rsidRPr="008D2758">
              <w:rPr>
                <w:rFonts w:ascii="Times New Roman" w:hAnsi="Times New Roman" w:cs="Times New Roman"/>
                <w:bCs/>
                <w:sz w:val="28"/>
              </w:rPr>
              <w:t xml:space="preserve">inexequibilidad. </w:t>
            </w:r>
          </w:p>
        </w:tc>
        <w:tc>
          <w:tcPr>
            <w:tcW w:w="6265" w:type="dxa"/>
          </w:tcPr>
          <w:p w:rsidR="000F0310" w:rsidRPr="008D2758" w:rsidRDefault="008D2758" w:rsidP="000F0310">
            <w:pPr>
              <w:jc w:val="both"/>
              <w:rPr>
                <w:rFonts w:ascii="Times New Roman" w:hAnsi="Times New Roman" w:cs="Times New Roman"/>
                <w:sz w:val="28"/>
              </w:rPr>
            </w:pPr>
            <w:r w:rsidRPr="008D2758">
              <w:rPr>
                <w:rFonts w:ascii="Times New Roman" w:hAnsi="Times New Roman" w:cs="Times New Roman"/>
                <w:sz w:val="28"/>
              </w:rPr>
              <w:t>Ronald Steven Camargo argumentó que, a través de la Ley 2195 de 2022, se impuso la aplicación retroactiva de la norma como única alt</w:t>
            </w:r>
            <w:r w:rsidRPr="008D2758">
              <w:rPr>
                <w:rFonts w:ascii="Times New Roman" w:hAnsi="Times New Roman" w:cs="Times New Roman"/>
                <w:sz w:val="28"/>
              </w:rPr>
              <w:t xml:space="preserve">ernativa. Según indicó, esto no solo </w:t>
            </w:r>
            <w:r w:rsidRPr="008D2758">
              <w:rPr>
                <w:rFonts w:ascii="Times New Roman" w:hAnsi="Times New Roman" w:cs="Times New Roman"/>
                <w:sz w:val="28"/>
              </w:rPr>
              <w:t>implica “la consecuencia penal para la persona natural, sino también la consecuencia sa</w:t>
            </w:r>
            <w:r w:rsidRPr="008D2758">
              <w:rPr>
                <w:rFonts w:ascii="Times New Roman" w:hAnsi="Times New Roman" w:cs="Times New Roman"/>
                <w:sz w:val="28"/>
              </w:rPr>
              <w:t>ncionatoria para la persona jurídica, aun cuando la transgresión fue cometida con anterioridad a la existencia de la ley”</w:t>
            </w:r>
            <w:r w:rsidRPr="008D2758">
              <w:rPr>
                <w:rStyle w:val="Refdenotaalpie"/>
                <w:rFonts w:ascii="Times New Roman" w:hAnsi="Times New Roman" w:cs="Times New Roman"/>
                <w:sz w:val="28"/>
              </w:rPr>
              <w:footnoteReference w:id="12"/>
            </w:r>
            <w:r w:rsidRPr="008D2758">
              <w:rPr>
                <w:rFonts w:ascii="Times New Roman" w:hAnsi="Times New Roman" w:cs="Times New Roman"/>
                <w:sz w:val="28"/>
              </w:rPr>
              <w:t>. Si bien la facultad sancionatoria del Estado juega un papel muy importante frente a la lucha contra la corrupción, también es cierto</w:t>
            </w:r>
            <w:r w:rsidRPr="008D2758">
              <w:rPr>
                <w:rFonts w:ascii="Times New Roman" w:hAnsi="Times New Roman" w:cs="Times New Roman"/>
                <w:sz w:val="28"/>
              </w:rPr>
              <w:t xml:space="preserve"> que tal posibilidad no puede transgredir garantías propias del debido proceso. Así, el término de caducidad “no debería ser abordado por el legislador como un lapso que debe ser extendido”</w:t>
            </w:r>
            <w:r w:rsidRPr="008D2758">
              <w:rPr>
                <w:rStyle w:val="Refdenotaalpie"/>
                <w:rFonts w:ascii="Times New Roman" w:hAnsi="Times New Roman" w:cs="Times New Roman"/>
                <w:sz w:val="28"/>
              </w:rPr>
              <w:t xml:space="preserve"> </w:t>
            </w:r>
            <w:r w:rsidRPr="008D2758">
              <w:rPr>
                <w:rStyle w:val="Refdenotaalpie"/>
                <w:rFonts w:ascii="Times New Roman" w:hAnsi="Times New Roman" w:cs="Times New Roman"/>
                <w:sz w:val="28"/>
              </w:rPr>
              <w:footnoteReference w:id="13"/>
            </w:r>
            <w:r w:rsidRPr="008D2758">
              <w:rPr>
                <w:rFonts w:ascii="Times New Roman" w:hAnsi="Times New Roman" w:cs="Times New Roman"/>
                <w:sz w:val="28"/>
              </w:rPr>
              <w:t>, sino más bien, debería ser entendido “por el aparato sancionato</w:t>
            </w:r>
            <w:r w:rsidRPr="008D2758">
              <w:rPr>
                <w:rFonts w:ascii="Times New Roman" w:hAnsi="Times New Roman" w:cs="Times New Roman"/>
                <w:sz w:val="28"/>
              </w:rPr>
              <w:t>rio como un llamado a la presteza dentro de sus procesos”</w:t>
            </w:r>
            <w:r w:rsidRPr="008D2758">
              <w:rPr>
                <w:rStyle w:val="Refdenotaalpie"/>
                <w:rFonts w:ascii="Times New Roman" w:hAnsi="Times New Roman" w:cs="Times New Roman"/>
                <w:sz w:val="28"/>
              </w:rPr>
              <w:t xml:space="preserve"> </w:t>
            </w:r>
            <w:r w:rsidRPr="008D2758">
              <w:rPr>
                <w:rStyle w:val="Refdenotaalpie"/>
                <w:rFonts w:ascii="Times New Roman" w:hAnsi="Times New Roman" w:cs="Times New Roman"/>
                <w:sz w:val="28"/>
              </w:rPr>
              <w:footnoteReference w:id="14"/>
            </w:r>
            <w:r w:rsidRPr="008D2758">
              <w:rPr>
                <w:rFonts w:ascii="Times New Roman" w:hAnsi="Times New Roman" w:cs="Times New Roman"/>
                <w:sz w:val="28"/>
              </w:rPr>
              <w:t>.</w:t>
            </w:r>
          </w:p>
          <w:p w:rsidR="00D8621F" w:rsidRPr="008D2758" w:rsidRDefault="008D2758" w:rsidP="000F0310">
            <w:pPr>
              <w:jc w:val="both"/>
              <w:rPr>
                <w:rFonts w:ascii="Times New Roman" w:hAnsi="Times New Roman" w:cs="Times New Roman"/>
                <w:sz w:val="28"/>
              </w:rPr>
            </w:pPr>
          </w:p>
        </w:tc>
      </w:tr>
      <w:tr w:rsidR="00C55AAA" w:rsidRPr="008D2758" w:rsidTr="72AB2DCF">
        <w:tc>
          <w:tcPr>
            <w:tcW w:w="2563" w:type="dxa"/>
          </w:tcPr>
          <w:p w:rsidR="00070311" w:rsidRPr="008D2758" w:rsidRDefault="008D2758" w:rsidP="000F0310">
            <w:pPr>
              <w:jc w:val="center"/>
              <w:rPr>
                <w:rFonts w:ascii="Times New Roman" w:hAnsi="Times New Roman" w:cs="Times New Roman"/>
                <w:b/>
                <w:sz w:val="28"/>
              </w:rPr>
            </w:pPr>
            <w:r w:rsidRPr="008D2758">
              <w:rPr>
                <w:rFonts w:ascii="Times New Roman" w:hAnsi="Times New Roman" w:cs="Times New Roman"/>
                <w:b/>
                <w:sz w:val="28"/>
              </w:rPr>
              <w:t>Superintendencia de Industria y Comercio (SIC)</w:t>
            </w:r>
            <w:r w:rsidRPr="008D2758">
              <w:rPr>
                <w:rStyle w:val="Refdenotaalpie"/>
                <w:rFonts w:ascii="Times New Roman" w:hAnsi="Times New Roman" w:cs="Times New Roman"/>
                <w:b/>
                <w:sz w:val="28"/>
              </w:rPr>
              <w:footnoteReference w:id="15"/>
            </w:r>
          </w:p>
        </w:tc>
        <w:tc>
          <w:tcPr>
            <w:tcW w:w="6265" w:type="dxa"/>
          </w:tcPr>
          <w:p w:rsidR="00070311" w:rsidRPr="008D2758" w:rsidRDefault="008D2758" w:rsidP="000F0310">
            <w:pPr>
              <w:pStyle w:val="Prrafodelista"/>
              <w:numPr>
                <w:ilvl w:val="0"/>
                <w:numId w:val="0"/>
              </w:numPr>
              <w:rPr>
                <w:szCs w:val="24"/>
              </w:rPr>
            </w:pPr>
            <w:r w:rsidRPr="008D2758">
              <w:rPr>
                <w:szCs w:val="24"/>
              </w:rPr>
              <w:t xml:space="preserve">Inicialmente, la </w:t>
            </w:r>
            <w:r w:rsidRPr="008D2758">
              <w:rPr>
                <w:szCs w:val="24"/>
              </w:rPr>
              <w:t xml:space="preserve">Superintendencia </w:t>
            </w:r>
            <w:r w:rsidRPr="008D2758">
              <w:rPr>
                <w:szCs w:val="24"/>
              </w:rPr>
              <w:t xml:space="preserve">se refirió a las competencias de esa entidad en materia sancionatoria. Al respecto, dicha entidad explicó que, </w:t>
            </w:r>
            <w:r w:rsidRPr="008D2758">
              <w:rPr>
                <w:szCs w:val="24"/>
              </w:rPr>
              <w:t>según el parágrafo 2 del artículo 34-1 de la Ley 2195 de 2022, lo dispuesto en dicha norma “no serán aplicables para la Superintendencia de Industria y Comercio”</w:t>
            </w:r>
            <w:r w:rsidRPr="008D2758">
              <w:rPr>
                <w:rStyle w:val="Refdenotaalpie"/>
                <w:szCs w:val="24"/>
              </w:rPr>
              <w:footnoteReference w:id="16"/>
            </w:r>
            <w:r w:rsidRPr="008D2758">
              <w:rPr>
                <w:szCs w:val="24"/>
              </w:rPr>
              <w:t xml:space="preserve">. En esos términos, “la disposición demandada no tiene relación dentro de las competencias de </w:t>
            </w:r>
            <w:r w:rsidRPr="008D2758">
              <w:rPr>
                <w:szCs w:val="24"/>
              </w:rPr>
              <w:t>esta superintendencia”</w:t>
            </w:r>
            <w:r w:rsidRPr="008D2758">
              <w:rPr>
                <w:rStyle w:val="Refdenotaalpie"/>
                <w:szCs w:val="24"/>
              </w:rPr>
              <w:t xml:space="preserve"> </w:t>
            </w:r>
            <w:r w:rsidRPr="008D2758">
              <w:rPr>
                <w:rStyle w:val="Refdenotaalpie"/>
                <w:szCs w:val="24"/>
              </w:rPr>
              <w:footnoteReference w:id="17"/>
            </w:r>
            <w:r w:rsidRPr="008D2758">
              <w:rPr>
                <w:szCs w:val="24"/>
              </w:rPr>
              <w:t>. Por lo tanto, “no existe pronunciamiento en contra de la norma por lo cual debe permanecer en el ordenamiento jurídico”</w:t>
            </w:r>
            <w:r w:rsidRPr="008D2758">
              <w:rPr>
                <w:rStyle w:val="Refdenotaalpie"/>
                <w:szCs w:val="24"/>
              </w:rPr>
              <w:t xml:space="preserve"> </w:t>
            </w:r>
            <w:r w:rsidRPr="008D2758">
              <w:rPr>
                <w:rStyle w:val="Refdenotaalpie"/>
                <w:szCs w:val="24"/>
              </w:rPr>
              <w:footnoteReference w:id="18"/>
            </w:r>
            <w:r w:rsidRPr="008D2758">
              <w:rPr>
                <w:szCs w:val="24"/>
              </w:rPr>
              <w:t xml:space="preserve">. </w:t>
            </w:r>
          </w:p>
          <w:p w:rsidR="00D8621F" w:rsidRPr="008D2758" w:rsidRDefault="008D2758" w:rsidP="000F0310">
            <w:pPr>
              <w:pStyle w:val="Prrafodelista"/>
              <w:numPr>
                <w:ilvl w:val="0"/>
                <w:numId w:val="0"/>
              </w:numPr>
              <w:rPr>
                <w:szCs w:val="24"/>
              </w:rPr>
            </w:pPr>
          </w:p>
        </w:tc>
      </w:tr>
      <w:tr w:rsidR="00C55AAA" w:rsidRPr="008D2758" w:rsidTr="72AB2DCF">
        <w:tc>
          <w:tcPr>
            <w:tcW w:w="2563" w:type="dxa"/>
          </w:tcPr>
          <w:p w:rsidR="00CA22C7" w:rsidRPr="008D2758" w:rsidRDefault="008D2758" w:rsidP="00CA22C7">
            <w:pPr>
              <w:jc w:val="center"/>
              <w:rPr>
                <w:rFonts w:ascii="Times New Roman" w:hAnsi="Times New Roman" w:cs="Times New Roman"/>
                <w:b/>
                <w:sz w:val="28"/>
              </w:rPr>
            </w:pPr>
            <w:r w:rsidRPr="008D2758">
              <w:rPr>
                <w:rFonts w:ascii="Times New Roman" w:hAnsi="Times New Roman" w:cs="Times New Roman"/>
                <w:b/>
                <w:sz w:val="28"/>
              </w:rPr>
              <w:t>Universidad Pontificia Bolivariana</w:t>
            </w:r>
            <w:r w:rsidRPr="008D2758">
              <w:rPr>
                <w:rStyle w:val="Refdenotaalpie"/>
                <w:rFonts w:ascii="Times New Roman" w:hAnsi="Times New Roman" w:cs="Times New Roman"/>
                <w:b/>
                <w:sz w:val="28"/>
              </w:rPr>
              <w:footnoteReference w:id="19"/>
            </w:r>
            <w:r w:rsidRPr="008D2758">
              <w:rPr>
                <w:rFonts w:ascii="Times New Roman" w:hAnsi="Times New Roman" w:cs="Times New Roman"/>
                <w:b/>
                <w:sz w:val="28"/>
              </w:rPr>
              <w:t xml:space="preserve">: </w:t>
            </w:r>
            <w:r w:rsidRPr="008D2758">
              <w:rPr>
                <w:rFonts w:ascii="Times New Roman" w:hAnsi="Times New Roman" w:cs="Times New Roman"/>
                <w:bCs/>
                <w:sz w:val="28"/>
              </w:rPr>
              <w:t xml:space="preserve">inhibición. </w:t>
            </w:r>
          </w:p>
          <w:p w:rsidR="00070311" w:rsidRPr="008D2758" w:rsidRDefault="008D2758" w:rsidP="00070311">
            <w:pPr>
              <w:pStyle w:val="Sombreadovistoso-nfasis31"/>
              <w:ind w:left="0"/>
              <w:jc w:val="center"/>
              <w:rPr>
                <w:b/>
                <w:color w:val="auto"/>
                <w:szCs w:val="24"/>
                <w:lang w:val="es-CO"/>
              </w:rPr>
            </w:pPr>
          </w:p>
        </w:tc>
        <w:tc>
          <w:tcPr>
            <w:tcW w:w="6265" w:type="dxa"/>
          </w:tcPr>
          <w:p w:rsidR="005A1A8A" w:rsidRPr="008D2758" w:rsidRDefault="008D2758" w:rsidP="005A1A8A">
            <w:pPr>
              <w:pStyle w:val="Prrafodelista"/>
              <w:numPr>
                <w:ilvl w:val="0"/>
                <w:numId w:val="0"/>
              </w:numPr>
              <w:rPr>
                <w:szCs w:val="24"/>
              </w:rPr>
            </w:pPr>
            <w:r w:rsidRPr="008D2758">
              <w:rPr>
                <w:szCs w:val="24"/>
              </w:rPr>
              <w:t xml:space="preserve">La universidad interviniente señaló que el artículo </w:t>
            </w:r>
            <w:r w:rsidRPr="008D2758">
              <w:rPr>
                <w:szCs w:val="24"/>
              </w:rPr>
              <w:t>69 de la Ley 2195 de 2022 estableció que dicha norma rige “a partir de su promulgación y deroga las disposiciones que le sean contrarias”</w:t>
            </w:r>
            <w:r w:rsidRPr="008D2758">
              <w:rPr>
                <w:rStyle w:val="Refdenotaalpie"/>
                <w:szCs w:val="24"/>
              </w:rPr>
              <w:footnoteReference w:id="20"/>
            </w:r>
            <w:r w:rsidRPr="008D2758">
              <w:rPr>
                <w:szCs w:val="24"/>
              </w:rPr>
              <w:t>. Esto significa que, para efectos de contar la caducidad de la potestad sancionatoria de la administración, la conduc</w:t>
            </w:r>
            <w:r w:rsidRPr="008D2758">
              <w:rPr>
                <w:szCs w:val="24"/>
              </w:rPr>
              <w:t xml:space="preserve">ta debió haber ocurrido con posterioridad a la entrada en vigor de la Ley; esto es, 18 de enero de 2022. </w:t>
            </w:r>
          </w:p>
          <w:p w:rsidR="005A1A8A" w:rsidRPr="008D2758" w:rsidRDefault="008D2758" w:rsidP="005A1A8A">
            <w:pPr>
              <w:pStyle w:val="Prrafodelista"/>
              <w:numPr>
                <w:ilvl w:val="0"/>
                <w:numId w:val="0"/>
              </w:numPr>
              <w:rPr>
                <w:szCs w:val="24"/>
              </w:rPr>
            </w:pPr>
          </w:p>
          <w:p w:rsidR="00070311" w:rsidRPr="008D2758" w:rsidRDefault="008D2758" w:rsidP="005A1A8A">
            <w:pPr>
              <w:pStyle w:val="Prrafodelista"/>
              <w:numPr>
                <w:ilvl w:val="0"/>
                <w:numId w:val="0"/>
              </w:numPr>
              <w:rPr>
                <w:szCs w:val="24"/>
              </w:rPr>
            </w:pPr>
            <w:r w:rsidRPr="008D2758">
              <w:rPr>
                <w:szCs w:val="24"/>
              </w:rPr>
              <w:t xml:space="preserve">Adicionalmente, la referida </w:t>
            </w:r>
            <w:r w:rsidRPr="008D2758">
              <w:rPr>
                <w:szCs w:val="24"/>
              </w:rPr>
              <w:t xml:space="preserve">Universidad </w:t>
            </w:r>
            <w:r w:rsidRPr="008D2758">
              <w:rPr>
                <w:szCs w:val="24"/>
              </w:rPr>
              <w:t>manifestó que el ciudadano fundamentó el concepto de la violación en casos hipotéticos relacionados con la ap</w:t>
            </w:r>
            <w:r w:rsidRPr="008D2758">
              <w:rPr>
                <w:szCs w:val="24"/>
              </w:rPr>
              <w:t>licación retroactiva del artículo 8 de la Ley 2195 de 2022. Al respecto, la interviniente alegó que, si bien es cierto que la referida ley introdujo varias modificaciones a la facultad sancionatoria en casos de corrupción, lo cierto es que estas también so</w:t>
            </w:r>
            <w:r w:rsidRPr="008D2758">
              <w:rPr>
                <w:szCs w:val="24"/>
              </w:rPr>
              <w:t xml:space="preserve">n aplicables con posterioridad a la entrada en vigor de la ley en cuestión. Así, las posibles tensiones que se presentan por la aplicación de esta norma deben ser analizadas por los operadores jurídicos y en los casos concretos, y no, como en este asunto, </w:t>
            </w:r>
            <w:r w:rsidRPr="008D2758">
              <w:rPr>
                <w:szCs w:val="24"/>
              </w:rPr>
              <w:t xml:space="preserve">en sede de control abstracto de constitucionalidad. </w:t>
            </w:r>
          </w:p>
          <w:p w:rsidR="00D8621F" w:rsidRPr="008D2758" w:rsidRDefault="008D2758" w:rsidP="005A1A8A">
            <w:pPr>
              <w:pStyle w:val="Prrafodelista"/>
              <w:numPr>
                <w:ilvl w:val="0"/>
                <w:numId w:val="0"/>
              </w:numPr>
              <w:rPr>
                <w:szCs w:val="24"/>
              </w:rPr>
            </w:pPr>
          </w:p>
        </w:tc>
      </w:tr>
      <w:tr w:rsidR="00C55AAA" w:rsidRPr="008D2758" w:rsidTr="72AB2DCF">
        <w:tc>
          <w:tcPr>
            <w:tcW w:w="2563" w:type="dxa"/>
          </w:tcPr>
          <w:p w:rsidR="00CA22C7" w:rsidRPr="008D2758" w:rsidRDefault="008D2758" w:rsidP="005A1A8A">
            <w:pPr>
              <w:jc w:val="center"/>
              <w:rPr>
                <w:rFonts w:ascii="Times New Roman" w:hAnsi="Times New Roman" w:cs="Times New Roman"/>
                <w:bCs/>
                <w:sz w:val="28"/>
              </w:rPr>
            </w:pPr>
            <w:r w:rsidRPr="008D2758">
              <w:rPr>
                <w:rFonts w:ascii="Times New Roman" w:hAnsi="Times New Roman" w:cs="Times New Roman"/>
                <w:b/>
                <w:sz w:val="28"/>
              </w:rPr>
              <w:t>Shaquille Aimar Porras Rebolledo</w:t>
            </w:r>
            <w:r w:rsidRPr="008D2758">
              <w:rPr>
                <w:rStyle w:val="Refdenotaalpie"/>
                <w:rFonts w:ascii="Times New Roman" w:hAnsi="Times New Roman" w:cs="Times New Roman"/>
                <w:b/>
                <w:sz w:val="28"/>
              </w:rPr>
              <w:footnoteReference w:id="21"/>
            </w:r>
            <w:r w:rsidRPr="008D2758">
              <w:rPr>
                <w:rFonts w:ascii="Times New Roman" w:hAnsi="Times New Roman" w:cs="Times New Roman"/>
                <w:b/>
                <w:sz w:val="28"/>
              </w:rPr>
              <w:t>:</w:t>
            </w:r>
            <w:r w:rsidRPr="008D2758">
              <w:rPr>
                <w:rFonts w:ascii="Times New Roman" w:hAnsi="Times New Roman" w:cs="Times New Roman"/>
                <w:bCs/>
                <w:sz w:val="28"/>
              </w:rPr>
              <w:t xml:space="preserve"> inexequibilidad. </w:t>
            </w:r>
          </w:p>
        </w:tc>
        <w:tc>
          <w:tcPr>
            <w:tcW w:w="6265" w:type="dxa"/>
          </w:tcPr>
          <w:p w:rsidR="005A1A8A" w:rsidRPr="008D2758" w:rsidRDefault="008D2758" w:rsidP="005A1A8A">
            <w:pPr>
              <w:pStyle w:val="Prrafodelista"/>
              <w:numPr>
                <w:ilvl w:val="0"/>
                <w:numId w:val="0"/>
              </w:numPr>
              <w:rPr>
                <w:szCs w:val="24"/>
              </w:rPr>
            </w:pPr>
            <w:r w:rsidRPr="008D2758">
              <w:rPr>
                <w:szCs w:val="24"/>
              </w:rPr>
              <w:t>El interviniente señaló que la norma cuestionada presenta ciertos riesgos por posibles vulneraciones al derecho al debido proceso. Así, por ejemplo,</w:t>
            </w:r>
            <w:r w:rsidRPr="008D2758">
              <w:rPr>
                <w:szCs w:val="24"/>
              </w:rPr>
              <w:t xml:space="preserve"> el ciudadano destacó que la disposición acusada “no considera la fecha de ocurrencia de los hechos, sino la responsabilidad penal de un tercero”</w:t>
            </w:r>
            <w:r w:rsidRPr="008D2758">
              <w:rPr>
                <w:rStyle w:val="Refdenotaalpie"/>
                <w:szCs w:val="24"/>
              </w:rPr>
              <w:footnoteReference w:id="22"/>
            </w:r>
            <w:r w:rsidRPr="008D2758">
              <w:rPr>
                <w:szCs w:val="24"/>
              </w:rPr>
              <w:t>.</w:t>
            </w:r>
          </w:p>
          <w:p w:rsidR="005A1A8A" w:rsidRPr="008D2758" w:rsidRDefault="008D2758" w:rsidP="005A1A8A">
            <w:pPr>
              <w:pStyle w:val="Prrafodelista"/>
              <w:numPr>
                <w:ilvl w:val="0"/>
                <w:numId w:val="0"/>
              </w:numPr>
              <w:rPr>
                <w:szCs w:val="24"/>
              </w:rPr>
            </w:pPr>
          </w:p>
          <w:p w:rsidR="005A1A8A" w:rsidRPr="008D2758" w:rsidRDefault="008D2758" w:rsidP="005A1A8A">
            <w:pPr>
              <w:pStyle w:val="Prrafodelista"/>
              <w:numPr>
                <w:ilvl w:val="0"/>
                <w:numId w:val="0"/>
              </w:numPr>
              <w:rPr>
                <w:szCs w:val="24"/>
              </w:rPr>
            </w:pPr>
            <w:r w:rsidRPr="008D2758">
              <w:rPr>
                <w:szCs w:val="24"/>
              </w:rPr>
              <w:t>Esta situación, afecta directamente los derechos de la empresa pues, con ello, esta podría resultar condena</w:t>
            </w:r>
            <w:r w:rsidRPr="008D2758">
              <w:rPr>
                <w:szCs w:val="24"/>
              </w:rPr>
              <w:t>da por actos de corrupción a pesar de no haber sido declarada penalmente responsable. Por tanto, el ciudadano concluyó que la norma debe ser declarada inconstitucional.</w:t>
            </w:r>
          </w:p>
          <w:p w:rsidR="00CA22C7" w:rsidRPr="008D2758" w:rsidRDefault="008D2758" w:rsidP="00070311">
            <w:pPr>
              <w:jc w:val="both"/>
              <w:rPr>
                <w:rFonts w:ascii="Times New Roman" w:hAnsi="Times New Roman" w:cs="Times New Roman"/>
                <w:sz w:val="28"/>
              </w:rPr>
            </w:pPr>
          </w:p>
        </w:tc>
      </w:tr>
      <w:tr w:rsidR="00C55AAA" w:rsidRPr="008D2758" w:rsidTr="72AB2DCF">
        <w:tc>
          <w:tcPr>
            <w:tcW w:w="2563" w:type="dxa"/>
          </w:tcPr>
          <w:p w:rsidR="00CA22C7" w:rsidRPr="008D2758" w:rsidRDefault="008D2758" w:rsidP="005A1A8A">
            <w:pPr>
              <w:jc w:val="center"/>
              <w:rPr>
                <w:rFonts w:ascii="Times New Roman" w:hAnsi="Times New Roman" w:cs="Times New Roman"/>
                <w:b/>
                <w:sz w:val="28"/>
              </w:rPr>
            </w:pPr>
            <w:r w:rsidRPr="008D2758">
              <w:rPr>
                <w:rFonts w:ascii="Times New Roman" w:hAnsi="Times New Roman" w:cs="Times New Roman"/>
                <w:b/>
                <w:sz w:val="28"/>
              </w:rPr>
              <w:t>Universidad Sergio Arboleda</w:t>
            </w:r>
            <w:r w:rsidRPr="008D2758">
              <w:rPr>
                <w:rStyle w:val="Refdenotaalpie"/>
                <w:rFonts w:ascii="Times New Roman" w:hAnsi="Times New Roman" w:cs="Times New Roman"/>
                <w:b/>
                <w:sz w:val="28"/>
              </w:rPr>
              <w:footnoteReference w:id="23"/>
            </w:r>
            <w:r w:rsidRPr="008D2758">
              <w:rPr>
                <w:rFonts w:ascii="Times New Roman" w:hAnsi="Times New Roman" w:cs="Times New Roman"/>
                <w:b/>
                <w:sz w:val="28"/>
              </w:rPr>
              <w:t xml:space="preserve"> : </w:t>
            </w:r>
            <w:r w:rsidRPr="008D2758">
              <w:rPr>
                <w:rFonts w:ascii="Times New Roman" w:hAnsi="Times New Roman" w:cs="Times New Roman"/>
                <w:bCs/>
                <w:sz w:val="28"/>
              </w:rPr>
              <w:t>exequibilidad condicionada de la norma.</w:t>
            </w:r>
          </w:p>
        </w:tc>
        <w:tc>
          <w:tcPr>
            <w:tcW w:w="6265" w:type="dxa"/>
          </w:tcPr>
          <w:p w:rsidR="005A1A8A" w:rsidRPr="008D2758" w:rsidRDefault="008D2758" w:rsidP="005A1A8A">
            <w:pPr>
              <w:pStyle w:val="Prrafodelista"/>
              <w:numPr>
                <w:ilvl w:val="0"/>
                <w:numId w:val="0"/>
              </w:numPr>
              <w:rPr>
                <w:szCs w:val="24"/>
              </w:rPr>
            </w:pPr>
            <w:r w:rsidRPr="008D2758">
              <w:rPr>
                <w:szCs w:val="24"/>
              </w:rPr>
              <w:t>La Universidad</w:t>
            </w:r>
            <w:r w:rsidRPr="008D2758">
              <w:rPr>
                <w:szCs w:val="24"/>
              </w:rPr>
              <w:t xml:space="preserve"> Sergio Arboleda sostuvo que, “si bien es cierto que la interpretación de la norma puede ser objeto de debate, resulta evidente que su redacción ambigua podría propiciar la aparición de vacíos legales y potenciales abusos”</w:t>
            </w:r>
            <w:r w:rsidRPr="008D2758">
              <w:rPr>
                <w:rStyle w:val="Refdenotaalpie"/>
                <w:szCs w:val="24"/>
              </w:rPr>
              <w:footnoteReference w:id="24"/>
            </w:r>
            <w:r w:rsidRPr="008D2758">
              <w:rPr>
                <w:szCs w:val="24"/>
              </w:rPr>
              <w:t>.</w:t>
            </w:r>
          </w:p>
          <w:p w:rsidR="005A1A8A" w:rsidRPr="008D2758" w:rsidRDefault="008D2758" w:rsidP="005A1A8A">
            <w:pPr>
              <w:pStyle w:val="Prrafodelista"/>
              <w:numPr>
                <w:ilvl w:val="0"/>
                <w:numId w:val="0"/>
              </w:numPr>
              <w:rPr>
                <w:szCs w:val="24"/>
              </w:rPr>
            </w:pPr>
            <w:r w:rsidRPr="008D2758">
              <w:rPr>
                <w:szCs w:val="24"/>
              </w:rPr>
              <w:t xml:space="preserve"> </w:t>
            </w:r>
          </w:p>
          <w:p w:rsidR="00CA22C7" w:rsidRPr="008D2758" w:rsidRDefault="008D2758" w:rsidP="005A1A8A">
            <w:pPr>
              <w:pStyle w:val="Prrafodelista"/>
              <w:numPr>
                <w:ilvl w:val="0"/>
                <w:numId w:val="0"/>
              </w:numPr>
              <w:rPr>
                <w:szCs w:val="24"/>
              </w:rPr>
            </w:pPr>
            <w:r w:rsidRPr="008D2758">
              <w:rPr>
                <w:szCs w:val="24"/>
              </w:rPr>
              <w:t>En este punto, la intervinien</w:t>
            </w:r>
            <w:r w:rsidRPr="008D2758">
              <w:rPr>
                <w:szCs w:val="24"/>
              </w:rPr>
              <w:t>te explicó que la norma en cuestión no se enmarca en las excepciones desarrolladas por la Corte Constitucional al principio de irretroactividad. En concreto, indicó que “la redacción actual de la Ley 2195 de 2022 no aplica la excepción que justifica la irr</w:t>
            </w:r>
            <w:r w:rsidRPr="008D2758">
              <w:rPr>
                <w:szCs w:val="24"/>
              </w:rPr>
              <w:t>etroactividad al no ofrecer condiciones más favorables para el infractor”</w:t>
            </w:r>
            <w:r w:rsidRPr="008D2758">
              <w:rPr>
                <w:rStyle w:val="Refdenotaalpie"/>
                <w:szCs w:val="24"/>
              </w:rPr>
              <w:footnoteReference w:id="25"/>
            </w:r>
            <w:r w:rsidRPr="008D2758">
              <w:rPr>
                <w:szCs w:val="24"/>
              </w:rPr>
              <w:t>. Por ello, consideró que lo más apropiado en este asunto es declarar la exequibilidad, “siempre y cuando se aclare que la caducidad de la facultad sancionatoria administrativa no au</w:t>
            </w:r>
            <w:r w:rsidRPr="008D2758">
              <w:rPr>
                <w:szCs w:val="24"/>
              </w:rPr>
              <w:t>toriza la investigación de hechos ocurridos antes de la entrada en vigor de dicha ley”</w:t>
            </w:r>
            <w:r w:rsidRPr="008D2758">
              <w:rPr>
                <w:rStyle w:val="Refdenotaalpie"/>
                <w:szCs w:val="24"/>
              </w:rPr>
              <w:t xml:space="preserve"> </w:t>
            </w:r>
            <w:r w:rsidRPr="008D2758">
              <w:rPr>
                <w:rStyle w:val="Refdenotaalpie"/>
                <w:szCs w:val="24"/>
              </w:rPr>
              <w:footnoteReference w:id="26"/>
            </w:r>
            <w:r w:rsidRPr="008D2758">
              <w:rPr>
                <w:szCs w:val="24"/>
              </w:rPr>
              <w:t>.</w:t>
            </w:r>
          </w:p>
          <w:p w:rsidR="00D8621F" w:rsidRPr="008D2758" w:rsidRDefault="008D2758" w:rsidP="005A1A8A">
            <w:pPr>
              <w:pStyle w:val="Prrafodelista"/>
              <w:numPr>
                <w:ilvl w:val="0"/>
                <w:numId w:val="0"/>
              </w:numPr>
              <w:rPr>
                <w:szCs w:val="24"/>
              </w:rPr>
            </w:pPr>
          </w:p>
        </w:tc>
      </w:tr>
      <w:tr w:rsidR="00C55AAA" w:rsidRPr="008D2758" w:rsidTr="72AB2DCF">
        <w:tc>
          <w:tcPr>
            <w:tcW w:w="2563" w:type="dxa"/>
          </w:tcPr>
          <w:p w:rsidR="00CA22C7" w:rsidRPr="008D2758" w:rsidRDefault="008D2758" w:rsidP="00070311">
            <w:pPr>
              <w:pStyle w:val="Sombreadovistoso-nfasis31"/>
              <w:ind w:left="0"/>
              <w:jc w:val="center"/>
              <w:rPr>
                <w:bCs/>
                <w:color w:val="auto"/>
                <w:szCs w:val="24"/>
                <w:lang w:val="es-CO"/>
              </w:rPr>
            </w:pPr>
            <w:r w:rsidRPr="008D2758">
              <w:rPr>
                <w:b/>
                <w:color w:val="auto"/>
                <w:szCs w:val="24"/>
              </w:rPr>
              <w:t>Academia Colombiana de Jurisprudencia</w:t>
            </w:r>
            <w:r w:rsidRPr="008D2758">
              <w:rPr>
                <w:rStyle w:val="Refdenotaalpie"/>
                <w:b/>
                <w:color w:val="auto"/>
                <w:szCs w:val="24"/>
              </w:rPr>
              <w:footnoteReference w:id="27"/>
            </w:r>
            <w:r w:rsidRPr="008D2758">
              <w:rPr>
                <w:b/>
                <w:color w:val="auto"/>
                <w:szCs w:val="24"/>
              </w:rPr>
              <w:t xml:space="preserve">: </w:t>
            </w:r>
            <w:r w:rsidRPr="008D2758">
              <w:rPr>
                <w:bCs/>
                <w:color w:val="auto"/>
                <w:szCs w:val="24"/>
              </w:rPr>
              <w:t xml:space="preserve">inexequibilidad. </w:t>
            </w:r>
          </w:p>
        </w:tc>
        <w:tc>
          <w:tcPr>
            <w:tcW w:w="6265" w:type="dxa"/>
          </w:tcPr>
          <w:p w:rsidR="00CA22C7" w:rsidRPr="008D2758" w:rsidRDefault="008D2758" w:rsidP="00070311">
            <w:pPr>
              <w:jc w:val="both"/>
              <w:rPr>
                <w:rFonts w:ascii="Times New Roman" w:hAnsi="Times New Roman" w:cs="Times New Roman"/>
                <w:sz w:val="28"/>
              </w:rPr>
            </w:pPr>
            <w:r w:rsidRPr="008D2758">
              <w:rPr>
                <w:rFonts w:ascii="Times New Roman" w:hAnsi="Times New Roman" w:cs="Times New Roman"/>
                <w:sz w:val="28"/>
              </w:rPr>
              <w:t xml:space="preserve">La academia interviniente señaló que el legislador, en efecto, permitió la aplicación de la Ley “con </w:t>
            </w:r>
            <w:r w:rsidRPr="008D2758">
              <w:rPr>
                <w:rFonts w:ascii="Times New Roman" w:hAnsi="Times New Roman" w:cs="Times New Roman"/>
                <w:sz w:val="28"/>
              </w:rPr>
              <w:t>carácter retroactivo, de suerte que incluso podría abarcar conductas realizadas con anterioridad a la Ley 1474 de 2011”</w:t>
            </w:r>
            <w:r w:rsidRPr="008D2758">
              <w:rPr>
                <w:rStyle w:val="Refdenotaalpie"/>
                <w:rFonts w:ascii="Times New Roman" w:hAnsi="Times New Roman" w:cs="Times New Roman"/>
                <w:sz w:val="28"/>
              </w:rPr>
              <w:footnoteReference w:id="28"/>
            </w:r>
            <w:r w:rsidRPr="008D2758">
              <w:rPr>
                <w:rFonts w:ascii="Times New Roman" w:hAnsi="Times New Roman" w:cs="Times New Roman"/>
                <w:sz w:val="28"/>
              </w:rPr>
              <w:t>. En esos términos, y en aplicación del artículo 29 de la Constitución, la academia sostuvo que las expresiones acusadas por el ciudadan</w:t>
            </w:r>
            <w:r w:rsidRPr="008D2758">
              <w:rPr>
                <w:rFonts w:ascii="Times New Roman" w:hAnsi="Times New Roman" w:cs="Times New Roman"/>
                <w:sz w:val="28"/>
              </w:rPr>
              <w:t>o demandante son inconstitucionales. En este punto, dicha entidad resaltó que, si bien el fenómeno de la corrupción debe enfrentarse por parte del Estado, “tal combate debe apoyarse en la arena de unos preceptos que les permitan a las autoridades cristaliz</w:t>
            </w:r>
            <w:r w:rsidRPr="008D2758">
              <w:rPr>
                <w:rFonts w:ascii="Times New Roman" w:hAnsi="Times New Roman" w:cs="Times New Roman"/>
                <w:sz w:val="28"/>
              </w:rPr>
              <w:t>ar el imperio de aquella frase, según la cual, el debido proceso es paradigma de la justicia”</w:t>
            </w:r>
            <w:r w:rsidRPr="008D2758">
              <w:rPr>
                <w:rStyle w:val="Refdenotaalpie"/>
                <w:rFonts w:ascii="Times New Roman" w:hAnsi="Times New Roman" w:cs="Times New Roman"/>
                <w:sz w:val="28"/>
              </w:rPr>
              <w:t xml:space="preserve"> </w:t>
            </w:r>
            <w:r w:rsidRPr="008D2758">
              <w:rPr>
                <w:rStyle w:val="Refdenotaalpie"/>
                <w:rFonts w:ascii="Times New Roman" w:hAnsi="Times New Roman" w:cs="Times New Roman"/>
                <w:sz w:val="28"/>
              </w:rPr>
              <w:footnoteReference w:id="29"/>
            </w:r>
            <w:r w:rsidRPr="008D2758">
              <w:rPr>
                <w:rFonts w:ascii="Times New Roman" w:hAnsi="Times New Roman" w:cs="Times New Roman"/>
                <w:sz w:val="28"/>
              </w:rPr>
              <w:t>.</w:t>
            </w:r>
          </w:p>
        </w:tc>
      </w:tr>
    </w:tbl>
    <w:p w:rsidR="00B6232C" w:rsidRPr="008D2758" w:rsidRDefault="008D2758" w:rsidP="00070311">
      <w:pPr>
        <w:pStyle w:val="Prrafodelista"/>
        <w:numPr>
          <w:ilvl w:val="0"/>
          <w:numId w:val="0"/>
        </w:numPr>
      </w:pPr>
    </w:p>
    <w:p w:rsidR="00B6232C" w:rsidRPr="008D2758" w:rsidRDefault="008D2758" w:rsidP="00024F64">
      <w:pPr>
        <w:pStyle w:val="Ttulo2"/>
        <w:numPr>
          <w:ilvl w:val="0"/>
          <w:numId w:val="3"/>
        </w:numPr>
        <w:rPr>
          <w:rFonts w:ascii="Times New Roman" w:hAnsi="Times New Roman" w:cs="Times New Roman"/>
          <w:b/>
          <w:color w:val="auto"/>
          <w:sz w:val="28"/>
        </w:rPr>
      </w:pPr>
      <w:r w:rsidRPr="008D2758">
        <w:rPr>
          <w:rFonts w:ascii="Times New Roman" w:hAnsi="Times New Roman" w:cs="Times New Roman"/>
          <w:b/>
          <w:color w:val="auto"/>
          <w:sz w:val="28"/>
          <w:szCs w:val="28"/>
        </w:rPr>
        <w:t xml:space="preserve">Concepto de la </w:t>
      </w:r>
      <w:r w:rsidRPr="008D2758">
        <w:rPr>
          <w:rFonts w:ascii="Times New Roman" w:hAnsi="Times New Roman" w:cs="Times New Roman"/>
          <w:b/>
          <w:color w:val="auto"/>
          <w:sz w:val="28"/>
          <w:szCs w:val="28"/>
        </w:rPr>
        <w:t>P</w:t>
      </w:r>
      <w:r w:rsidRPr="008D2758">
        <w:rPr>
          <w:rFonts w:ascii="Times New Roman" w:hAnsi="Times New Roman" w:cs="Times New Roman"/>
          <w:b/>
          <w:color w:val="auto"/>
          <w:sz w:val="28"/>
          <w:szCs w:val="28"/>
        </w:rPr>
        <w:t>rocuraduría G</w:t>
      </w:r>
      <w:r w:rsidRPr="008D2758">
        <w:rPr>
          <w:rFonts w:ascii="Times New Roman" w:hAnsi="Times New Roman" w:cs="Times New Roman"/>
          <w:b/>
          <w:color w:val="auto"/>
          <w:sz w:val="28"/>
          <w:szCs w:val="28"/>
        </w:rPr>
        <w:t xml:space="preserve">eneral de la </w:t>
      </w:r>
      <w:r w:rsidRPr="008D2758">
        <w:rPr>
          <w:rFonts w:ascii="Times New Roman" w:hAnsi="Times New Roman" w:cs="Times New Roman"/>
          <w:b/>
          <w:color w:val="auto"/>
          <w:sz w:val="28"/>
          <w:szCs w:val="28"/>
        </w:rPr>
        <w:t>Nación</w:t>
      </w:r>
      <w:r w:rsidRPr="008D2758">
        <w:rPr>
          <w:rStyle w:val="Refdenotaalpie"/>
          <w:rFonts w:ascii="Times New Roman" w:hAnsi="Times New Roman" w:cs="Times New Roman"/>
          <w:b/>
          <w:color w:val="auto"/>
          <w:sz w:val="28"/>
          <w:szCs w:val="28"/>
        </w:rPr>
        <w:footnoteReference w:id="30"/>
      </w:r>
    </w:p>
    <w:p w:rsidR="00E14A1D" w:rsidRPr="008D2758" w:rsidRDefault="008D2758" w:rsidP="00070311">
      <w:pPr>
        <w:pStyle w:val="Prrafodelista"/>
        <w:numPr>
          <w:ilvl w:val="0"/>
          <w:numId w:val="0"/>
        </w:numPr>
      </w:pPr>
    </w:p>
    <w:p w:rsidR="00B6232C" w:rsidRPr="008D2758" w:rsidRDefault="008D2758" w:rsidP="00070311">
      <w:pPr>
        <w:pStyle w:val="Prrafodelista"/>
      </w:pPr>
      <w:r w:rsidRPr="008D2758">
        <w:t>La Procuraduría</w:t>
      </w:r>
      <w:r w:rsidRPr="008D2758">
        <w:t xml:space="preserve"> solicitó declarar la inexequibilidad</w:t>
      </w:r>
      <w:r w:rsidRPr="008D2758">
        <w:t xml:space="preserve"> de las expresiones demandadas. La referida entidad comenzó por señalar que, de conformidad con el artículo 29 de la Constitución Política de Colombia, “nadie podrá ser juzgado sino conforme a leyes preexistentes al acto que se le imputa”, salvo que estas </w:t>
      </w:r>
      <w:r w:rsidRPr="008D2758">
        <w:t>sean más permisivas o favorables. Así, el principio de irretroactividad de la ley sancionatoria, exige que la “norma punitiva, sea penal o administrativa, exista y resulte conocida, o pueda serlo, antes de que ocurra la acción o la omisión que la contravie</w:t>
      </w:r>
      <w:r w:rsidRPr="008D2758">
        <w:t>nen y que se pretende sancionar”</w:t>
      </w:r>
      <w:r w:rsidRPr="008D2758">
        <w:rPr>
          <w:rStyle w:val="Refdenotaalpie"/>
        </w:rPr>
        <w:footnoteReference w:id="31"/>
      </w:r>
      <w:r w:rsidRPr="008D2758">
        <w:t xml:space="preserve">. </w:t>
      </w:r>
    </w:p>
    <w:p w:rsidR="00B6232C" w:rsidRPr="008D2758" w:rsidRDefault="008D2758" w:rsidP="00070311">
      <w:pPr>
        <w:pStyle w:val="Prrafodelista"/>
        <w:numPr>
          <w:ilvl w:val="0"/>
          <w:numId w:val="0"/>
        </w:numPr>
      </w:pPr>
    </w:p>
    <w:p w:rsidR="00B6232C" w:rsidRPr="008D2758" w:rsidRDefault="008D2758" w:rsidP="00070311">
      <w:pPr>
        <w:pStyle w:val="Prrafodelista"/>
      </w:pPr>
      <w:r w:rsidRPr="008D2758">
        <w:t xml:space="preserve">En esos términos, la </w:t>
      </w:r>
      <w:r w:rsidRPr="008D2758">
        <w:t>Procuraduría</w:t>
      </w:r>
      <w:r w:rsidRPr="008D2758">
        <w:t xml:space="preserve"> General de la Nación</w:t>
      </w:r>
      <w:r w:rsidRPr="008D2758">
        <w:t xml:space="preserve"> </w:t>
      </w:r>
      <w:r w:rsidRPr="008D2758">
        <w:t xml:space="preserve">sostuvo que el legislador desconoce este principio </w:t>
      </w:r>
      <w:r w:rsidRPr="008D2758">
        <w:t>siempre</w:t>
      </w:r>
      <w:r w:rsidRPr="008D2758">
        <w:t xml:space="preserve"> que </w:t>
      </w:r>
      <w:r w:rsidRPr="008D2758">
        <w:t xml:space="preserve">ocurra </w:t>
      </w:r>
      <w:r w:rsidRPr="008D2758">
        <w:t xml:space="preserve">alguna de las siguientes situaciones: (i) cuando </w:t>
      </w:r>
      <w:r w:rsidRPr="008D2758">
        <w:t xml:space="preserve">se </w:t>
      </w:r>
      <w:r w:rsidRPr="008D2758">
        <w:t xml:space="preserve">“adopta una norma que proscribe de manera </w:t>
      </w:r>
      <w:r w:rsidRPr="008D2758">
        <w:t>novedosa la comisión de determinadas conductas”</w:t>
      </w:r>
      <w:r w:rsidRPr="008D2758">
        <w:rPr>
          <w:rStyle w:val="Refdenotaalpie"/>
        </w:rPr>
        <w:t xml:space="preserve"> </w:t>
      </w:r>
      <w:r w:rsidRPr="008D2758">
        <w:rPr>
          <w:rStyle w:val="Refdenotaalpie"/>
        </w:rPr>
        <w:footnoteReference w:id="32"/>
      </w:r>
      <w:r w:rsidRPr="008D2758">
        <w:t xml:space="preserve"> y, (ii) cuando “extiende la aplicación de aquella a situaciones ocurridas con anterioridad a su expedición</w:t>
      </w:r>
      <w:r w:rsidRPr="008D2758">
        <w:t>”</w:t>
      </w:r>
      <w:r w:rsidRPr="008D2758">
        <w:rPr>
          <w:rStyle w:val="Refdenotaalpie"/>
        </w:rPr>
        <w:footnoteReference w:id="33"/>
      </w:r>
      <w:r w:rsidRPr="008D2758">
        <w:t>. Según la referida entidad, el artículo 29 de la Constitución Política prohíbe la imposición de s</w:t>
      </w:r>
      <w:r w:rsidRPr="008D2758">
        <w:t>anciones establecidas por el legislador después de ocurridos los hechos materia del reproche.</w:t>
      </w:r>
    </w:p>
    <w:p w:rsidR="00B6232C" w:rsidRPr="008D2758" w:rsidRDefault="008D2758" w:rsidP="00070311">
      <w:pPr>
        <w:pStyle w:val="Prrafodelista"/>
        <w:numPr>
          <w:ilvl w:val="0"/>
          <w:numId w:val="0"/>
        </w:numPr>
      </w:pPr>
    </w:p>
    <w:p w:rsidR="00B6232C" w:rsidRPr="008D2758" w:rsidRDefault="008D2758" w:rsidP="00070311">
      <w:pPr>
        <w:pStyle w:val="Prrafodelista"/>
      </w:pPr>
      <w:r w:rsidRPr="008D2758">
        <w:t xml:space="preserve">A partir de estas premisas, la </w:t>
      </w:r>
      <w:r w:rsidRPr="008D2758">
        <w:t xml:space="preserve">Procuraduría </w:t>
      </w:r>
      <w:r w:rsidRPr="008D2758">
        <w:t xml:space="preserve">General de la Nación </w:t>
      </w:r>
      <w:r w:rsidRPr="008D2758">
        <w:t>puntualizó que, en el caso concreto, los artículos 2 a 9 de la Ley 2195 de 2022 ampliaron las co</w:t>
      </w:r>
      <w:r w:rsidRPr="008D2758">
        <w:t xml:space="preserve">nductas que son sancionables por actos asociados con el fenómeno de corrupción. Así mismo, la referida norma también aumentó las sanciones por la comisión de las conductas contempladas en las </w:t>
      </w:r>
      <w:r w:rsidRPr="008D2758">
        <w:t xml:space="preserve">Leyes </w:t>
      </w:r>
      <w:r w:rsidRPr="008D2758">
        <w:t>1474 de 2011 y 1778 de 2016. En efecto, se estableció que</w:t>
      </w:r>
      <w:r w:rsidRPr="008D2758">
        <w:t xml:space="preserve"> </w:t>
      </w:r>
      <w:r w:rsidRPr="008D2758">
        <w:t>la responsabilidad administrativa de las compañías se configura no solo cuando sus</w:t>
      </w:r>
      <w:r w:rsidRPr="008D2758">
        <w:t xml:space="preserve"> representantes y empleados </w:t>
      </w:r>
      <w:r w:rsidRPr="008D2758">
        <w:t>sean</w:t>
      </w:r>
      <w:r w:rsidRPr="008D2758">
        <w:t xml:space="preserve"> condenados por delitos contra la administración pública</w:t>
      </w:r>
      <w:r w:rsidRPr="008D2758">
        <w:t>,</w:t>
      </w:r>
      <w:r w:rsidRPr="008D2758">
        <w:t xml:space="preserve"> sino </w:t>
      </w:r>
      <w:r w:rsidRPr="008D2758">
        <w:t xml:space="preserve">también </w:t>
      </w:r>
      <w:r w:rsidRPr="008D2758">
        <w:t xml:space="preserve">cuando sean beneficiarios del principio de oportunidad. </w:t>
      </w:r>
    </w:p>
    <w:p w:rsidR="00B6232C" w:rsidRPr="008D2758" w:rsidRDefault="008D2758" w:rsidP="00070311">
      <w:pPr>
        <w:pStyle w:val="Prrafodelista"/>
        <w:numPr>
          <w:ilvl w:val="0"/>
          <w:numId w:val="0"/>
        </w:numPr>
      </w:pPr>
    </w:p>
    <w:p w:rsidR="00B6232C" w:rsidRPr="008D2758" w:rsidRDefault="008D2758" w:rsidP="00070311">
      <w:pPr>
        <w:pStyle w:val="Prrafodelista"/>
      </w:pPr>
      <w:r w:rsidRPr="008D2758">
        <w:t xml:space="preserve">En ese orden </w:t>
      </w:r>
      <w:r w:rsidRPr="008D2758">
        <w:t xml:space="preserve">de ideas, </w:t>
      </w:r>
      <w:r w:rsidRPr="008D2758">
        <w:t>la Procuradora</w:t>
      </w:r>
      <w:r w:rsidRPr="008D2758">
        <w:t xml:space="preserve"> concluyó que el término de caducidad previsto en el artículo 8 de la Ley 2195 de 2022, “extendió la implementación de dichas modificaciones a situaciones ocurridas con anterioridad a su expedición”</w:t>
      </w:r>
      <w:r w:rsidRPr="008D2758">
        <w:rPr>
          <w:rStyle w:val="Refdenotaalpie"/>
        </w:rPr>
        <w:footnoteReference w:id="34"/>
      </w:r>
      <w:r w:rsidRPr="008D2758">
        <w:t xml:space="preserve">. En este punto, la </w:t>
      </w:r>
      <w:r w:rsidRPr="008D2758">
        <w:t xml:space="preserve">Procuraduría </w:t>
      </w:r>
      <w:r w:rsidRPr="008D2758">
        <w:t>indicó que si bien la norma estableció que dichas sanciones operarían respecto de conductas que tengan su origen en sentencias condenatorias expedidas con posterioridad a la entrada en vigencia de la ley demandada, en todo caso, la misma disposición dispus</w:t>
      </w:r>
      <w:r w:rsidRPr="008D2758">
        <w:t>o que “se aplicarán independientemente de la fecha de la comisión de la conducta punible por parte de las personas naturales”</w:t>
      </w:r>
      <w:r w:rsidRPr="008D2758">
        <w:rPr>
          <w:rStyle w:val="Refdenotaalpie"/>
        </w:rPr>
        <w:footnoteReference w:id="35"/>
      </w:r>
      <w:r w:rsidRPr="008D2758">
        <w:t xml:space="preserve">. </w:t>
      </w:r>
    </w:p>
    <w:p w:rsidR="00B6232C" w:rsidRPr="008D2758" w:rsidRDefault="008D2758" w:rsidP="00070311">
      <w:pPr>
        <w:pStyle w:val="Prrafodelista"/>
        <w:numPr>
          <w:ilvl w:val="0"/>
          <w:numId w:val="0"/>
        </w:numPr>
      </w:pPr>
    </w:p>
    <w:p w:rsidR="00B6232C" w:rsidRPr="008D2758" w:rsidRDefault="008D2758" w:rsidP="00070311">
      <w:pPr>
        <w:pStyle w:val="Prrafodelista"/>
      </w:pPr>
      <w:r w:rsidRPr="008D2758">
        <w:t xml:space="preserve">Por lo tanto, la </w:t>
      </w:r>
      <w:r w:rsidRPr="008D2758">
        <w:t>Procuraduría</w:t>
      </w:r>
      <w:r w:rsidRPr="008D2758">
        <w:t xml:space="preserve"> General de la Nación</w:t>
      </w:r>
      <w:r w:rsidRPr="008D2758">
        <w:t xml:space="preserve"> </w:t>
      </w:r>
      <w:r w:rsidRPr="008D2758">
        <w:t xml:space="preserve">sostuvo que comparte la posición del ciudadano demandante pues la norma en </w:t>
      </w:r>
      <w:r w:rsidRPr="008D2758">
        <w:t>cuestión “permite ejercer la facultad sancionatoria contra la persona jurídica a la cual se encontraba vinculado el administrador para el momento de la comisión de la conducta”</w:t>
      </w:r>
      <w:r w:rsidRPr="008D2758">
        <w:rPr>
          <w:rStyle w:val="Refdenotaalpie"/>
        </w:rPr>
        <w:t xml:space="preserve"> </w:t>
      </w:r>
      <w:r w:rsidRPr="008D2758">
        <w:rPr>
          <w:rStyle w:val="Refdenotaalpie"/>
        </w:rPr>
        <w:footnoteReference w:id="36"/>
      </w:r>
      <w:r w:rsidRPr="008D2758">
        <w:t xml:space="preserve">, </w:t>
      </w:r>
      <w:r w:rsidRPr="008D2758">
        <w:t xml:space="preserve">a pesar de que, “para la fecha de su comisión podría no encontrarse vigente </w:t>
      </w:r>
      <w:r w:rsidRPr="008D2758">
        <w:t>el régimen sancionatorio que se le pretende aplicar”</w:t>
      </w:r>
      <w:r w:rsidRPr="008D2758">
        <w:rPr>
          <w:rStyle w:val="Refdenotaalpie"/>
        </w:rPr>
        <w:t xml:space="preserve"> </w:t>
      </w:r>
      <w:r w:rsidRPr="008D2758">
        <w:rPr>
          <w:rStyle w:val="Refdenotaalpie"/>
        </w:rPr>
        <w:footnoteReference w:id="37"/>
      </w:r>
      <w:r w:rsidRPr="008D2758">
        <w:t>. En efecto, para esa entidad, una cosa es la fecha de la sentencia que permite dar inicio a la investigación administrativa, y otra, la fecha de los hechos objeto del juzgamiento.</w:t>
      </w:r>
    </w:p>
    <w:p w:rsidR="00B6232C" w:rsidRPr="008D2758" w:rsidRDefault="008D2758" w:rsidP="00070311">
      <w:pPr>
        <w:pStyle w:val="Prrafodelista"/>
        <w:numPr>
          <w:ilvl w:val="0"/>
          <w:numId w:val="0"/>
        </w:numPr>
      </w:pPr>
    </w:p>
    <w:p w:rsidR="00D807E8" w:rsidRPr="008D2758" w:rsidRDefault="008D2758" w:rsidP="00D807E8">
      <w:pPr>
        <w:pStyle w:val="Prrafodelista"/>
      </w:pPr>
      <w:r w:rsidRPr="008D2758">
        <w:t xml:space="preserve">En ese contexto, la </w:t>
      </w:r>
      <w:r w:rsidRPr="008D2758">
        <w:t>Procuraduría General de la Nación solicitó a la Corte declarar la inexequibilidad</w:t>
      </w:r>
      <w:r w:rsidRPr="008D2758">
        <w:t xml:space="preserve"> de la expresión demandada</w:t>
      </w:r>
      <w:r w:rsidRPr="008D2758">
        <w:t xml:space="preserve">. </w:t>
      </w:r>
      <w:r w:rsidRPr="008D2758">
        <w:t>L</w:t>
      </w:r>
      <w:r w:rsidRPr="008D2758">
        <w:t>a referida entidad puntualizó que, si bien no desconoce las finalidades loables de la norma en cuestión, en todo caso considera que la fórmula uti</w:t>
      </w:r>
      <w:r w:rsidRPr="008D2758">
        <w:t>lizada por el legislador no es la más adecuada. Debido a su carácter retroactivo, la disposición acusada “no actúa como un estímulo para motivar el comportamiento futuro, sino que sanciona situaciones que, en su momento, no estuvieron previstas como objeto</w:t>
      </w:r>
      <w:r w:rsidRPr="008D2758">
        <w:t xml:space="preserve"> de sanción (…)”</w:t>
      </w:r>
      <w:r w:rsidRPr="008D2758">
        <w:rPr>
          <w:rStyle w:val="Refdenotaalpie"/>
        </w:rPr>
        <w:footnoteReference w:id="38"/>
      </w:r>
      <w:r w:rsidRPr="008D2758">
        <w:t xml:space="preserve">. </w:t>
      </w:r>
    </w:p>
    <w:p w:rsidR="00D807E8" w:rsidRPr="008D2758" w:rsidRDefault="008D2758" w:rsidP="00893A6A">
      <w:pPr>
        <w:pStyle w:val="Prrafodelista"/>
        <w:numPr>
          <w:ilvl w:val="0"/>
          <w:numId w:val="0"/>
        </w:numPr>
      </w:pPr>
    </w:p>
    <w:p w:rsidR="00D807E8" w:rsidRPr="008D2758" w:rsidRDefault="008D2758" w:rsidP="00024F64">
      <w:pPr>
        <w:pStyle w:val="Ttulo1"/>
        <w:numPr>
          <w:ilvl w:val="0"/>
          <w:numId w:val="2"/>
        </w:numPr>
        <w:spacing w:before="0"/>
        <w:rPr>
          <w:rFonts w:ascii="Times New Roman" w:hAnsi="Times New Roman" w:cs="Times New Roman"/>
          <w:b/>
          <w:bCs/>
          <w:color w:val="auto"/>
          <w:sz w:val="28"/>
          <w:szCs w:val="28"/>
        </w:rPr>
      </w:pPr>
      <w:r w:rsidRPr="008D2758">
        <w:rPr>
          <w:rFonts w:ascii="Times New Roman" w:hAnsi="Times New Roman" w:cs="Times New Roman"/>
          <w:b/>
          <w:bCs/>
          <w:color w:val="auto"/>
          <w:sz w:val="28"/>
          <w:szCs w:val="28"/>
        </w:rPr>
        <w:t>Consideraciones de la Corte Constitucional</w:t>
      </w:r>
    </w:p>
    <w:p w:rsidR="00E4280B" w:rsidRPr="008D2758" w:rsidRDefault="008D2758" w:rsidP="00E4280B">
      <w:pPr>
        <w:rPr>
          <w:rFonts w:ascii="Times New Roman" w:hAnsi="Times New Roman" w:cs="Times New Roman"/>
          <w:sz w:val="28"/>
        </w:rPr>
      </w:pPr>
    </w:p>
    <w:p w:rsidR="00254F9F" w:rsidRPr="008D2758" w:rsidRDefault="008D2758" w:rsidP="00254F9F">
      <w:pPr>
        <w:pStyle w:val="Prrafodelista"/>
      </w:pPr>
      <w:r w:rsidRPr="008D2758">
        <w:t xml:space="preserve">De acuerdo con el artículo 241.4, este Tribunal es competente para resolver sobre la demanda de inconstitucionalidad </w:t>
      </w:r>
      <w:r w:rsidRPr="008D2758">
        <w:t xml:space="preserve">formulada </w:t>
      </w:r>
      <w:r w:rsidRPr="008D2758">
        <w:t>en contra del artículo 8 (parcial) de la L</w:t>
      </w:r>
      <w:r w:rsidRPr="008D2758">
        <w:t>ey 2195 de 2022. Antes</w:t>
      </w:r>
      <w:r w:rsidRPr="008D2758">
        <w:t xml:space="preserve"> de entrar a examinar </w:t>
      </w:r>
      <w:r w:rsidRPr="008D2758">
        <w:t>el fondo del asunto</w:t>
      </w:r>
      <w:r w:rsidRPr="008D2758">
        <w:t xml:space="preserve">, es necesario verificar si en el presente caso se configura cosa juzgada constitucional que inhiba a la Corte de pronunciarse de fondo, ya que, como lo puso de presente la </w:t>
      </w:r>
      <w:r w:rsidRPr="008D2758">
        <w:t>Procuraduría General</w:t>
      </w:r>
      <w:r w:rsidRPr="008D2758">
        <w:t xml:space="preserve"> de la Nación, dentro </w:t>
      </w:r>
      <w:r w:rsidRPr="008D2758">
        <w:t xml:space="preserve">del expediente D-15677, esta Corte conoció de otra demanda de inconstitucionalidad </w:t>
      </w:r>
      <w:r w:rsidRPr="008D2758">
        <w:t xml:space="preserve">formulada en </w:t>
      </w:r>
      <w:r w:rsidRPr="008D2758">
        <w:t>contra</w:t>
      </w:r>
      <w:r w:rsidRPr="008D2758">
        <w:t xml:space="preserve"> de</w:t>
      </w:r>
      <w:r w:rsidRPr="008D2758">
        <w:t xml:space="preserve"> la misma expresión que ahora se cuestiona</w:t>
      </w:r>
      <w:r w:rsidRPr="008D2758">
        <w:t>.</w:t>
      </w:r>
    </w:p>
    <w:p w:rsidR="00254F9F" w:rsidRPr="008D2758" w:rsidRDefault="008D2758" w:rsidP="000D0A8E">
      <w:pPr>
        <w:pStyle w:val="Prrafodelista"/>
        <w:numPr>
          <w:ilvl w:val="0"/>
          <w:numId w:val="0"/>
        </w:numPr>
      </w:pPr>
    </w:p>
    <w:p w:rsidR="00E4280B" w:rsidRPr="008D2758" w:rsidRDefault="008D2758" w:rsidP="00254F9F">
      <w:pPr>
        <w:pStyle w:val="Prrafodelista"/>
      </w:pPr>
      <w:r w:rsidRPr="008D2758">
        <w:t xml:space="preserve">Para ello, </w:t>
      </w:r>
      <w:r w:rsidRPr="008D2758">
        <w:t>primero,</w:t>
      </w:r>
      <w:r w:rsidRPr="008D2758">
        <w:t xml:space="preserve"> este Tribunal</w:t>
      </w:r>
      <w:r w:rsidRPr="008D2758">
        <w:t xml:space="preserve"> reiterará brevemente su jurisprudencia sobre este fenómeno y</w:t>
      </w:r>
      <w:r w:rsidRPr="008D2758">
        <w:t>, segundo,</w:t>
      </w:r>
      <w:r w:rsidRPr="008D2758">
        <w:t xml:space="preserve"> a</w:t>
      </w:r>
      <w:r w:rsidRPr="008D2758">
        <w:t>nalizará si en el presente asunto se configur</w:t>
      </w:r>
      <w:r w:rsidRPr="008D2758">
        <w:t>ó cosa juzgada formal y absoluta</w:t>
      </w:r>
      <w:r w:rsidRPr="008D2758">
        <w:t xml:space="preserve">. </w:t>
      </w:r>
    </w:p>
    <w:p w:rsidR="00390F93" w:rsidRPr="008D2758" w:rsidRDefault="008D2758" w:rsidP="00E4280B">
      <w:pPr>
        <w:pStyle w:val="Ttulo2"/>
        <w:spacing w:before="0"/>
        <w:rPr>
          <w:rFonts w:ascii="Times New Roman" w:hAnsi="Times New Roman" w:cs="Times New Roman"/>
          <w:b/>
          <w:bCs/>
          <w:color w:val="auto"/>
          <w:sz w:val="28"/>
        </w:rPr>
      </w:pPr>
    </w:p>
    <w:p w:rsidR="00390F93" w:rsidRPr="008D2758" w:rsidRDefault="008D2758" w:rsidP="00024F64">
      <w:pPr>
        <w:pStyle w:val="Ttulo2"/>
        <w:numPr>
          <w:ilvl w:val="0"/>
          <w:numId w:val="4"/>
        </w:numPr>
        <w:spacing w:before="0"/>
        <w:rPr>
          <w:rFonts w:ascii="Times New Roman" w:hAnsi="Times New Roman" w:cs="Times New Roman"/>
          <w:b/>
          <w:color w:val="auto"/>
          <w:sz w:val="28"/>
        </w:rPr>
      </w:pPr>
      <w:r w:rsidRPr="008D2758">
        <w:rPr>
          <w:rFonts w:ascii="Times New Roman" w:hAnsi="Times New Roman" w:cs="Times New Roman"/>
          <w:b/>
          <w:bCs/>
          <w:color w:val="auto"/>
          <w:sz w:val="28"/>
          <w:szCs w:val="28"/>
        </w:rPr>
        <w:t>C</w:t>
      </w:r>
      <w:r w:rsidRPr="008D2758">
        <w:rPr>
          <w:rFonts w:ascii="Times New Roman" w:hAnsi="Times New Roman" w:cs="Times New Roman"/>
          <w:b/>
          <w:bCs/>
          <w:color w:val="auto"/>
          <w:sz w:val="28"/>
          <w:szCs w:val="28"/>
        </w:rPr>
        <w:t>uestión previa –</w:t>
      </w:r>
      <w:r w:rsidRPr="008D2758">
        <w:rPr>
          <w:rFonts w:ascii="Times New Roman" w:hAnsi="Times New Roman" w:cs="Times New Roman"/>
          <w:b/>
          <w:bCs/>
          <w:color w:val="auto"/>
          <w:sz w:val="28"/>
          <w:szCs w:val="28"/>
        </w:rPr>
        <w:t xml:space="preserve"> sobre la </w:t>
      </w:r>
      <w:r w:rsidRPr="008D2758">
        <w:rPr>
          <w:rFonts w:ascii="Times New Roman" w:hAnsi="Times New Roman" w:cs="Times New Roman"/>
          <w:b/>
          <w:bCs/>
          <w:color w:val="auto"/>
          <w:sz w:val="28"/>
          <w:szCs w:val="28"/>
        </w:rPr>
        <w:t>cosa juzgada constitucional</w:t>
      </w:r>
      <w:r w:rsidRPr="008D2758">
        <w:rPr>
          <w:rStyle w:val="Refdenotaalpie"/>
          <w:rFonts w:ascii="Times New Roman" w:hAnsi="Times New Roman" w:cs="Times New Roman"/>
          <w:b/>
          <w:bCs/>
          <w:color w:val="auto"/>
          <w:sz w:val="28"/>
          <w:szCs w:val="28"/>
        </w:rPr>
        <w:footnoteReference w:id="39"/>
      </w:r>
    </w:p>
    <w:p w:rsidR="00F0079A" w:rsidRPr="008D2758" w:rsidRDefault="008D2758" w:rsidP="00F0079A">
      <w:pPr>
        <w:pStyle w:val="Prrafodelista"/>
        <w:numPr>
          <w:ilvl w:val="0"/>
          <w:numId w:val="0"/>
        </w:numPr>
      </w:pPr>
    </w:p>
    <w:p w:rsidR="008E747C" w:rsidRPr="008D2758" w:rsidRDefault="008D2758" w:rsidP="00254F9F">
      <w:pPr>
        <w:pStyle w:val="Prrafodelista"/>
      </w:pPr>
      <w:r w:rsidRPr="008D2758">
        <w:t>C</w:t>
      </w:r>
      <w:r w:rsidRPr="008D2758">
        <w:t xml:space="preserve">omo es sabido, la Constitución Política establece que “los fallos que la Corte dicte en ejercicio del control jurisdiccional hacen tránsito a cosa juzgada constitucional” (CP art 243). </w:t>
      </w:r>
      <w:r w:rsidRPr="008D2758">
        <w:t>En consecuencia, “[n]inguna autoridad podrá reproducir el contenido mat</w:t>
      </w:r>
      <w:r w:rsidRPr="008D2758">
        <w:t>erial del acto jurídico declarado inexequible por razones de fondo, mientras subsistan en la Carta las disposiciones que sirvieron para hacer la confrontación entre la norma ordinaria y la Constitución”. Por su parte, los artículos 48 de la Ley Estatutaria</w:t>
      </w:r>
      <w:r w:rsidRPr="008D2758">
        <w:t xml:space="preserve"> 270 de 1996 y 21 del Decreto Ley 2067 de 1991 señalan que todas las sentencias que profiera la Corte en ejercicio de sus competencias de control abstracto “son definitivas, de obligatorio cumplimiento y tienen efectos [generales]”. Por esas razones, en pr</w:t>
      </w:r>
      <w:r w:rsidRPr="008D2758">
        <w:t>incipio, la Sala Plena no puede pronunciarse sobre un asunto debatido y fallado con anterioridad.</w:t>
      </w:r>
    </w:p>
    <w:p w:rsidR="00254F9F" w:rsidRPr="008D2758" w:rsidRDefault="008D2758" w:rsidP="00254F9F">
      <w:pPr>
        <w:pStyle w:val="Prrafodelista"/>
        <w:numPr>
          <w:ilvl w:val="0"/>
          <w:numId w:val="0"/>
        </w:numPr>
      </w:pPr>
      <w:r w:rsidRPr="008D2758">
        <w:t xml:space="preserve"> </w:t>
      </w:r>
    </w:p>
    <w:p w:rsidR="00217868" w:rsidRPr="008D2758" w:rsidRDefault="008D2758" w:rsidP="00B62E58">
      <w:pPr>
        <w:pStyle w:val="Prrafodelista"/>
        <w:widowControl/>
        <w:autoSpaceDE/>
        <w:autoSpaceDN/>
        <w:rPr>
          <w:lang w:val="es-ES"/>
        </w:rPr>
      </w:pPr>
      <w:r w:rsidRPr="008D2758">
        <w:rPr>
          <w:lang w:val="es-ES"/>
        </w:rPr>
        <w:t>La jurisprudencia constitucional ha desarrollado tipologías de la cosa juzgada con el fin de identificar su configuración en casos concretos, así como su al</w:t>
      </w:r>
      <w:r w:rsidRPr="008D2758">
        <w:rPr>
          <w:lang w:val="es-ES"/>
        </w:rPr>
        <w:t>cance</w:t>
      </w:r>
      <w:r w:rsidRPr="008D2758">
        <w:rPr>
          <w:lang w:val="es-ES"/>
        </w:rPr>
        <w:t>.</w:t>
      </w:r>
      <w:r w:rsidRPr="008D2758">
        <w:rPr>
          <w:lang w:val="es-ES"/>
        </w:rPr>
        <w:t xml:space="preserve"> </w:t>
      </w:r>
      <w:r w:rsidRPr="008D2758">
        <w:rPr>
          <w:lang w:val="es-ES"/>
        </w:rPr>
        <w:t>En la sentencia C-328 de 2024, la Corte sintetizó</w:t>
      </w:r>
      <w:r w:rsidRPr="008D2758">
        <w:rPr>
          <w:lang w:val="es-ES"/>
        </w:rPr>
        <w:t xml:space="preserve"> las clases de cosa juzgada constitucional, los supuestos en los que se configuran, y sus consecuencias</w:t>
      </w:r>
      <w:r w:rsidRPr="008D2758">
        <w:rPr>
          <w:lang w:val="es-ES"/>
        </w:rPr>
        <w:t>, así</w:t>
      </w:r>
      <w:r w:rsidRPr="008D2758">
        <w:rPr>
          <w:lang w:val="es-ES"/>
        </w:rPr>
        <w:t>:</w:t>
      </w:r>
    </w:p>
    <w:p w:rsidR="00217868" w:rsidRPr="008D2758" w:rsidRDefault="008D2758" w:rsidP="00B62E58">
      <w:pPr>
        <w:pStyle w:val="Prrafodelista"/>
        <w:numPr>
          <w:ilvl w:val="0"/>
          <w:numId w:val="0"/>
        </w:numPr>
        <w:rPr>
          <w:b/>
          <w:bCs/>
          <w:lang w:val="es-ES"/>
        </w:rPr>
      </w:pPr>
    </w:p>
    <w:p w:rsidR="00217868" w:rsidRPr="008D2758" w:rsidRDefault="008D2758" w:rsidP="00217868">
      <w:pPr>
        <w:jc w:val="center"/>
        <w:rPr>
          <w:rFonts w:ascii="Times New Roman" w:hAnsi="Times New Roman" w:cs="Times New Roman"/>
          <w:b/>
          <w:bCs/>
          <w:sz w:val="28"/>
          <w:lang w:val="es-ES"/>
        </w:rPr>
      </w:pPr>
      <w:r w:rsidRPr="008D2758">
        <w:rPr>
          <w:rFonts w:ascii="Times New Roman" w:hAnsi="Times New Roman" w:cs="Times New Roman"/>
          <w:b/>
          <w:bCs/>
          <w:sz w:val="28"/>
          <w:lang w:val="es-ES"/>
        </w:rPr>
        <w:t>Tipologías de la cosa juzgada constitucional</w:t>
      </w:r>
    </w:p>
    <w:p w:rsidR="00217868" w:rsidRPr="008D2758" w:rsidRDefault="008D2758" w:rsidP="00217868">
      <w:pPr>
        <w:jc w:val="center"/>
        <w:rPr>
          <w:rFonts w:ascii="Times New Roman" w:hAnsi="Times New Roman" w:cs="Times New Roman"/>
          <w:b/>
          <w:bCs/>
          <w:sz w:val="28"/>
          <w:lang w:val="es-ES"/>
        </w:rPr>
      </w:pPr>
    </w:p>
    <w:tbl>
      <w:tblPr>
        <w:tblStyle w:val="Tablaconcuadrcula"/>
        <w:tblW w:w="0" w:type="auto"/>
        <w:tblLook w:val="04A0" w:firstRow="1" w:lastRow="0" w:firstColumn="1" w:lastColumn="0" w:noHBand="0" w:noVBand="1"/>
      </w:tblPr>
      <w:tblGrid>
        <w:gridCol w:w="1271"/>
        <w:gridCol w:w="3686"/>
        <w:gridCol w:w="3871"/>
      </w:tblGrid>
      <w:tr w:rsidR="00C55AAA" w:rsidRPr="008D2758" w:rsidTr="00217868">
        <w:tc>
          <w:tcPr>
            <w:tcW w:w="1271" w:type="dxa"/>
            <w:shd w:val="clear" w:color="auto" w:fill="DEEAF6" w:themeFill="accent1" w:themeFillTint="33"/>
          </w:tcPr>
          <w:p w:rsidR="00217868" w:rsidRPr="008D2758" w:rsidRDefault="008D2758" w:rsidP="00217868">
            <w:pPr>
              <w:jc w:val="both"/>
              <w:rPr>
                <w:rFonts w:ascii="Times New Roman" w:hAnsi="Times New Roman" w:cs="Times New Roman"/>
                <w:b/>
                <w:bCs/>
                <w:sz w:val="28"/>
                <w:lang w:val="es-ES"/>
              </w:rPr>
            </w:pPr>
            <w:r w:rsidRPr="008D2758">
              <w:rPr>
                <w:rFonts w:ascii="Times New Roman" w:hAnsi="Times New Roman" w:cs="Times New Roman"/>
                <w:b/>
                <w:bCs/>
                <w:sz w:val="28"/>
                <w:lang w:val="es-ES"/>
              </w:rPr>
              <w:t xml:space="preserve">Tipología </w:t>
            </w:r>
          </w:p>
        </w:tc>
        <w:tc>
          <w:tcPr>
            <w:tcW w:w="3686" w:type="dxa"/>
            <w:shd w:val="clear" w:color="auto" w:fill="DEEAF6" w:themeFill="accent1" w:themeFillTint="33"/>
          </w:tcPr>
          <w:p w:rsidR="00217868" w:rsidRPr="008D2758" w:rsidRDefault="008D2758" w:rsidP="00217868">
            <w:pPr>
              <w:jc w:val="both"/>
              <w:rPr>
                <w:rFonts w:ascii="Times New Roman" w:hAnsi="Times New Roman" w:cs="Times New Roman"/>
                <w:b/>
                <w:bCs/>
                <w:sz w:val="28"/>
                <w:lang w:val="es-ES"/>
              </w:rPr>
            </w:pPr>
            <w:r w:rsidRPr="008D2758">
              <w:rPr>
                <w:rFonts w:ascii="Times New Roman" w:hAnsi="Times New Roman" w:cs="Times New Roman"/>
                <w:b/>
                <w:bCs/>
                <w:sz w:val="28"/>
                <w:lang w:val="es-ES"/>
              </w:rPr>
              <w:t xml:space="preserve">Concepto </w:t>
            </w:r>
          </w:p>
        </w:tc>
        <w:tc>
          <w:tcPr>
            <w:tcW w:w="3871" w:type="dxa"/>
            <w:shd w:val="clear" w:color="auto" w:fill="DEEAF6" w:themeFill="accent1" w:themeFillTint="33"/>
          </w:tcPr>
          <w:p w:rsidR="00217868" w:rsidRPr="008D2758" w:rsidRDefault="008D2758" w:rsidP="00217868">
            <w:pPr>
              <w:jc w:val="both"/>
              <w:rPr>
                <w:rFonts w:ascii="Times New Roman" w:hAnsi="Times New Roman" w:cs="Times New Roman"/>
                <w:b/>
                <w:bCs/>
                <w:sz w:val="28"/>
                <w:lang w:val="es-ES"/>
              </w:rPr>
            </w:pPr>
            <w:r w:rsidRPr="008D2758">
              <w:rPr>
                <w:rFonts w:ascii="Times New Roman" w:hAnsi="Times New Roman" w:cs="Times New Roman"/>
                <w:b/>
                <w:bCs/>
                <w:sz w:val="28"/>
                <w:lang w:val="es-ES"/>
              </w:rPr>
              <w:t xml:space="preserve">Consecuencias en los </w:t>
            </w:r>
            <w:r w:rsidRPr="008D2758">
              <w:rPr>
                <w:rFonts w:ascii="Times New Roman" w:hAnsi="Times New Roman" w:cs="Times New Roman"/>
                <w:b/>
                <w:bCs/>
                <w:sz w:val="28"/>
                <w:lang w:val="es-ES"/>
              </w:rPr>
              <w:t>procesos que se encuentren en curso</w:t>
            </w:r>
          </w:p>
        </w:tc>
      </w:tr>
      <w:tr w:rsidR="00C55AAA" w:rsidRPr="008D2758" w:rsidTr="00217868">
        <w:tc>
          <w:tcPr>
            <w:tcW w:w="1271" w:type="dxa"/>
            <w:vMerge w:val="restart"/>
          </w:tcPr>
          <w:p w:rsidR="00217868" w:rsidRPr="008D2758" w:rsidRDefault="008D2758" w:rsidP="00217868">
            <w:pPr>
              <w:jc w:val="both"/>
              <w:rPr>
                <w:rFonts w:ascii="Times New Roman" w:hAnsi="Times New Roman" w:cs="Times New Roman"/>
                <w:b/>
                <w:bCs/>
                <w:sz w:val="28"/>
                <w:lang w:val="es-ES"/>
              </w:rPr>
            </w:pPr>
            <w:r w:rsidRPr="008D2758">
              <w:rPr>
                <w:rFonts w:ascii="Times New Roman" w:hAnsi="Times New Roman" w:cs="Times New Roman"/>
                <w:b/>
                <w:bCs/>
                <w:sz w:val="28"/>
                <w:lang w:val="es-ES"/>
              </w:rPr>
              <w:t>Cosa juzgada formal</w:t>
            </w:r>
          </w:p>
        </w:tc>
        <w:tc>
          <w:tcPr>
            <w:tcW w:w="3686" w:type="dxa"/>
            <w:vMerge w:val="restart"/>
          </w:tcPr>
          <w:p w:rsidR="00217868" w:rsidRPr="008D2758" w:rsidRDefault="008D2758" w:rsidP="00217868">
            <w:pPr>
              <w:jc w:val="both"/>
              <w:rPr>
                <w:rFonts w:ascii="Times New Roman" w:hAnsi="Times New Roman" w:cs="Times New Roman"/>
                <w:sz w:val="28"/>
                <w:lang w:val="es-ES"/>
              </w:rPr>
            </w:pPr>
            <w:r w:rsidRPr="008D2758">
              <w:rPr>
                <w:rFonts w:ascii="Times New Roman" w:hAnsi="Times New Roman" w:cs="Times New Roman"/>
                <w:sz w:val="28"/>
                <w:lang w:val="es-ES"/>
              </w:rPr>
              <w:t>Se presenta cuando la Sala Plena de la Corte Constitucional ya se pronunció sobre la disposición demandada. Esta tipología recae sobre los textos normativos sometidos a control</w:t>
            </w:r>
            <w:r w:rsidRPr="008D2758">
              <w:rPr>
                <w:rStyle w:val="Refdenotaalpie"/>
                <w:rFonts w:ascii="Times New Roman" w:hAnsi="Times New Roman" w:cs="Times New Roman"/>
                <w:sz w:val="28"/>
              </w:rPr>
              <w:footnoteReference w:id="40"/>
            </w:r>
            <w:r w:rsidRPr="008D2758">
              <w:rPr>
                <w:rFonts w:ascii="Times New Roman" w:hAnsi="Times New Roman" w:cs="Times New Roman"/>
                <w:sz w:val="28"/>
                <w:lang w:val="es-ES"/>
              </w:rPr>
              <w:t>.</w:t>
            </w:r>
          </w:p>
        </w:tc>
        <w:tc>
          <w:tcPr>
            <w:tcW w:w="3871" w:type="dxa"/>
          </w:tcPr>
          <w:p w:rsidR="00217868" w:rsidRPr="008D2758" w:rsidRDefault="008D2758" w:rsidP="00217868">
            <w:pPr>
              <w:jc w:val="both"/>
              <w:rPr>
                <w:rFonts w:ascii="Times New Roman" w:hAnsi="Times New Roman" w:cs="Times New Roman"/>
                <w:sz w:val="28"/>
                <w:lang w:val="es-ES"/>
              </w:rPr>
            </w:pPr>
            <w:r w:rsidRPr="008D2758">
              <w:rPr>
                <w:rFonts w:ascii="Times New Roman" w:hAnsi="Times New Roman" w:cs="Times New Roman"/>
                <w:b/>
                <w:bCs/>
                <w:sz w:val="28"/>
                <w:lang w:val="es-ES"/>
              </w:rPr>
              <w:t>Decisión previa de e</w:t>
            </w:r>
            <w:r w:rsidRPr="008D2758">
              <w:rPr>
                <w:rFonts w:ascii="Times New Roman" w:hAnsi="Times New Roman" w:cs="Times New Roman"/>
                <w:b/>
                <w:bCs/>
                <w:sz w:val="28"/>
                <w:lang w:val="es-ES"/>
              </w:rPr>
              <w:t>xequibilidad.</w:t>
            </w:r>
            <w:r w:rsidRPr="008D2758">
              <w:rPr>
                <w:rFonts w:ascii="Times New Roman" w:hAnsi="Times New Roman" w:cs="Times New Roman"/>
                <w:sz w:val="28"/>
                <w:lang w:val="es-ES"/>
              </w:rPr>
              <w:t xml:space="preserve"> La Corte debe estarse a lo resuelto en la sentencia previa que declaró la exequibilidad de la misma disposición, salvo que existan razones que debiliten la cosa juzgada.</w:t>
            </w:r>
          </w:p>
        </w:tc>
      </w:tr>
      <w:tr w:rsidR="00C55AAA" w:rsidRPr="008D2758" w:rsidTr="00217868">
        <w:tc>
          <w:tcPr>
            <w:tcW w:w="1271" w:type="dxa"/>
            <w:vMerge/>
          </w:tcPr>
          <w:p w:rsidR="00217868" w:rsidRPr="008D2758" w:rsidRDefault="008D2758" w:rsidP="00217868">
            <w:pPr>
              <w:jc w:val="both"/>
              <w:rPr>
                <w:rFonts w:ascii="Times New Roman" w:hAnsi="Times New Roman" w:cs="Times New Roman"/>
                <w:b/>
                <w:bCs/>
                <w:sz w:val="28"/>
                <w:lang w:val="es-ES"/>
              </w:rPr>
            </w:pPr>
          </w:p>
        </w:tc>
        <w:tc>
          <w:tcPr>
            <w:tcW w:w="3686" w:type="dxa"/>
            <w:vMerge/>
          </w:tcPr>
          <w:p w:rsidR="00217868" w:rsidRPr="008D2758" w:rsidRDefault="008D2758" w:rsidP="00217868">
            <w:pPr>
              <w:jc w:val="both"/>
              <w:rPr>
                <w:rFonts w:ascii="Times New Roman" w:hAnsi="Times New Roman" w:cs="Times New Roman"/>
                <w:sz w:val="28"/>
                <w:lang w:val="es-ES"/>
              </w:rPr>
            </w:pPr>
          </w:p>
        </w:tc>
        <w:tc>
          <w:tcPr>
            <w:tcW w:w="3871" w:type="dxa"/>
          </w:tcPr>
          <w:p w:rsidR="00217868" w:rsidRPr="008D2758" w:rsidRDefault="008D2758" w:rsidP="00217868">
            <w:pPr>
              <w:jc w:val="both"/>
              <w:rPr>
                <w:rFonts w:ascii="Times New Roman" w:hAnsi="Times New Roman" w:cs="Times New Roman"/>
                <w:sz w:val="28"/>
                <w:lang w:val="es-ES"/>
              </w:rPr>
            </w:pPr>
            <w:r w:rsidRPr="008D2758">
              <w:rPr>
                <w:rFonts w:ascii="Times New Roman" w:hAnsi="Times New Roman" w:cs="Times New Roman"/>
                <w:b/>
                <w:bCs/>
                <w:sz w:val="28"/>
                <w:lang w:val="es-ES"/>
              </w:rPr>
              <w:t xml:space="preserve">Decisión previa de inexequibilidad. </w:t>
            </w:r>
            <w:r w:rsidRPr="008D2758">
              <w:rPr>
                <w:rFonts w:ascii="Times New Roman" w:hAnsi="Times New Roman" w:cs="Times New Roman"/>
                <w:sz w:val="28"/>
                <w:lang w:val="es-ES"/>
              </w:rPr>
              <w:t>La Corte debe estarse a lo resuelto en la sentencia previa que declaró la inexequibilidad de la misma disposición.</w:t>
            </w:r>
          </w:p>
        </w:tc>
      </w:tr>
      <w:tr w:rsidR="00C55AAA" w:rsidRPr="008D2758" w:rsidTr="00217868">
        <w:tc>
          <w:tcPr>
            <w:tcW w:w="1271" w:type="dxa"/>
            <w:vMerge w:val="restart"/>
          </w:tcPr>
          <w:p w:rsidR="00217868" w:rsidRPr="008D2758" w:rsidRDefault="008D2758" w:rsidP="00217868">
            <w:pPr>
              <w:jc w:val="both"/>
              <w:rPr>
                <w:rFonts w:ascii="Times New Roman" w:hAnsi="Times New Roman" w:cs="Times New Roman"/>
                <w:b/>
                <w:bCs/>
                <w:sz w:val="28"/>
                <w:lang w:val="es-ES"/>
              </w:rPr>
            </w:pPr>
            <w:r w:rsidRPr="008D2758">
              <w:rPr>
                <w:rFonts w:ascii="Times New Roman" w:hAnsi="Times New Roman" w:cs="Times New Roman"/>
                <w:b/>
                <w:bCs/>
                <w:sz w:val="28"/>
                <w:lang w:val="es-ES"/>
              </w:rPr>
              <w:t xml:space="preserve">Cosa juzgada material </w:t>
            </w:r>
          </w:p>
        </w:tc>
        <w:tc>
          <w:tcPr>
            <w:tcW w:w="3686" w:type="dxa"/>
            <w:vMerge w:val="restart"/>
          </w:tcPr>
          <w:p w:rsidR="00217868" w:rsidRPr="008D2758" w:rsidRDefault="008D2758" w:rsidP="00217868">
            <w:pPr>
              <w:jc w:val="both"/>
              <w:rPr>
                <w:rFonts w:ascii="Times New Roman" w:hAnsi="Times New Roman" w:cs="Times New Roman"/>
                <w:sz w:val="28"/>
                <w:lang w:val="es-ES"/>
              </w:rPr>
            </w:pPr>
            <w:r w:rsidRPr="008D2758">
              <w:rPr>
                <w:rFonts w:ascii="Times New Roman" w:hAnsi="Times New Roman" w:cs="Times New Roman"/>
                <w:sz w:val="28"/>
                <w:lang w:val="es-ES"/>
              </w:rPr>
              <w:t>Se presenta cuando se acusa una disposición que es formalmente distinta, pero que tiene un contenido normativo idénti</w:t>
            </w:r>
            <w:r w:rsidRPr="008D2758">
              <w:rPr>
                <w:rFonts w:ascii="Times New Roman" w:hAnsi="Times New Roman" w:cs="Times New Roman"/>
                <w:sz w:val="28"/>
                <w:lang w:val="es-ES"/>
              </w:rPr>
              <w:t>co al de otra que ya fue controlada por esta Corporación en sede de control de constitucionalidad. El juez debe evaluar: (i) si existe una decisión de constitucionalidad anterior sobre una regla de derecho idéntica, pero contenida en distintas disposicione</w:t>
            </w:r>
            <w:r w:rsidRPr="008D2758">
              <w:rPr>
                <w:rFonts w:ascii="Times New Roman" w:hAnsi="Times New Roman" w:cs="Times New Roman"/>
                <w:sz w:val="28"/>
                <w:lang w:val="es-ES"/>
              </w:rPr>
              <w:t>s jurídicas; y luego (ii) determinar si hay identidad entre los cargos del pasado y del presente y el análisis constitucional de fondo sobre la proposición jurídica. Este estudio no recae sobre la disposición, sino sobre los contenidos normativos</w:t>
            </w:r>
            <w:r w:rsidRPr="008D2758">
              <w:rPr>
                <w:rStyle w:val="Refdenotaalpie"/>
                <w:rFonts w:ascii="Times New Roman" w:hAnsi="Times New Roman" w:cs="Times New Roman"/>
                <w:sz w:val="28"/>
              </w:rPr>
              <w:footnoteReference w:id="41"/>
            </w:r>
            <w:r w:rsidRPr="008D2758">
              <w:rPr>
                <w:rFonts w:ascii="Times New Roman" w:hAnsi="Times New Roman" w:cs="Times New Roman"/>
                <w:sz w:val="28"/>
                <w:lang w:val="es-ES"/>
              </w:rPr>
              <w:t>.</w:t>
            </w:r>
          </w:p>
        </w:tc>
        <w:tc>
          <w:tcPr>
            <w:tcW w:w="3871" w:type="dxa"/>
          </w:tcPr>
          <w:p w:rsidR="00217868" w:rsidRPr="008D2758" w:rsidRDefault="008D2758" w:rsidP="00217868">
            <w:pPr>
              <w:jc w:val="both"/>
              <w:rPr>
                <w:rFonts w:ascii="Times New Roman" w:hAnsi="Times New Roman" w:cs="Times New Roman"/>
                <w:b/>
                <w:bCs/>
                <w:sz w:val="28"/>
                <w:lang w:val="es-ES"/>
              </w:rPr>
            </w:pPr>
            <w:r w:rsidRPr="008D2758">
              <w:rPr>
                <w:rFonts w:ascii="Times New Roman" w:hAnsi="Times New Roman" w:cs="Times New Roman"/>
                <w:b/>
                <w:bCs/>
                <w:sz w:val="28"/>
                <w:lang w:val="es-ES"/>
              </w:rPr>
              <w:t xml:space="preserve">Decisión previa de exequibilidad. </w:t>
            </w:r>
            <w:r w:rsidRPr="008D2758">
              <w:rPr>
                <w:rFonts w:ascii="Times New Roman" w:hAnsi="Times New Roman" w:cs="Times New Roman"/>
                <w:sz w:val="28"/>
                <w:lang w:val="es-ES"/>
              </w:rPr>
              <w:t>La Corte debe estarse a lo resuelto en la decisión previa que declaró la exequibilidad del mismo contenido normativo y, por consiguiente, declarar exequible la disposición ahora controlada, salvo que existan razones que de</w:t>
            </w:r>
            <w:r w:rsidRPr="008D2758">
              <w:rPr>
                <w:rFonts w:ascii="Times New Roman" w:hAnsi="Times New Roman" w:cs="Times New Roman"/>
                <w:sz w:val="28"/>
                <w:lang w:val="es-ES"/>
              </w:rPr>
              <w:t xml:space="preserve">biliten la cosa juzgada. </w:t>
            </w:r>
          </w:p>
          <w:p w:rsidR="00217868" w:rsidRPr="008D2758" w:rsidRDefault="008D2758" w:rsidP="00217868">
            <w:pPr>
              <w:jc w:val="both"/>
              <w:rPr>
                <w:rFonts w:ascii="Times New Roman" w:hAnsi="Times New Roman" w:cs="Times New Roman"/>
                <w:sz w:val="28"/>
                <w:lang w:val="es-ES"/>
              </w:rPr>
            </w:pPr>
          </w:p>
        </w:tc>
      </w:tr>
      <w:tr w:rsidR="00C55AAA" w:rsidRPr="008D2758" w:rsidTr="00217868">
        <w:trPr>
          <w:trHeight w:val="1932"/>
        </w:trPr>
        <w:tc>
          <w:tcPr>
            <w:tcW w:w="1271" w:type="dxa"/>
            <w:vMerge/>
            <w:tcBorders>
              <w:bottom w:val="single" w:sz="4" w:space="0" w:color="auto"/>
            </w:tcBorders>
          </w:tcPr>
          <w:p w:rsidR="00217868" w:rsidRPr="008D2758" w:rsidRDefault="008D2758" w:rsidP="00217868">
            <w:pPr>
              <w:jc w:val="both"/>
              <w:rPr>
                <w:rFonts w:ascii="Times New Roman" w:hAnsi="Times New Roman" w:cs="Times New Roman"/>
                <w:b/>
                <w:bCs/>
                <w:sz w:val="28"/>
                <w:lang w:val="es-ES"/>
              </w:rPr>
            </w:pPr>
          </w:p>
        </w:tc>
        <w:tc>
          <w:tcPr>
            <w:tcW w:w="3686" w:type="dxa"/>
            <w:vMerge/>
            <w:tcBorders>
              <w:bottom w:val="single" w:sz="4" w:space="0" w:color="auto"/>
            </w:tcBorders>
          </w:tcPr>
          <w:p w:rsidR="00217868" w:rsidRPr="008D2758" w:rsidRDefault="008D2758" w:rsidP="00217868">
            <w:pPr>
              <w:jc w:val="both"/>
              <w:rPr>
                <w:rFonts w:ascii="Times New Roman" w:hAnsi="Times New Roman" w:cs="Times New Roman"/>
                <w:sz w:val="28"/>
                <w:lang w:val="es-ES"/>
              </w:rPr>
            </w:pPr>
          </w:p>
        </w:tc>
        <w:tc>
          <w:tcPr>
            <w:tcW w:w="3871" w:type="dxa"/>
            <w:tcBorders>
              <w:bottom w:val="single" w:sz="4" w:space="0" w:color="auto"/>
            </w:tcBorders>
          </w:tcPr>
          <w:p w:rsidR="00217868" w:rsidRPr="008D2758" w:rsidRDefault="008D2758" w:rsidP="00217868">
            <w:pPr>
              <w:jc w:val="both"/>
              <w:rPr>
                <w:rFonts w:ascii="Times New Roman" w:hAnsi="Times New Roman" w:cs="Times New Roman"/>
                <w:b/>
                <w:bCs/>
                <w:sz w:val="28"/>
                <w:lang w:val="es-ES"/>
              </w:rPr>
            </w:pPr>
            <w:r w:rsidRPr="008D2758">
              <w:rPr>
                <w:rFonts w:ascii="Times New Roman" w:hAnsi="Times New Roman" w:cs="Times New Roman"/>
                <w:b/>
                <w:bCs/>
                <w:sz w:val="28"/>
                <w:lang w:val="es-ES"/>
              </w:rPr>
              <w:t xml:space="preserve">Decisión previa de inexequibilidad. </w:t>
            </w:r>
            <w:r w:rsidRPr="008D2758">
              <w:rPr>
                <w:rFonts w:ascii="Times New Roman" w:hAnsi="Times New Roman" w:cs="Times New Roman"/>
                <w:sz w:val="28"/>
                <w:lang w:val="es-ES"/>
              </w:rPr>
              <w:t>La Corte debe estarse a lo resuelto en la sentencia previa que declaró la inexequibilidad del mismo contenido normativo y, por lo tanto, declarar inexequible la disposición ahora controlada,</w:t>
            </w:r>
            <w:r w:rsidRPr="008D2758">
              <w:rPr>
                <w:rFonts w:ascii="Times New Roman" w:hAnsi="Times New Roman" w:cs="Times New Roman"/>
                <w:sz w:val="28"/>
                <w:lang w:val="es-ES"/>
              </w:rPr>
              <w:t xml:space="preserve"> en virtud de lo dispuesto en el artículo 243 de la Constitución.</w:t>
            </w:r>
          </w:p>
        </w:tc>
      </w:tr>
      <w:tr w:rsidR="00C55AAA" w:rsidRPr="008D2758" w:rsidTr="00217868">
        <w:tc>
          <w:tcPr>
            <w:tcW w:w="1271" w:type="dxa"/>
          </w:tcPr>
          <w:p w:rsidR="00217868" w:rsidRPr="008D2758" w:rsidRDefault="008D2758" w:rsidP="00217868">
            <w:pPr>
              <w:jc w:val="both"/>
              <w:rPr>
                <w:rFonts w:ascii="Times New Roman" w:hAnsi="Times New Roman" w:cs="Times New Roman"/>
                <w:b/>
                <w:bCs/>
                <w:sz w:val="28"/>
                <w:lang w:val="es-ES"/>
              </w:rPr>
            </w:pPr>
            <w:r w:rsidRPr="008D2758">
              <w:rPr>
                <w:rFonts w:ascii="Times New Roman" w:hAnsi="Times New Roman" w:cs="Times New Roman"/>
                <w:b/>
                <w:bCs/>
                <w:sz w:val="28"/>
                <w:lang w:val="es-ES"/>
              </w:rPr>
              <w:t xml:space="preserve">Cosa juzgada absoluta </w:t>
            </w:r>
          </w:p>
        </w:tc>
        <w:tc>
          <w:tcPr>
            <w:tcW w:w="3686" w:type="dxa"/>
          </w:tcPr>
          <w:p w:rsidR="00217868" w:rsidRPr="008D2758" w:rsidRDefault="008D2758" w:rsidP="00217868">
            <w:pPr>
              <w:jc w:val="both"/>
              <w:rPr>
                <w:rFonts w:ascii="Times New Roman" w:hAnsi="Times New Roman" w:cs="Times New Roman"/>
                <w:sz w:val="28"/>
                <w:lang w:val="es-ES"/>
              </w:rPr>
            </w:pPr>
            <w:r w:rsidRPr="008D2758">
              <w:rPr>
                <w:rFonts w:ascii="Times New Roman" w:hAnsi="Times New Roman" w:cs="Times New Roman"/>
                <w:sz w:val="28"/>
                <w:lang w:val="es-ES"/>
              </w:rPr>
              <w:t>Se presenta en dos casos: primero, cuando la Corte declara la inexequibilidad</w:t>
            </w:r>
            <w:r w:rsidRPr="008D2758">
              <w:rPr>
                <w:rFonts w:ascii="Times New Roman" w:hAnsi="Times New Roman" w:cs="Times New Roman"/>
                <w:sz w:val="28"/>
                <w:lang w:val="es-ES"/>
              </w:rPr>
              <w:t xml:space="preserve"> de una norma y, por lo tanto, la expulsa del ordenamiento. Segundo, cuando el control de constitucionalidad se ejerció respecto a la integralidad de la Carta. </w:t>
            </w:r>
          </w:p>
        </w:tc>
        <w:tc>
          <w:tcPr>
            <w:tcW w:w="3871" w:type="dxa"/>
          </w:tcPr>
          <w:p w:rsidR="00217868" w:rsidRPr="008D2758" w:rsidRDefault="008D2758" w:rsidP="00217868">
            <w:pPr>
              <w:jc w:val="both"/>
              <w:rPr>
                <w:rFonts w:ascii="Times New Roman" w:hAnsi="Times New Roman" w:cs="Times New Roman"/>
                <w:sz w:val="28"/>
                <w:lang w:val="es-ES"/>
              </w:rPr>
            </w:pPr>
            <w:r w:rsidRPr="008D2758">
              <w:rPr>
                <w:rFonts w:ascii="Times New Roman" w:hAnsi="Times New Roman" w:cs="Times New Roman"/>
                <w:sz w:val="28"/>
                <w:lang w:val="es-ES"/>
              </w:rPr>
              <w:t>La Corte debe estarse a lo resuelto en la sentencia previa.</w:t>
            </w:r>
          </w:p>
        </w:tc>
      </w:tr>
      <w:tr w:rsidR="00C55AAA" w:rsidRPr="008D2758" w:rsidTr="00217868">
        <w:tc>
          <w:tcPr>
            <w:tcW w:w="1271" w:type="dxa"/>
          </w:tcPr>
          <w:p w:rsidR="00217868" w:rsidRPr="008D2758" w:rsidRDefault="008D2758" w:rsidP="00217868">
            <w:pPr>
              <w:jc w:val="both"/>
              <w:rPr>
                <w:rFonts w:ascii="Times New Roman" w:hAnsi="Times New Roman" w:cs="Times New Roman"/>
                <w:b/>
                <w:bCs/>
                <w:sz w:val="28"/>
                <w:lang w:val="es-ES"/>
              </w:rPr>
            </w:pPr>
            <w:r w:rsidRPr="008D2758">
              <w:rPr>
                <w:rFonts w:ascii="Times New Roman" w:hAnsi="Times New Roman" w:cs="Times New Roman"/>
                <w:b/>
                <w:bCs/>
                <w:sz w:val="28"/>
                <w:lang w:val="es-ES"/>
              </w:rPr>
              <w:t xml:space="preserve">Cosa juzgada relativa </w:t>
            </w:r>
          </w:p>
        </w:tc>
        <w:tc>
          <w:tcPr>
            <w:tcW w:w="3686" w:type="dxa"/>
          </w:tcPr>
          <w:p w:rsidR="00217868" w:rsidRPr="008D2758" w:rsidRDefault="008D2758" w:rsidP="00217868">
            <w:pPr>
              <w:jc w:val="both"/>
              <w:rPr>
                <w:rFonts w:ascii="Times New Roman" w:hAnsi="Times New Roman" w:cs="Times New Roman"/>
                <w:sz w:val="28"/>
                <w:lang w:val="es-ES"/>
              </w:rPr>
            </w:pPr>
            <w:r w:rsidRPr="008D2758">
              <w:rPr>
                <w:rFonts w:ascii="Times New Roman" w:hAnsi="Times New Roman" w:cs="Times New Roman"/>
                <w:sz w:val="28"/>
                <w:lang w:val="es-ES"/>
              </w:rPr>
              <w:t>Se presenta</w:t>
            </w:r>
            <w:r w:rsidRPr="008D2758">
              <w:rPr>
                <w:rFonts w:ascii="Times New Roman" w:hAnsi="Times New Roman" w:cs="Times New Roman"/>
                <w:sz w:val="28"/>
                <w:lang w:val="es-ES"/>
              </w:rPr>
              <w:t xml:space="preserve"> cuando la Corte Constitucional restringió los efectos de su decisión a los cargos analizados. </w:t>
            </w:r>
          </w:p>
        </w:tc>
        <w:tc>
          <w:tcPr>
            <w:tcW w:w="3871" w:type="dxa"/>
          </w:tcPr>
          <w:p w:rsidR="00217868" w:rsidRPr="008D2758" w:rsidRDefault="008D2758" w:rsidP="00217868">
            <w:pPr>
              <w:jc w:val="both"/>
              <w:rPr>
                <w:rFonts w:ascii="Times New Roman" w:hAnsi="Times New Roman" w:cs="Times New Roman"/>
                <w:sz w:val="28"/>
                <w:lang w:val="es-ES"/>
              </w:rPr>
            </w:pPr>
            <w:r w:rsidRPr="008D2758">
              <w:rPr>
                <w:rFonts w:ascii="Times New Roman" w:hAnsi="Times New Roman" w:cs="Times New Roman"/>
                <w:sz w:val="28"/>
                <w:lang w:val="es-ES"/>
              </w:rPr>
              <w:t xml:space="preserve">Es posible un nuevo pronunciamiento sobre la disposición únicamente por cargos nuevos.  </w:t>
            </w:r>
          </w:p>
        </w:tc>
      </w:tr>
      <w:tr w:rsidR="00C55AAA" w:rsidRPr="008D2758" w:rsidTr="00217868">
        <w:tc>
          <w:tcPr>
            <w:tcW w:w="1271" w:type="dxa"/>
          </w:tcPr>
          <w:p w:rsidR="00217868" w:rsidRPr="008D2758" w:rsidRDefault="008D2758" w:rsidP="00217868">
            <w:pPr>
              <w:jc w:val="both"/>
              <w:rPr>
                <w:rFonts w:ascii="Times New Roman" w:hAnsi="Times New Roman" w:cs="Times New Roman"/>
                <w:b/>
                <w:bCs/>
                <w:sz w:val="28"/>
                <w:lang w:val="es-ES"/>
              </w:rPr>
            </w:pPr>
            <w:r w:rsidRPr="008D2758">
              <w:rPr>
                <w:rFonts w:ascii="Times New Roman" w:hAnsi="Times New Roman" w:cs="Times New Roman"/>
                <w:b/>
                <w:bCs/>
                <w:sz w:val="28"/>
                <w:lang w:val="es-ES"/>
              </w:rPr>
              <w:t xml:space="preserve">Cosa juzgada aparente </w:t>
            </w:r>
          </w:p>
        </w:tc>
        <w:tc>
          <w:tcPr>
            <w:tcW w:w="3686" w:type="dxa"/>
          </w:tcPr>
          <w:p w:rsidR="00217868" w:rsidRPr="008D2758" w:rsidRDefault="008D2758" w:rsidP="00217868">
            <w:pPr>
              <w:jc w:val="both"/>
              <w:rPr>
                <w:rFonts w:ascii="Times New Roman" w:hAnsi="Times New Roman" w:cs="Times New Roman"/>
                <w:sz w:val="28"/>
                <w:lang w:val="es-ES"/>
              </w:rPr>
            </w:pPr>
            <w:r w:rsidRPr="008D2758">
              <w:rPr>
                <w:rFonts w:ascii="Times New Roman" w:hAnsi="Times New Roman" w:cs="Times New Roman"/>
                <w:sz w:val="28"/>
                <w:lang w:val="es-ES"/>
              </w:rPr>
              <w:t>Se presenta cuando la Corte Constitucional form</w:t>
            </w:r>
            <w:r w:rsidRPr="008D2758">
              <w:rPr>
                <w:rFonts w:ascii="Times New Roman" w:hAnsi="Times New Roman" w:cs="Times New Roman"/>
                <w:sz w:val="28"/>
                <w:lang w:val="es-ES"/>
              </w:rPr>
              <w:t xml:space="preserve">almente declara la exequibilidad de una disposición, pero en realidad no hay un estudio de constitucionalidad en la decisión. </w:t>
            </w:r>
          </w:p>
        </w:tc>
        <w:tc>
          <w:tcPr>
            <w:tcW w:w="3871" w:type="dxa"/>
          </w:tcPr>
          <w:p w:rsidR="00217868" w:rsidRPr="008D2758" w:rsidRDefault="008D2758" w:rsidP="00217868">
            <w:pPr>
              <w:jc w:val="both"/>
              <w:rPr>
                <w:rFonts w:ascii="Times New Roman" w:hAnsi="Times New Roman" w:cs="Times New Roman"/>
                <w:sz w:val="28"/>
                <w:lang w:val="es-ES"/>
              </w:rPr>
            </w:pPr>
            <w:r w:rsidRPr="008D2758">
              <w:rPr>
                <w:rFonts w:ascii="Times New Roman" w:hAnsi="Times New Roman" w:cs="Times New Roman"/>
                <w:sz w:val="28"/>
                <w:lang w:val="es-ES"/>
              </w:rPr>
              <w:t>Es posible un nuevo pronunciamiento sobre la disposición.</w:t>
            </w:r>
          </w:p>
        </w:tc>
      </w:tr>
    </w:tbl>
    <w:p w:rsidR="00217868" w:rsidRPr="008D2758" w:rsidRDefault="008D2758" w:rsidP="004B2E46">
      <w:pPr>
        <w:pStyle w:val="Prrafodelista"/>
        <w:numPr>
          <w:ilvl w:val="0"/>
          <w:numId w:val="0"/>
        </w:numPr>
        <w:rPr>
          <w:szCs w:val="24"/>
          <w:lang w:val="es-ES"/>
        </w:rPr>
      </w:pPr>
      <w:r w:rsidRPr="008D2758">
        <w:rPr>
          <w:szCs w:val="24"/>
          <w:lang w:val="es-ES"/>
        </w:rPr>
        <w:t>Fuente: sentencia C-328 de 2024</w:t>
      </w:r>
    </w:p>
    <w:p w:rsidR="00296704" w:rsidRPr="008D2758" w:rsidRDefault="008D2758" w:rsidP="004B2E46">
      <w:pPr>
        <w:pStyle w:val="Prrafodelista"/>
        <w:numPr>
          <w:ilvl w:val="0"/>
          <w:numId w:val="0"/>
        </w:numPr>
        <w:rPr>
          <w:b/>
          <w:bCs/>
          <w:lang w:val="es-ES"/>
        </w:rPr>
      </w:pPr>
    </w:p>
    <w:p w:rsidR="009559D8" w:rsidRPr="008D2758" w:rsidRDefault="008D2758" w:rsidP="009559D8">
      <w:pPr>
        <w:pStyle w:val="Prrafodelista"/>
        <w:widowControl/>
        <w:autoSpaceDE/>
        <w:autoSpaceDN/>
        <w:rPr>
          <w:lang w:val="es-ES"/>
        </w:rPr>
      </w:pPr>
      <w:r w:rsidRPr="008D2758">
        <w:rPr>
          <w:lang w:val="es-ES"/>
        </w:rPr>
        <w:t xml:space="preserve">En lo que interesa para el asunto en </w:t>
      </w:r>
      <w:r w:rsidRPr="008D2758">
        <w:rPr>
          <w:lang w:val="es-ES"/>
        </w:rPr>
        <w:t>cuestión, cabe resaltar que, cuando la Corte declara inexequible una norma, la consecuencia de la cosa juzgada constitucional es que ninguna autoridad podrá reproducir el contenido material del acto jurídico declarado inexequible por razones de fondo, siem</w:t>
      </w:r>
      <w:r w:rsidRPr="008D2758">
        <w:rPr>
          <w:lang w:val="es-ES"/>
        </w:rPr>
        <w:t>pre y cuando subsistan en la Carta las disposiciones que sirvieron para hacer la confrontación entre la norma ordinaria y la Constitución. Al no existir una norma sobre la cual hacer control, la demanda debe rechazarse o proferirse un fallo mediante el cua</w:t>
      </w:r>
      <w:r w:rsidRPr="008D2758">
        <w:rPr>
          <w:lang w:val="es-ES"/>
        </w:rPr>
        <w:t>l se esté a lo resuelto en la sentencia anterior (artículo 6 del Decreto Ley 2067 de 1991)</w:t>
      </w:r>
      <w:r w:rsidRPr="008D2758">
        <w:rPr>
          <w:rStyle w:val="Refdenotaalpie"/>
          <w:lang w:val="es-ES"/>
        </w:rPr>
        <w:footnoteReference w:id="42"/>
      </w:r>
      <w:r w:rsidRPr="008D2758">
        <w:rPr>
          <w:lang w:val="es-ES"/>
        </w:rPr>
        <w:t>.</w:t>
      </w:r>
    </w:p>
    <w:p w:rsidR="008E747C" w:rsidRPr="008D2758" w:rsidRDefault="008D2758" w:rsidP="004B2E46">
      <w:pPr>
        <w:pStyle w:val="Prrafodelista"/>
        <w:numPr>
          <w:ilvl w:val="0"/>
          <w:numId w:val="0"/>
        </w:numPr>
        <w:rPr>
          <w:b/>
          <w:bCs/>
        </w:rPr>
      </w:pPr>
    </w:p>
    <w:p w:rsidR="00DC13A5" w:rsidRPr="008D2758" w:rsidRDefault="008D2758" w:rsidP="004067D1">
      <w:pPr>
        <w:pStyle w:val="Ttulo2"/>
        <w:numPr>
          <w:ilvl w:val="0"/>
          <w:numId w:val="4"/>
        </w:numPr>
        <w:spacing w:before="0"/>
        <w:rPr>
          <w:rFonts w:ascii="Times New Roman" w:hAnsi="Times New Roman" w:cs="Times New Roman"/>
          <w:b/>
          <w:bCs/>
          <w:color w:val="auto"/>
          <w:sz w:val="28"/>
        </w:rPr>
      </w:pPr>
      <w:r w:rsidRPr="008D2758">
        <w:rPr>
          <w:rFonts w:ascii="Times New Roman" w:hAnsi="Times New Roman" w:cs="Times New Roman"/>
          <w:b/>
          <w:color w:val="auto"/>
          <w:sz w:val="28"/>
          <w:szCs w:val="28"/>
        </w:rPr>
        <w:t xml:space="preserve"> V</w:t>
      </w:r>
      <w:r w:rsidRPr="008D2758">
        <w:rPr>
          <w:rFonts w:ascii="Times New Roman" w:hAnsi="Times New Roman" w:cs="Times New Roman"/>
          <w:b/>
          <w:color w:val="auto"/>
          <w:sz w:val="28"/>
          <w:szCs w:val="28"/>
        </w:rPr>
        <w:t xml:space="preserve">erificación de la cosa juzgada en el caso concreto </w:t>
      </w:r>
    </w:p>
    <w:p w:rsidR="00C4743D" w:rsidRPr="008D2758" w:rsidRDefault="008D2758" w:rsidP="004B2E46">
      <w:pPr>
        <w:pStyle w:val="Prrafodelista"/>
        <w:numPr>
          <w:ilvl w:val="0"/>
          <w:numId w:val="0"/>
        </w:numPr>
      </w:pPr>
    </w:p>
    <w:p w:rsidR="00DE7493" w:rsidRPr="008D2758" w:rsidRDefault="008D2758" w:rsidP="00DE7493">
      <w:pPr>
        <w:pStyle w:val="Prrafodelista"/>
      </w:pPr>
      <w:r w:rsidRPr="008D2758">
        <w:t>P</w:t>
      </w:r>
      <w:r w:rsidRPr="008D2758">
        <w:t>ara el 19 de septiembre de 2024, la Sala Plena de la Corte Constitucional profirió la sentencia C-</w:t>
      </w:r>
      <w:r w:rsidRPr="008D2758">
        <w:t xml:space="preserve">397 de 2024. En aquella decisión, la Corte estudió una demanda de inconstitucionalidad en contra de la expresión “e </w:t>
      </w:r>
      <w:r w:rsidRPr="008D2758">
        <w:rPr>
          <w:bCs/>
        </w:rPr>
        <w:t>independientemente de la fecha de comisión de la conducta punible por parte de las personas naturales</w:t>
      </w:r>
      <w:r w:rsidRPr="008D2758">
        <w:t>” contemplada en el artículo 8 de la Le</w:t>
      </w:r>
      <w:r w:rsidRPr="008D2758">
        <w:t xml:space="preserve">y 2195 de 2022. </w:t>
      </w:r>
    </w:p>
    <w:p w:rsidR="00DE7493" w:rsidRPr="008D2758" w:rsidRDefault="008D2758" w:rsidP="00DE7493">
      <w:pPr>
        <w:pStyle w:val="Prrafodelista"/>
        <w:numPr>
          <w:ilvl w:val="0"/>
          <w:numId w:val="0"/>
        </w:numPr>
      </w:pPr>
    </w:p>
    <w:p w:rsidR="00370E47" w:rsidRPr="008D2758" w:rsidRDefault="008D2758" w:rsidP="00370E47">
      <w:pPr>
        <w:pStyle w:val="Prrafodelista"/>
        <w:rPr>
          <w:lang w:val="es-CO"/>
        </w:rPr>
      </w:pPr>
      <w:r w:rsidRPr="008D2758">
        <w:t xml:space="preserve">En esa oportunidad, </w:t>
      </w:r>
      <w:r w:rsidRPr="008D2758">
        <w:rPr>
          <w:lang w:val="es-ES"/>
        </w:rPr>
        <w:t xml:space="preserve">la acusación del </w:t>
      </w:r>
      <w:r w:rsidRPr="008D2758">
        <w:rPr>
          <w:lang w:val="es-ES"/>
        </w:rPr>
        <w:t xml:space="preserve">demandante </w:t>
      </w:r>
      <w:r w:rsidRPr="008D2758">
        <w:rPr>
          <w:lang w:val="es-ES"/>
        </w:rPr>
        <w:t>consistía en que la expresión “e independientemente de la fecha de comisión de la conducta punible por parte de las personas naturales” del artículo 8 de la Ley 2195 de 2022, permit</w:t>
      </w:r>
      <w:r w:rsidRPr="008D2758">
        <w:rPr>
          <w:lang w:val="es-ES"/>
        </w:rPr>
        <w:t>ía</w:t>
      </w:r>
      <w:r w:rsidRPr="008D2758">
        <w:rPr>
          <w:lang w:val="es-ES"/>
        </w:rPr>
        <w:t xml:space="preserve"> a la a</w:t>
      </w:r>
      <w:r w:rsidRPr="008D2758">
        <w:rPr>
          <w:lang w:val="es-ES"/>
        </w:rPr>
        <w:t>dministración iniciar un procedimiento administrativo sancionatorio de manera retroactiva, con lo cual se podrían aplicar sanciones y responsabilidades previstos en la Ley 2195 de 2022 que no eran sancionables al momento de ocurrir las conductas. Para el a</w:t>
      </w:r>
      <w:r w:rsidRPr="008D2758">
        <w:rPr>
          <w:lang w:val="es-ES"/>
        </w:rPr>
        <w:t xml:space="preserve">ctor, el simple hecho de que la sentencia penal o el principio de oportunidad de la condena de los miembros de las personas jurídicas a las que se refiere la norma quede ejecutoriado con posterioridad a la </w:t>
      </w:r>
      <w:r w:rsidRPr="008D2758">
        <w:rPr>
          <w:lang w:val="es-ES"/>
        </w:rPr>
        <w:t>entrada en vigor</w:t>
      </w:r>
      <w:r w:rsidRPr="008D2758">
        <w:rPr>
          <w:lang w:val="es-ES"/>
        </w:rPr>
        <w:t xml:space="preserve"> de la Ley 2195 de 2022, habilita </w:t>
      </w:r>
      <w:r w:rsidRPr="008D2758">
        <w:rPr>
          <w:lang w:val="es-ES"/>
        </w:rPr>
        <w:t xml:space="preserve">a la administración </w:t>
      </w:r>
      <w:r w:rsidRPr="008D2758">
        <w:rPr>
          <w:lang w:val="es-ES"/>
        </w:rPr>
        <w:t>para</w:t>
      </w:r>
      <w:r w:rsidRPr="008D2758">
        <w:rPr>
          <w:lang w:val="es-ES"/>
        </w:rPr>
        <w:t xml:space="preserve"> que active su facultad sancionatoria, incluso, con anterioridad a la Ley 1474 de 2011.</w:t>
      </w:r>
    </w:p>
    <w:p w:rsidR="00370E47" w:rsidRPr="008D2758" w:rsidRDefault="008D2758" w:rsidP="00370E47">
      <w:pPr>
        <w:pStyle w:val="Prrafodelista"/>
        <w:numPr>
          <w:ilvl w:val="0"/>
          <w:numId w:val="0"/>
        </w:numPr>
        <w:rPr>
          <w:lang w:val="es-CO"/>
        </w:rPr>
      </w:pPr>
    </w:p>
    <w:p w:rsidR="00681295" w:rsidRPr="008D2758" w:rsidRDefault="008D2758" w:rsidP="00370E47">
      <w:pPr>
        <w:pStyle w:val="Prrafodelista"/>
        <w:rPr>
          <w:lang w:val="es-CO"/>
        </w:rPr>
      </w:pPr>
      <w:r w:rsidRPr="008D2758">
        <w:rPr>
          <w:lang w:val="es-ES"/>
        </w:rPr>
        <w:t>E</w:t>
      </w:r>
      <w:r w:rsidRPr="008D2758">
        <w:rPr>
          <w:lang w:val="es-MX"/>
        </w:rPr>
        <w:t xml:space="preserve">l ciudadano sostuvo que los artículos 34-1, 34-2 y 34-3 de la Ley 1474 de 2011, adicionados por el artículo 4 de la Ley 2195 de 2022, se </w:t>
      </w:r>
      <w:r w:rsidRPr="008D2758">
        <w:rPr>
          <w:lang w:val="es-MX"/>
        </w:rPr>
        <w:t>atribuyen competencias nuevas a otras superintendencias (distintas a la de Sociedades) y a autoridades de inspección, vigilancia y control y se prevén nuevas sanciones</w:t>
      </w:r>
      <w:r w:rsidRPr="008D2758">
        <w:rPr>
          <w:lang w:val="es-ES"/>
        </w:rPr>
        <w:t>. Según manifestó, estas sanciones solo podrían aplicarse a conductas ocurridas con poste</w:t>
      </w:r>
      <w:r w:rsidRPr="008D2758">
        <w:rPr>
          <w:lang w:val="es-ES"/>
        </w:rPr>
        <w:t>rioridad a la entrada en vigor de cada una de las leyes que crearon la responsabilidad, motivo por el cual la disposición acusada se torna inconstitucional.</w:t>
      </w:r>
    </w:p>
    <w:p w:rsidR="00370E47" w:rsidRPr="008D2758" w:rsidRDefault="008D2758" w:rsidP="00370E47">
      <w:pPr>
        <w:pStyle w:val="Prrafodelista"/>
        <w:numPr>
          <w:ilvl w:val="0"/>
          <w:numId w:val="0"/>
        </w:numPr>
        <w:rPr>
          <w:lang w:val="es-CO"/>
        </w:rPr>
      </w:pPr>
    </w:p>
    <w:p w:rsidR="00370E47" w:rsidRPr="008D2758" w:rsidRDefault="008D2758" w:rsidP="00370E47">
      <w:pPr>
        <w:pStyle w:val="Prrafodelista"/>
        <w:rPr>
          <w:lang w:val="es-CO"/>
        </w:rPr>
      </w:pPr>
      <w:r w:rsidRPr="008D2758">
        <w:rPr>
          <w:lang w:val="es-CO"/>
        </w:rPr>
        <w:t>La</w:t>
      </w:r>
      <w:r w:rsidRPr="008D2758">
        <w:rPr>
          <w:lang w:val="es-CO"/>
        </w:rPr>
        <w:t xml:space="preserve"> Sala Plena tuvo que resolver</w:t>
      </w:r>
      <w:r w:rsidRPr="008D2758">
        <w:rPr>
          <w:lang w:val="es-CO"/>
        </w:rPr>
        <w:t xml:space="preserve"> si la expresión</w:t>
      </w:r>
      <w:r w:rsidRPr="008D2758">
        <w:rPr>
          <w:lang w:val="es-CO"/>
        </w:rPr>
        <w:t xml:space="preserve"> “e independientemente de la fecha de comisión de l</w:t>
      </w:r>
      <w:r w:rsidRPr="008D2758">
        <w:rPr>
          <w:lang w:val="es-CO"/>
        </w:rPr>
        <w:t>a conducta punible poro parte de</w:t>
      </w:r>
      <w:r w:rsidRPr="008D2758">
        <w:rPr>
          <w:lang w:val="es-CO"/>
        </w:rPr>
        <w:t xml:space="preserve"> </w:t>
      </w:r>
      <w:r w:rsidRPr="008D2758">
        <w:rPr>
          <w:lang w:val="es-CO"/>
        </w:rPr>
        <w:t>las personas naturales”</w:t>
      </w:r>
      <w:r w:rsidRPr="008D2758">
        <w:rPr>
          <w:lang w:val="es-CO"/>
        </w:rPr>
        <w:t xml:space="preserve"> contenida en el artículo </w:t>
      </w:r>
      <w:r w:rsidRPr="008D2758">
        <w:rPr>
          <w:lang w:val="es-CO"/>
        </w:rPr>
        <w:t>8</w:t>
      </w:r>
      <w:r w:rsidRPr="008D2758">
        <w:rPr>
          <w:lang w:val="es-CO"/>
        </w:rPr>
        <w:t xml:space="preserve"> de la Ley 2195 de 2022 era</w:t>
      </w:r>
      <w:r w:rsidRPr="008D2758">
        <w:rPr>
          <w:lang w:val="es-CO"/>
        </w:rPr>
        <w:t xml:space="preserve"> compatible con los artículos 29 y 58 de la Constitución. </w:t>
      </w:r>
    </w:p>
    <w:p w:rsidR="001F623A" w:rsidRPr="008D2758" w:rsidRDefault="008D2758" w:rsidP="001F623A">
      <w:pPr>
        <w:pStyle w:val="Prrafodelista"/>
        <w:numPr>
          <w:ilvl w:val="0"/>
          <w:numId w:val="0"/>
        </w:numPr>
        <w:rPr>
          <w:lang w:val="es-CO"/>
        </w:rPr>
      </w:pPr>
    </w:p>
    <w:p w:rsidR="001F623A" w:rsidRPr="008D2758" w:rsidRDefault="008D2758" w:rsidP="00370E47">
      <w:pPr>
        <w:pStyle w:val="Prrafodelista"/>
        <w:rPr>
          <w:lang w:val="es-CO"/>
        </w:rPr>
      </w:pPr>
      <w:r w:rsidRPr="008D2758">
        <w:rPr>
          <w:lang w:val="es-CO"/>
        </w:rPr>
        <w:t>Luego de pronunciarse sobre la potestad sancionatoria de la administración y su relaci</w:t>
      </w:r>
      <w:r w:rsidRPr="008D2758">
        <w:rPr>
          <w:lang w:val="es-CO"/>
        </w:rPr>
        <w:t>ón con los principios del debido proceso, irretroactividad y legalidad, la Sala concluyó que, en efecto, la norma demandada permite que las disposiciones de la Ley 2195 de 2022, incluso de carácter sustancial, puedan aplicarse con anterioridad a la entrada</w:t>
      </w:r>
      <w:r w:rsidRPr="008D2758">
        <w:rPr>
          <w:lang w:val="es-CO"/>
        </w:rPr>
        <w:t xml:space="preserve"> en vigor de la referida Ley. Eso significa que materialmente la administración podría imponer sanciones en contra de las personas descritas en el artículo 34 de la Ley 2195 de 2022 que no eran sancionables al momento de ocurrir la conducta, solo por el si</w:t>
      </w:r>
      <w:r w:rsidRPr="008D2758">
        <w:rPr>
          <w:lang w:val="es-CO"/>
        </w:rPr>
        <w:t xml:space="preserve">mple hecho de que la ejecutoria del principio de oportunidad o la sentencia condenatoria hayan quedado en firme con posterioridad a la entrada en vigor de la Ley 2195 de 2022. </w:t>
      </w:r>
    </w:p>
    <w:p w:rsidR="001F623A" w:rsidRPr="008D2758" w:rsidRDefault="008D2758" w:rsidP="001F623A">
      <w:pPr>
        <w:pStyle w:val="Prrafodelista"/>
        <w:numPr>
          <w:ilvl w:val="0"/>
          <w:numId w:val="0"/>
        </w:numPr>
        <w:rPr>
          <w:lang w:val="es-CO"/>
        </w:rPr>
      </w:pPr>
    </w:p>
    <w:p w:rsidR="001F623A" w:rsidRPr="008D2758" w:rsidRDefault="008D2758" w:rsidP="00370E47">
      <w:pPr>
        <w:pStyle w:val="Prrafodelista"/>
        <w:rPr>
          <w:lang w:val="es-CO"/>
        </w:rPr>
      </w:pPr>
      <w:r w:rsidRPr="008D2758">
        <w:rPr>
          <w:lang w:val="es-CO"/>
        </w:rPr>
        <w:t>Por lo tanto, la Corte</w:t>
      </w:r>
      <w:r w:rsidRPr="008D2758">
        <w:rPr>
          <w:rStyle w:val="Refdenotaalpie"/>
          <w:lang w:val="es-CO"/>
        </w:rPr>
        <w:footnoteReference w:id="43"/>
      </w:r>
      <w:r w:rsidRPr="008D2758">
        <w:rPr>
          <w:lang w:val="es-CO"/>
        </w:rPr>
        <w:t xml:space="preserve"> concluyó que la expresión acusada contraría los artícu</w:t>
      </w:r>
      <w:r w:rsidRPr="008D2758">
        <w:rPr>
          <w:lang w:val="es-CO"/>
        </w:rPr>
        <w:t xml:space="preserve">los 29 y 58 de la Constitución, motivo por el cual declaró la inexequibilidad de la expresión “e </w:t>
      </w:r>
      <w:r w:rsidRPr="008D2758">
        <w:rPr>
          <w:bCs/>
        </w:rPr>
        <w:t>independientemente de la fecha de comisión de la conducta punible por parte de las personas naturales</w:t>
      </w:r>
      <w:r w:rsidRPr="008D2758">
        <w:rPr>
          <w:lang w:val="es-CO"/>
        </w:rPr>
        <w:t xml:space="preserve">” del artículo 8 de la Ley 2195 de 2022. </w:t>
      </w:r>
    </w:p>
    <w:p w:rsidR="001F623A" w:rsidRPr="008D2758" w:rsidRDefault="008D2758" w:rsidP="001F623A">
      <w:pPr>
        <w:pStyle w:val="Prrafodelista"/>
        <w:numPr>
          <w:ilvl w:val="0"/>
          <w:numId w:val="0"/>
        </w:numPr>
        <w:rPr>
          <w:lang w:val="es-CO"/>
        </w:rPr>
      </w:pPr>
    </w:p>
    <w:p w:rsidR="00E21DCC" w:rsidRPr="008D2758" w:rsidRDefault="008D2758" w:rsidP="00E21DCC">
      <w:pPr>
        <w:pStyle w:val="Prrafodelista"/>
        <w:rPr>
          <w:lang w:val="es-CO"/>
        </w:rPr>
      </w:pPr>
      <w:r w:rsidRPr="008D2758">
        <w:rPr>
          <w:lang w:val="es-CO"/>
        </w:rPr>
        <w:t>Bajo ese panora</w:t>
      </w:r>
      <w:r w:rsidRPr="008D2758">
        <w:rPr>
          <w:lang w:val="es-CO"/>
        </w:rPr>
        <w:t>ma</w:t>
      </w:r>
      <w:r w:rsidRPr="008D2758">
        <w:rPr>
          <w:lang w:val="es-CO"/>
        </w:rPr>
        <w:t>, la Sala evidencia que respecto de la demanda que estudia en esta ocasión se configuró el fenómeno de la cosa juzgada</w:t>
      </w:r>
      <w:r w:rsidRPr="008D2758">
        <w:rPr>
          <w:lang w:val="es-CO"/>
        </w:rPr>
        <w:t xml:space="preserve"> </w:t>
      </w:r>
      <w:r w:rsidRPr="008D2758">
        <w:rPr>
          <w:b/>
          <w:lang w:val="es-CO"/>
        </w:rPr>
        <w:t>formal y absoluta</w:t>
      </w:r>
      <w:r w:rsidRPr="008D2758">
        <w:rPr>
          <w:lang w:val="es-CO"/>
        </w:rPr>
        <w:t>.</w:t>
      </w:r>
      <w:r w:rsidRPr="008D2758">
        <w:rPr>
          <w:lang w:val="es-CO"/>
        </w:rPr>
        <w:t xml:space="preserve"> Como se indicó en la parte motiva de esta providencia, </w:t>
      </w:r>
      <w:r w:rsidRPr="008D2758">
        <w:rPr>
          <w:lang w:val="es-CO"/>
        </w:rPr>
        <w:t xml:space="preserve">este tipo de cosa juzgada </w:t>
      </w:r>
      <w:r w:rsidRPr="008D2758">
        <w:rPr>
          <w:lang w:val="es-CO"/>
        </w:rPr>
        <w:t xml:space="preserve">ocurre cuando la Corte expulsa del </w:t>
      </w:r>
      <w:r w:rsidRPr="008D2758">
        <w:rPr>
          <w:lang w:val="es-CO"/>
        </w:rPr>
        <w:t xml:space="preserve">ordenamiento jurídico normas de raigambre legal que contravienen uno o varios artículos de la Constitución. En este preciso evento, el ciudadano demandó la </w:t>
      </w:r>
      <w:r w:rsidRPr="008D2758">
        <w:rPr>
          <w:lang w:val="es-CO"/>
        </w:rPr>
        <w:t xml:space="preserve">constitucionalidad de </w:t>
      </w:r>
      <w:r w:rsidRPr="008D2758">
        <w:rPr>
          <w:lang w:val="es-CO"/>
        </w:rPr>
        <w:t xml:space="preserve">exactamente </w:t>
      </w:r>
      <w:r w:rsidRPr="008D2758">
        <w:rPr>
          <w:lang w:val="es-CO"/>
        </w:rPr>
        <w:t>la misma expresión estudiad</w:t>
      </w:r>
      <w:r w:rsidRPr="008D2758">
        <w:rPr>
          <w:lang w:val="es-CO"/>
        </w:rPr>
        <w:t xml:space="preserve">a en la sentencia C-397 de 2024 y que, </w:t>
      </w:r>
      <w:r w:rsidRPr="008D2758">
        <w:rPr>
          <w:lang w:val="es-CO"/>
        </w:rPr>
        <w:t xml:space="preserve">como se indicó, fue declarada inconstitucional por quebrantar los artículos 29 y 58 de la Constitución Política de Colombia. </w:t>
      </w:r>
      <w:r w:rsidRPr="008D2758">
        <w:rPr>
          <w:bCs/>
        </w:rPr>
        <w:t xml:space="preserve"> </w:t>
      </w:r>
    </w:p>
    <w:p w:rsidR="00E21DCC" w:rsidRPr="008D2758" w:rsidRDefault="008D2758" w:rsidP="00E21DCC">
      <w:pPr>
        <w:pStyle w:val="Prrafodelista"/>
        <w:numPr>
          <w:ilvl w:val="0"/>
          <w:numId w:val="0"/>
        </w:numPr>
        <w:rPr>
          <w:lang w:val="es-ES"/>
        </w:rPr>
      </w:pPr>
    </w:p>
    <w:p w:rsidR="00E21DCC" w:rsidRPr="008D2758" w:rsidRDefault="008D2758" w:rsidP="00E21DCC">
      <w:pPr>
        <w:pStyle w:val="Prrafodelista"/>
        <w:rPr>
          <w:lang w:val="es-CO"/>
        </w:rPr>
      </w:pPr>
      <w:r w:rsidRPr="008D2758">
        <w:rPr>
          <w:lang w:val="es-ES"/>
        </w:rPr>
        <w:t xml:space="preserve">Por lo tanto, dicha providencia (C-397 de 2024) constituye cosa juzgada formal y absoluta frente a la demanda que ahora se </w:t>
      </w:r>
      <w:r w:rsidRPr="008D2758">
        <w:rPr>
          <w:lang w:val="es-ES"/>
        </w:rPr>
        <w:t>examina</w:t>
      </w:r>
      <w:r w:rsidRPr="008D2758">
        <w:rPr>
          <w:lang w:val="es-ES"/>
        </w:rPr>
        <w:t xml:space="preserve"> </w:t>
      </w:r>
      <w:r w:rsidRPr="008D2758">
        <w:rPr>
          <w:lang w:val="es-ES"/>
        </w:rPr>
        <w:t xml:space="preserve">de forma tal que la expresión acusada </w:t>
      </w:r>
      <w:r w:rsidRPr="008D2758">
        <w:rPr>
          <w:lang w:val="es-ES"/>
        </w:rPr>
        <w:t xml:space="preserve">contenida en el </w:t>
      </w:r>
      <w:r w:rsidRPr="008D2758">
        <w:rPr>
          <w:lang w:val="es-ES"/>
        </w:rPr>
        <w:t>artículo 8</w:t>
      </w:r>
      <w:r w:rsidRPr="008D2758">
        <w:rPr>
          <w:lang w:val="es-ES"/>
        </w:rPr>
        <w:t xml:space="preserve"> parcial</w:t>
      </w:r>
      <w:r w:rsidRPr="008D2758">
        <w:rPr>
          <w:lang w:val="es-ES"/>
        </w:rPr>
        <w:t xml:space="preserve"> de la Ley 2195 de 2022</w:t>
      </w:r>
      <w:r w:rsidRPr="008D2758">
        <w:rPr>
          <w:shd w:val="clear" w:color="auto" w:fill="FFFFFF"/>
          <w:lang w:val="es-ES"/>
        </w:rPr>
        <w:t xml:space="preserve"> ya no hace parte del ordenamiento jurídico</w:t>
      </w:r>
      <w:r w:rsidRPr="008D2758">
        <w:rPr>
          <w:lang w:val="es-ES"/>
        </w:rPr>
        <w:t>. En consecuencia, la única opción jurídicamente válida para la Corte en esta ocasión es estarse a lo resuelto</w:t>
      </w:r>
      <w:r w:rsidRPr="008D2758">
        <w:rPr>
          <w:lang w:val="es-ES"/>
        </w:rPr>
        <w:t xml:space="preserve"> en la sentencia C-397 de 2024, pues no </w:t>
      </w:r>
      <w:r w:rsidRPr="008D2758">
        <w:rPr>
          <w:lang w:val="es-ES"/>
        </w:rPr>
        <w:t xml:space="preserve">procede </w:t>
      </w:r>
      <w:r w:rsidRPr="008D2758">
        <w:rPr>
          <w:lang w:val="es-ES"/>
        </w:rPr>
        <w:t xml:space="preserve">emitir un pronunciamiento distinto al que previamente profirió. </w:t>
      </w:r>
    </w:p>
    <w:p w:rsidR="00E21DCC" w:rsidRPr="008D2758" w:rsidRDefault="008D2758" w:rsidP="00E21DCC">
      <w:pPr>
        <w:pStyle w:val="Prrafodelista"/>
        <w:widowControl/>
        <w:numPr>
          <w:ilvl w:val="0"/>
          <w:numId w:val="0"/>
        </w:numPr>
        <w:autoSpaceDE/>
        <w:autoSpaceDN/>
        <w:rPr>
          <w:lang w:val="es-ES"/>
        </w:rPr>
      </w:pPr>
    </w:p>
    <w:p w:rsidR="00E21DCC" w:rsidRPr="008D2758" w:rsidRDefault="008D2758" w:rsidP="00024F64">
      <w:pPr>
        <w:pStyle w:val="Ttulo1"/>
        <w:numPr>
          <w:ilvl w:val="0"/>
          <w:numId w:val="2"/>
        </w:numPr>
        <w:spacing w:before="0"/>
        <w:rPr>
          <w:rFonts w:ascii="Times New Roman" w:hAnsi="Times New Roman" w:cs="Times New Roman"/>
          <w:b/>
          <w:bCs/>
          <w:color w:val="auto"/>
          <w:sz w:val="28"/>
          <w:lang w:val="es-ES"/>
        </w:rPr>
      </w:pPr>
      <w:r w:rsidRPr="008D2758">
        <w:rPr>
          <w:rFonts w:ascii="Times New Roman" w:hAnsi="Times New Roman" w:cs="Times New Roman"/>
          <w:b/>
          <w:bCs/>
          <w:color w:val="auto"/>
          <w:sz w:val="28"/>
          <w:szCs w:val="28"/>
        </w:rPr>
        <w:t>Decisión</w:t>
      </w:r>
    </w:p>
    <w:p w:rsidR="00E21DCC" w:rsidRPr="008D2758" w:rsidRDefault="008D2758" w:rsidP="00E21DCC">
      <w:pPr>
        <w:autoSpaceDE w:val="0"/>
        <w:autoSpaceDN w:val="0"/>
        <w:adjustRightInd w:val="0"/>
        <w:spacing w:line="300" w:lineRule="atLeast"/>
        <w:rPr>
          <w:rFonts w:ascii="Times New Roman" w:hAnsi="Times New Roman" w:cs="Times New Roman"/>
          <w:sz w:val="28"/>
          <w:szCs w:val="28"/>
          <w:u w:color="0000FF"/>
          <w:lang w:val="es-ES" w:eastAsia="es-ES"/>
        </w:rPr>
      </w:pPr>
    </w:p>
    <w:p w:rsidR="00E21DCC" w:rsidRPr="008D2758" w:rsidRDefault="008D2758" w:rsidP="00E21DCC">
      <w:pPr>
        <w:autoSpaceDE w:val="0"/>
        <w:autoSpaceDN w:val="0"/>
        <w:adjustRightInd w:val="0"/>
        <w:spacing w:line="300" w:lineRule="atLeast"/>
        <w:jc w:val="both"/>
        <w:rPr>
          <w:rFonts w:ascii="Times New Roman" w:hAnsi="Times New Roman" w:cs="Times New Roman"/>
          <w:sz w:val="28"/>
          <w:szCs w:val="28"/>
          <w:lang w:val="es-ES" w:eastAsia="es-ES"/>
        </w:rPr>
      </w:pPr>
      <w:r w:rsidRPr="008D2758">
        <w:rPr>
          <w:rFonts w:ascii="Times New Roman" w:hAnsi="Times New Roman" w:cs="Times New Roman"/>
          <w:sz w:val="28"/>
          <w:szCs w:val="28"/>
          <w:lang w:val="es-ES" w:eastAsia="es-ES"/>
        </w:rPr>
        <w:t xml:space="preserve">En mérito de lo expuesto, la Corte Constitucional de la República de Colombia, administrando justicia en nombre del pueblo y por </w:t>
      </w:r>
      <w:r w:rsidRPr="008D2758">
        <w:rPr>
          <w:rFonts w:ascii="Times New Roman" w:hAnsi="Times New Roman" w:cs="Times New Roman"/>
          <w:sz w:val="28"/>
          <w:szCs w:val="28"/>
          <w:lang w:val="es-ES" w:eastAsia="es-ES"/>
        </w:rPr>
        <w:t>mandato de la Constitución,</w:t>
      </w:r>
    </w:p>
    <w:p w:rsidR="00E21DCC" w:rsidRPr="008D2758" w:rsidRDefault="008D2758" w:rsidP="00E21DCC">
      <w:pPr>
        <w:autoSpaceDE w:val="0"/>
        <w:autoSpaceDN w:val="0"/>
        <w:adjustRightInd w:val="0"/>
        <w:spacing w:line="300" w:lineRule="atLeast"/>
        <w:rPr>
          <w:rFonts w:ascii="Times New Roman" w:hAnsi="Times New Roman" w:cs="Times New Roman"/>
          <w:sz w:val="28"/>
          <w:szCs w:val="28"/>
          <w:lang w:val="es-ES" w:eastAsia="es-ES"/>
        </w:rPr>
      </w:pPr>
    </w:p>
    <w:p w:rsidR="00E21DCC" w:rsidRPr="008D2758" w:rsidRDefault="008D2758" w:rsidP="00E21DCC">
      <w:pPr>
        <w:autoSpaceDE w:val="0"/>
        <w:autoSpaceDN w:val="0"/>
        <w:adjustRightInd w:val="0"/>
        <w:spacing w:line="300" w:lineRule="atLeast"/>
        <w:jc w:val="center"/>
        <w:rPr>
          <w:rFonts w:ascii="Times New Roman" w:hAnsi="Times New Roman" w:cs="Times New Roman"/>
          <w:sz w:val="28"/>
          <w:szCs w:val="28"/>
          <w:u w:color="0000FF"/>
          <w:lang w:val="es-ES" w:eastAsia="es-ES"/>
        </w:rPr>
      </w:pPr>
      <w:r w:rsidRPr="008D2758">
        <w:rPr>
          <w:rFonts w:ascii="Times New Roman" w:hAnsi="Times New Roman" w:cs="Times New Roman"/>
          <w:b/>
          <w:sz w:val="28"/>
          <w:szCs w:val="28"/>
          <w:lang w:val="es-ES" w:eastAsia="es-ES"/>
        </w:rPr>
        <w:t>RESUELVE:</w:t>
      </w:r>
    </w:p>
    <w:p w:rsidR="00E21DCC" w:rsidRPr="008D2758" w:rsidRDefault="008D2758" w:rsidP="00E21DCC">
      <w:pPr>
        <w:autoSpaceDE w:val="0"/>
        <w:autoSpaceDN w:val="0"/>
        <w:adjustRightInd w:val="0"/>
        <w:spacing w:line="300" w:lineRule="atLeast"/>
        <w:jc w:val="center"/>
        <w:rPr>
          <w:rFonts w:ascii="Times New Roman" w:hAnsi="Times New Roman" w:cs="Times New Roman"/>
          <w:sz w:val="28"/>
          <w:szCs w:val="28"/>
          <w:u w:color="0000FF"/>
          <w:lang w:val="es-ES" w:eastAsia="es-ES"/>
        </w:rPr>
      </w:pPr>
    </w:p>
    <w:p w:rsidR="00E21DCC" w:rsidRPr="008D2758" w:rsidRDefault="008D2758" w:rsidP="00E21DCC">
      <w:pPr>
        <w:spacing w:line="300" w:lineRule="atLeast"/>
        <w:jc w:val="both"/>
        <w:rPr>
          <w:rFonts w:ascii="Times New Roman" w:hAnsi="Times New Roman" w:cs="Times New Roman"/>
          <w:sz w:val="28"/>
          <w:szCs w:val="28"/>
          <w:shd w:val="clear" w:color="auto" w:fill="FFFFFF"/>
          <w:lang w:val="es-ES"/>
        </w:rPr>
      </w:pPr>
      <w:bookmarkStart w:id="4" w:name="_Hlk97730239"/>
      <w:r w:rsidRPr="008D2758">
        <w:rPr>
          <w:rFonts w:ascii="Times New Roman" w:hAnsi="Times New Roman" w:cs="Times New Roman"/>
          <w:b/>
          <w:sz w:val="28"/>
          <w:szCs w:val="28"/>
          <w:lang w:val="es-ES" w:eastAsia="es-ES"/>
        </w:rPr>
        <w:t>Único.</w:t>
      </w:r>
      <w:r w:rsidRPr="008D2758">
        <w:rPr>
          <w:rFonts w:ascii="Times New Roman" w:hAnsi="Times New Roman" w:cs="Times New Roman"/>
          <w:b/>
          <w:bCs/>
          <w:sz w:val="28"/>
          <w:szCs w:val="28"/>
          <w:lang w:val="es-ES"/>
        </w:rPr>
        <w:t xml:space="preserve"> </w:t>
      </w:r>
      <w:r w:rsidRPr="008D2758">
        <w:rPr>
          <w:rFonts w:ascii="Times New Roman" w:hAnsi="Times New Roman" w:cs="Times New Roman"/>
          <w:b/>
          <w:bCs/>
          <w:sz w:val="28"/>
          <w:szCs w:val="28"/>
          <w:shd w:val="clear" w:color="auto" w:fill="FFFFFF"/>
          <w:lang w:val="es-ES"/>
        </w:rPr>
        <w:t>ESTARSE A LO RESUELTO</w:t>
      </w:r>
      <w:r w:rsidRPr="008D2758">
        <w:rPr>
          <w:rFonts w:ascii="Times New Roman" w:hAnsi="Times New Roman" w:cs="Times New Roman"/>
          <w:sz w:val="28"/>
          <w:szCs w:val="28"/>
          <w:shd w:val="clear" w:color="auto" w:fill="FFFFFF"/>
          <w:lang w:val="es-ES"/>
        </w:rPr>
        <w:t xml:space="preserve"> en la Sentencia C-397 de 2024, que declaró la inexequibilidad de la expresión “</w:t>
      </w:r>
      <w:r w:rsidRPr="008D2758">
        <w:rPr>
          <w:rFonts w:ascii="Times New Roman" w:hAnsi="Times New Roman" w:cs="Times New Roman"/>
          <w:sz w:val="28"/>
          <w:szCs w:val="28"/>
        </w:rPr>
        <w:t xml:space="preserve">e </w:t>
      </w:r>
      <w:r w:rsidRPr="008D2758">
        <w:rPr>
          <w:rFonts w:ascii="Times New Roman" w:hAnsi="Times New Roman" w:cs="Times New Roman"/>
          <w:bCs/>
          <w:sz w:val="28"/>
          <w:szCs w:val="28"/>
        </w:rPr>
        <w:t>independientemente de la fecha de comisión de la conducta punible por parte de las personas naturales” del</w:t>
      </w:r>
      <w:r w:rsidRPr="008D2758">
        <w:rPr>
          <w:rFonts w:ascii="Times New Roman" w:hAnsi="Times New Roman" w:cs="Times New Roman"/>
          <w:bCs/>
          <w:sz w:val="28"/>
          <w:szCs w:val="28"/>
        </w:rPr>
        <w:t xml:space="preserve"> artículo 8 de la Ley 2195 de 2022</w:t>
      </w:r>
      <w:r w:rsidRPr="008D2758">
        <w:rPr>
          <w:rFonts w:ascii="Times New Roman" w:hAnsi="Times New Roman" w:cs="Times New Roman"/>
          <w:sz w:val="28"/>
          <w:szCs w:val="28"/>
          <w:shd w:val="clear" w:color="auto" w:fill="FFFFFF"/>
          <w:lang w:val="es-ES"/>
        </w:rPr>
        <w:t>.</w:t>
      </w:r>
      <w:bookmarkEnd w:id="4"/>
    </w:p>
    <w:p w:rsidR="00E21DCC" w:rsidRPr="008D2758" w:rsidRDefault="008D2758" w:rsidP="00E21DCC">
      <w:pPr>
        <w:spacing w:line="300" w:lineRule="atLeast"/>
        <w:jc w:val="both"/>
        <w:rPr>
          <w:rFonts w:ascii="Times New Roman" w:hAnsi="Times New Roman" w:cs="Times New Roman"/>
          <w:sz w:val="28"/>
          <w:szCs w:val="28"/>
          <w:shd w:val="clear" w:color="auto" w:fill="FFFFFF"/>
          <w:lang w:val="es-ES"/>
        </w:rPr>
      </w:pPr>
    </w:p>
    <w:p w:rsidR="00E21DCC" w:rsidRPr="008D2758" w:rsidRDefault="008D2758" w:rsidP="00E21DCC">
      <w:pPr>
        <w:spacing w:line="300" w:lineRule="atLeast"/>
        <w:jc w:val="both"/>
        <w:rPr>
          <w:rFonts w:ascii="Times New Roman" w:hAnsi="Times New Roman" w:cs="Times New Roman"/>
          <w:sz w:val="28"/>
          <w:szCs w:val="28"/>
          <w:lang w:val="es-ES" w:eastAsia="es-ES"/>
        </w:rPr>
      </w:pPr>
      <w:r w:rsidRPr="008D2758">
        <w:rPr>
          <w:rFonts w:ascii="Times New Roman" w:hAnsi="Times New Roman" w:cs="Times New Roman"/>
          <w:sz w:val="28"/>
          <w:szCs w:val="28"/>
          <w:lang w:val="es-ES" w:eastAsia="es-ES"/>
        </w:rPr>
        <w:t>Notifíquese y cúmplase.</w:t>
      </w:r>
    </w:p>
    <w:p w:rsidR="003E37D4" w:rsidRPr="008D2758" w:rsidRDefault="008D2758" w:rsidP="00E21DCC">
      <w:pPr>
        <w:spacing w:line="300" w:lineRule="atLeast"/>
        <w:jc w:val="both"/>
        <w:rPr>
          <w:rFonts w:ascii="Times New Roman" w:hAnsi="Times New Roman" w:cs="Times New Roman"/>
          <w:sz w:val="28"/>
          <w:szCs w:val="28"/>
          <w:lang w:val="es-ES" w:eastAsia="es-ES"/>
        </w:rPr>
      </w:pPr>
    </w:p>
    <w:p w:rsidR="00A82300" w:rsidRPr="008D2758" w:rsidRDefault="008D2758" w:rsidP="00681295">
      <w:pPr>
        <w:pStyle w:val="Prrafodelista"/>
        <w:numPr>
          <w:ilvl w:val="0"/>
          <w:numId w:val="0"/>
        </w:numPr>
      </w:pPr>
    </w:p>
    <w:p w:rsidR="007A5562" w:rsidRPr="008D2758" w:rsidRDefault="008D2758" w:rsidP="00681295">
      <w:pPr>
        <w:pStyle w:val="Prrafodelista"/>
        <w:numPr>
          <w:ilvl w:val="0"/>
          <w:numId w:val="0"/>
        </w:numPr>
      </w:pPr>
    </w:p>
    <w:p w:rsidR="007A5562" w:rsidRPr="008D2758" w:rsidRDefault="008D2758" w:rsidP="00681295">
      <w:pPr>
        <w:pStyle w:val="Prrafodelista"/>
        <w:numPr>
          <w:ilvl w:val="0"/>
          <w:numId w:val="0"/>
        </w:numPr>
      </w:pPr>
    </w:p>
    <w:p w:rsidR="007A5562" w:rsidRPr="008D2758" w:rsidRDefault="008D2758" w:rsidP="007A5562">
      <w:pPr>
        <w:pStyle w:val="Prrafodelista"/>
        <w:numPr>
          <w:ilvl w:val="0"/>
          <w:numId w:val="0"/>
        </w:numPr>
        <w:jc w:val="center"/>
      </w:pPr>
      <w:r w:rsidRPr="008D2758">
        <w:t>JOSE FERNANDO REYES CUARTAS</w:t>
      </w:r>
    </w:p>
    <w:p w:rsidR="007A5562" w:rsidRPr="008D2758" w:rsidRDefault="008D2758" w:rsidP="007A5562">
      <w:pPr>
        <w:pStyle w:val="Prrafodelista"/>
        <w:numPr>
          <w:ilvl w:val="0"/>
          <w:numId w:val="0"/>
        </w:numPr>
        <w:jc w:val="center"/>
      </w:pPr>
      <w:r w:rsidRPr="008D2758">
        <w:t>Presidente</w:t>
      </w:r>
    </w:p>
    <w:p w:rsidR="007A5562" w:rsidRPr="008D2758" w:rsidRDefault="008D2758" w:rsidP="007A5562">
      <w:pPr>
        <w:pStyle w:val="Prrafodelista"/>
        <w:numPr>
          <w:ilvl w:val="0"/>
          <w:numId w:val="0"/>
        </w:numPr>
        <w:jc w:val="center"/>
      </w:pPr>
      <w:r w:rsidRPr="008D2758">
        <w:t>Presidente(a) con comisión</w:t>
      </w: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r w:rsidRPr="008D2758">
        <w:t>NATALIA ÁNGEL CABO</w:t>
      </w:r>
    </w:p>
    <w:p w:rsidR="007A5562" w:rsidRPr="008D2758" w:rsidRDefault="008D2758" w:rsidP="007A5562">
      <w:pPr>
        <w:pStyle w:val="Prrafodelista"/>
        <w:numPr>
          <w:ilvl w:val="0"/>
          <w:numId w:val="0"/>
        </w:numPr>
        <w:jc w:val="center"/>
      </w:pPr>
      <w:r w:rsidRPr="008D2758">
        <w:t>Magistrada</w:t>
      </w: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r w:rsidRPr="008D2758">
        <w:t>JUAN CARLOS CORTÉS GONZÁLEZ</w:t>
      </w:r>
    </w:p>
    <w:p w:rsidR="007A5562" w:rsidRPr="008D2758" w:rsidRDefault="008D2758" w:rsidP="007A5562">
      <w:pPr>
        <w:pStyle w:val="Prrafodelista"/>
        <w:numPr>
          <w:ilvl w:val="0"/>
          <w:numId w:val="0"/>
        </w:numPr>
        <w:jc w:val="center"/>
      </w:pPr>
      <w:r w:rsidRPr="008D2758">
        <w:t>Magistrado</w:t>
      </w:r>
    </w:p>
    <w:p w:rsidR="007A5562" w:rsidRPr="008D2758" w:rsidRDefault="008D2758" w:rsidP="007A5562">
      <w:pPr>
        <w:pStyle w:val="Prrafodelista"/>
        <w:numPr>
          <w:ilvl w:val="0"/>
          <w:numId w:val="0"/>
        </w:numPr>
        <w:jc w:val="center"/>
      </w:pPr>
      <w:r w:rsidRPr="008D2758">
        <w:t>Con impedimento aceptado</w:t>
      </w: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r w:rsidRPr="008D2758">
        <w:t>DIANA FAJARDO RIVERA</w:t>
      </w:r>
    </w:p>
    <w:p w:rsidR="007A5562" w:rsidRPr="008D2758" w:rsidRDefault="008D2758" w:rsidP="007A5562">
      <w:pPr>
        <w:pStyle w:val="Prrafodelista"/>
        <w:numPr>
          <w:ilvl w:val="0"/>
          <w:numId w:val="0"/>
        </w:numPr>
        <w:jc w:val="center"/>
      </w:pPr>
      <w:r w:rsidRPr="008D2758">
        <w:t>Magistrada</w:t>
      </w: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r w:rsidRPr="008D2758">
        <w:t>VLADIMIR FERNÁNDEZ ANDRADE</w:t>
      </w:r>
    </w:p>
    <w:p w:rsidR="007A5562" w:rsidRPr="008D2758" w:rsidRDefault="008D2758" w:rsidP="007A5562">
      <w:pPr>
        <w:pStyle w:val="Prrafodelista"/>
        <w:numPr>
          <w:ilvl w:val="0"/>
          <w:numId w:val="0"/>
        </w:numPr>
        <w:jc w:val="center"/>
      </w:pPr>
      <w:r w:rsidRPr="008D2758">
        <w:t>Magistrado</w:t>
      </w: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r w:rsidRPr="008D2758">
        <w:t xml:space="preserve">JORGE ENRIQUE IBÁÑEZ NAJAR </w:t>
      </w:r>
    </w:p>
    <w:p w:rsidR="007A5562" w:rsidRPr="008D2758" w:rsidRDefault="008D2758" w:rsidP="007A5562">
      <w:pPr>
        <w:pStyle w:val="Prrafodelista"/>
        <w:numPr>
          <w:ilvl w:val="0"/>
          <w:numId w:val="0"/>
        </w:numPr>
        <w:jc w:val="center"/>
      </w:pPr>
      <w:r w:rsidRPr="008D2758">
        <w:t>Magistrado</w:t>
      </w: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r w:rsidRPr="008D2758">
        <w:t>ANTONIO JOSÉ LIZARAZO OCAMPO</w:t>
      </w:r>
    </w:p>
    <w:p w:rsidR="007A5562" w:rsidRPr="008D2758" w:rsidRDefault="008D2758" w:rsidP="007A5562">
      <w:pPr>
        <w:pStyle w:val="Prrafodelista"/>
        <w:numPr>
          <w:ilvl w:val="0"/>
          <w:numId w:val="0"/>
        </w:numPr>
        <w:jc w:val="center"/>
      </w:pPr>
      <w:r w:rsidRPr="008D2758">
        <w:t>Magistrado</w:t>
      </w:r>
    </w:p>
    <w:p w:rsidR="007A5562" w:rsidRPr="008D2758" w:rsidRDefault="008D2758" w:rsidP="007A5562">
      <w:pPr>
        <w:pStyle w:val="Prrafodelista"/>
        <w:numPr>
          <w:ilvl w:val="0"/>
          <w:numId w:val="0"/>
        </w:numPr>
        <w:jc w:val="center"/>
      </w:pPr>
      <w:r w:rsidRPr="008D2758">
        <w:t>Con aclaración de voto</w:t>
      </w: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r w:rsidRPr="008D2758">
        <w:t>PAOLA ANDREA MENESES MOSQUERA</w:t>
      </w:r>
    </w:p>
    <w:p w:rsidR="007A5562" w:rsidRPr="008D2758" w:rsidRDefault="008D2758" w:rsidP="007A5562">
      <w:pPr>
        <w:pStyle w:val="Prrafodelista"/>
        <w:numPr>
          <w:ilvl w:val="0"/>
          <w:numId w:val="0"/>
        </w:numPr>
        <w:jc w:val="center"/>
      </w:pPr>
      <w:r w:rsidRPr="008D2758">
        <w:t>Magistrada</w:t>
      </w: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r w:rsidRPr="008D2758">
        <w:t>CRISTINA PARDO SCHLESINGER</w:t>
      </w:r>
    </w:p>
    <w:p w:rsidR="007A5562" w:rsidRPr="008D2758" w:rsidRDefault="008D2758" w:rsidP="007A5562">
      <w:pPr>
        <w:pStyle w:val="Prrafodelista"/>
        <w:numPr>
          <w:ilvl w:val="0"/>
          <w:numId w:val="0"/>
        </w:numPr>
        <w:jc w:val="center"/>
      </w:pPr>
      <w:r w:rsidRPr="008D2758">
        <w:t>Magistrada</w:t>
      </w: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p>
    <w:p w:rsidR="007A5562" w:rsidRPr="008D2758" w:rsidRDefault="008D2758" w:rsidP="007A5562">
      <w:pPr>
        <w:pStyle w:val="Prrafodelista"/>
        <w:numPr>
          <w:ilvl w:val="0"/>
          <w:numId w:val="0"/>
        </w:numPr>
        <w:jc w:val="center"/>
      </w:pPr>
      <w:r w:rsidRPr="008D2758">
        <w:t xml:space="preserve">ANDREA </w:t>
      </w:r>
      <w:r w:rsidRPr="008D2758">
        <w:t>LILIANA ROMERO LOPEZ</w:t>
      </w:r>
    </w:p>
    <w:p w:rsidR="007A5562" w:rsidRPr="008D2758" w:rsidRDefault="008D2758" w:rsidP="007A5562">
      <w:pPr>
        <w:pStyle w:val="Prrafodelista"/>
        <w:numPr>
          <w:ilvl w:val="0"/>
          <w:numId w:val="0"/>
        </w:numPr>
        <w:jc w:val="center"/>
      </w:pPr>
      <w:r w:rsidRPr="008D2758">
        <w:t>Secretaria General</w:t>
      </w:r>
    </w:p>
    <w:sectPr w:rsidR="007A5562" w:rsidRPr="008D2758">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D2758">
      <w:pPr>
        <w:spacing w:after="0" w:line="240" w:lineRule="auto"/>
      </w:pPr>
      <w:r>
        <w:separator/>
      </w:r>
    </w:p>
  </w:endnote>
  <w:endnote w:type="continuationSeparator" w:id="0">
    <w:p w:rsidR="00000000" w:rsidRDefault="008D27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A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D2758">
      <w:pPr>
        <w:spacing w:after="0" w:line="240" w:lineRule="auto"/>
      </w:pPr>
      <w:r>
        <w:separator/>
      </w:r>
    </w:p>
  </w:footnote>
  <w:footnote w:type="continuationSeparator" w:id="0">
    <w:p w:rsidR="00000000" w:rsidRDefault="008D2758">
      <w:pPr>
        <w:spacing w:after="0" w:line="240" w:lineRule="auto"/>
      </w:pPr>
      <w:r>
        <w:continuationSeparator/>
      </w:r>
    </w:p>
  </w:footnote>
  <w:footnote w:id="1">
    <w:p w:rsidR="00ED34D3" w:rsidRPr="000E160F" w:rsidRDefault="008D2758" w:rsidP="00C55AAA">
      <w:pPr>
        <w:pStyle w:val="Textonotapie"/>
        <w:jc w:val="both"/>
      </w:pPr>
      <w:r w:rsidRPr="000E160F">
        <w:rPr>
          <w:rStyle w:val="Refdenotaalpie"/>
        </w:rPr>
        <w:footnoteRef/>
      </w:r>
      <w:r w:rsidRPr="000E160F">
        <w:t xml:space="preserve"> </w:t>
      </w:r>
      <w:r w:rsidRPr="000E160F">
        <w:t>En su demanda, el accionante formuló dos cargos adicionales: violación del principio de favorabilidad y desconocimiento del derecho de defensa y de los principios de responsabilidad personal y proscripción de la re</w:t>
      </w:r>
      <w:r w:rsidRPr="000E160F">
        <w:t>sponsabilidad objetiva. En los autos del 8 y 30 de abril, respectivamente, la magistrada sustanciadora inadmitió y posteriormente rechazó tales cargos por falta de aptitud sustantiva.</w:t>
      </w:r>
    </w:p>
  </w:footnote>
  <w:footnote w:id="2">
    <w:p w:rsidR="00F503A1" w:rsidRPr="00C55AAA" w:rsidRDefault="008D2758" w:rsidP="00B62E58">
      <w:pPr>
        <w:pStyle w:val="Textonotapie"/>
        <w:jc w:val="both"/>
        <w:rPr>
          <w:lang w:val="es-MX"/>
        </w:rPr>
      </w:pPr>
      <w:r w:rsidRPr="00C55AAA">
        <w:rPr>
          <w:rStyle w:val="Refdenotaalpie"/>
        </w:rPr>
        <w:footnoteRef/>
      </w:r>
      <w:r w:rsidRPr="00C55AAA">
        <w:t xml:space="preserve"> </w:t>
      </w:r>
      <w:r w:rsidRPr="00C55AAA">
        <w:rPr>
          <w:bCs/>
          <w:lang w:val="es-ES_tradnl" w:eastAsia="es-ES"/>
        </w:rPr>
        <w:t xml:space="preserve">Agencia Nacional de Defensa Jurídica del Estado,  Superintendencia de </w:t>
      </w:r>
      <w:r w:rsidRPr="00C55AAA">
        <w:rPr>
          <w:bCs/>
          <w:lang w:val="es-ES_tradnl" w:eastAsia="es-ES"/>
        </w:rPr>
        <w:t>Sociedades, Superintendencia de Industria y Comercio, Colegio de Abogados Penalistas, Colegio de Abogados Comercialistas, Consejo Gremial Nacional, Academia Colombiana de Jurisprudencia, Asociación Nacional de Empresarios de Colombia -ANDI-</w:t>
      </w:r>
      <w:r w:rsidRPr="00C55AAA">
        <w:rPr>
          <w:lang w:eastAsia="es-ES"/>
        </w:rPr>
        <w:t xml:space="preserve">,  así como a </w:t>
      </w:r>
      <w:r w:rsidRPr="00C55AAA">
        <w:rPr>
          <w:shd w:val="clear" w:color="auto" w:fill="FFFFFF"/>
        </w:rPr>
        <w:t>la Facultad de Derecho de la Universidad de los Andes, a la Facultad de Derecho de la Universidad Externado de Colombia, a la Facultad de Ciencias Jurídicas de la Pontificia Universidad Javeriana, a la Facultad de Derecho de la Universidad Nacional de Colo</w:t>
      </w:r>
      <w:r w:rsidRPr="00C55AAA">
        <w:rPr>
          <w:shd w:val="clear" w:color="auto" w:fill="FFFFFF"/>
        </w:rPr>
        <w:t>mbia, a la Escuela de Derecho de la Universidad Sergio Arboleda, a la Facultad de Derecho de la Universidad Libre de Colombia, a la Facultad de Derecho de la Universidad Santo Tomás sede Tunja, a la Facultad de Derecho y Ciencias Políticas de la Universida</w:t>
      </w:r>
      <w:r w:rsidRPr="00C55AAA">
        <w:rPr>
          <w:shd w:val="clear" w:color="auto" w:fill="FFFFFF"/>
        </w:rPr>
        <w:t>d de Cartagena, a la Universidad del Norte, a la Facultad de Ciencias de Derecho y Ciencia Política de la Universidad Tecnológica del Chocó, a la Escuela de Derecho de la Universidad EAFIT, a la Facultad de Derecho y Ciencias Sociales de la Universidad ICE</w:t>
      </w:r>
      <w:r w:rsidRPr="00C55AAA">
        <w:rPr>
          <w:shd w:val="clear" w:color="auto" w:fill="FFFFFF"/>
        </w:rPr>
        <w:t xml:space="preserve">SI, a la Facultad de Derecho, Ciencias Políticas y Sociales de la Universidad del Cauca, a la Facultad de Ciencias Jurídicas y Políticas de la Universidad Surcolombiana y a la Facultad de Jurisprudencia de la Universidad del Rosario. </w:t>
      </w:r>
    </w:p>
  </w:footnote>
  <w:footnote w:id="3">
    <w:p w:rsidR="001B1304" w:rsidRPr="00C55AAA" w:rsidRDefault="008D2758" w:rsidP="00B62E58">
      <w:pPr>
        <w:pStyle w:val="Textonotapie"/>
        <w:jc w:val="both"/>
        <w:rPr>
          <w:lang w:val="es-CO"/>
        </w:rPr>
      </w:pPr>
      <w:r w:rsidRPr="00C55AAA">
        <w:rPr>
          <w:rStyle w:val="Refdenotaalpie"/>
        </w:rPr>
        <w:footnoteRef/>
      </w:r>
      <w:r w:rsidRPr="00C55AAA">
        <w:t xml:space="preserve"> </w:t>
      </w:r>
      <w:r w:rsidRPr="00C55AAA">
        <w:rPr>
          <w:lang w:val="es-CO"/>
        </w:rPr>
        <w:t>Expedientes D-14741</w:t>
      </w:r>
      <w:r w:rsidRPr="00C55AAA">
        <w:rPr>
          <w:lang w:val="es-CO"/>
        </w:rPr>
        <w:t xml:space="preserve"> y D-15643, en lo que se rechazaron las demandas de inconstitucionalidad, y D-14673, que culminó con sentencia C-298 de 2022, en la que la Corte se declaró inhibida para pronunciarse de fondo por ineptitud sustantiva de la demanda.</w:t>
      </w:r>
    </w:p>
  </w:footnote>
  <w:footnote w:id="4">
    <w:p w:rsidR="00070311"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Expediente digital, ar</w:t>
      </w:r>
      <w:r w:rsidRPr="00C55AAA">
        <w:rPr>
          <w:lang w:val="es-MX"/>
        </w:rPr>
        <w:t>chivo: “</w:t>
      </w:r>
      <w:hyperlink r:id="rId1" w:tgtFrame="blank" w:history="1">
        <w:r w:rsidRPr="00C55AAA">
          <w:rPr>
            <w:rStyle w:val="Hipervnculo"/>
            <w:color w:val="auto"/>
          </w:rPr>
          <w:t>Intervención Presidencia de la República</w:t>
        </w:r>
      </w:hyperlink>
      <w:r w:rsidRPr="00C55AAA">
        <w:t xml:space="preserve">”. </w:t>
      </w:r>
    </w:p>
  </w:footnote>
  <w:footnote w:id="5">
    <w:p w:rsidR="00981032"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6">
    <w:p w:rsidR="00070311"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7">
    <w:p w:rsidR="00070311"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8">
    <w:p w:rsidR="00070311"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Estudiante de consultorio jurídico de la Universidad San Buenaventura. Expediente d</w:t>
      </w:r>
      <w:r w:rsidRPr="00C55AAA">
        <w:rPr>
          <w:lang w:val="es-MX"/>
        </w:rPr>
        <w:t>igital, archivo: “</w:t>
      </w:r>
      <w:hyperlink r:id="rId2" w:tgtFrame="blank" w:history="1">
        <w:r w:rsidRPr="00C55AAA">
          <w:rPr>
            <w:rStyle w:val="Hipervnculo"/>
            <w:color w:val="auto"/>
          </w:rPr>
          <w:t>Intervención ciudadana</w:t>
        </w:r>
      </w:hyperlink>
      <w:r w:rsidRPr="00C55AAA">
        <w:t>”</w:t>
      </w:r>
    </w:p>
  </w:footnote>
  <w:footnote w:id="9">
    <w:p w:rsidR="00070311"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Archivo, expediente digital: </w:t>
      </w:r>
      <w:hyperlink r:id="rId3" w:tgtFrame="blank" w:history="1">
        <w:r w:rsidRPr="00C55AAA">
          <w:rPr>
            <w:rStyle w:val="Hipervnculo"/>
            <w:color w:val="auto"/>
          </w:rPr>
          <w:t>Intervención Agencia Nacional de Empresarios de Colombia - ANDI</w:t>
        </w:r>
      </w:hyperlink>
      <w:r w:rsidRPr="00C55AAA">
        <w:t xml:space="preserve">. </w:t>
      </w:r>
    </w:p>
  </w:footnote>
  <w:footnote w:id="10">
    <w:p w:rsidR="00070311"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11">
    <w:p w:rsidR="0033324A" w:rsidRPr="00C55AAA" w:rsidRDefault="008D2758" w:rsidP="00B62E58">
      <w:pPr>
        <w:pStyle w:val="NormalWeb"/>
        <w:spacing w:before="0" w:beforeAutospacing="0" w:after="0" w:afterAutospacing="0"/>
        <w:jc w:val="both"/>
        <w:rPr>
          <w:sz w:val="20"/>
          <w:szCs w:val="20"/>
        </w:rPr>
      </w:pPr>
      <w:r w:rsidRPr="00C55AAA">
        <w:rPr>
          <w:rStyle w:val="Refdenotaalpie"/>
          <w:sz w:val="20"/>
          <w:szCs w:val="20"/>
        </w:rPr>
        <w:footnoteRef/>
      </w:r>
      <w:r w:rsidRPr="00C55AAA">
        <w:rPr>
          <w:sz w:val="20"/>
          <w:szCs w:val="20"/>
        </w:rPr>
        <w:t xml:space="preserve"> </w:t>
      </w:r>
      <w:r w:rsidRPr="00C55AAA">
        <w:rPr>
          <w:sz w:val="20"/>
          <w:szCs w:val="20"/>
          <w:lang w:val="es-MX"/>
        </w:rPr>
        <w:t>Estudiante de consultorio jurídico de la Universidad San Buenaventura de Bogotá. Expe</w:t>
      </w:r>
      <w:r w:rsidRPr="00C55AAA">
        <w:rPr>
          <w:sz w:val="20"/>
          <w:szCs w:val="20"/>
          <w:lang w:val="es-MX"/>
        </w:rPr>
        <w:t xml:space="preserve">diente digital, archivo: </w:t>
      </w:r>
      <w:hyperlink r:id="rId4" w:tgtFrame="blank" w:history="1">
        <w:r w:rsidRPr="00C55AAA">
          <w:rPr>
            <w:sz w:val="20"/>
            <w:szCs w:val="20"/>
          </w:rPr>
          <w:br/>
        </w:r>
        <w:r w:rsidRPr="00C55AAA">
          <w:rPr>
            <w:rStyle w:val="Hipervnculo"/>
            <w:rFonts w:eastAsiaTheme="minorEastAsia"/>
            <w:color w:val="auto"/>
            <w:sz w:val="20"/>
            <w:szCs w:val="20"/>
          </w:rPr>
          <w:t>“Intervención ciudadana</w:t>
        </w:r>
      </w:hyperlink>
      <w:r w:rsidRPr="00C55AAA">
        <w:rPr>
          <w:sz w:val="20"/>
          <w:szCs w:val="20"/>
        </w:rPr>
        <w:t>”.</w:t>
      </w:r>
    </w:p>
  </w:footnote>
  <w:footnote w:id="12">
    <w:p w:rsidR="000F0310"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13">
    <w:p w:rsidR="000F0310"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14">
    <w:p w:rsidR="000F0310"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15">
    <w:p w:rsidR="000F0310"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Expediente digital, archivo: “</w:t>
      </w:r>
      <w:hyperlink r:id="rId5" w:tgtFrame="blank" w:history="1">
        <w:r w:rsidRPr="00C55AAA">
          <w:rPr>
            <w:rStyle w:val="Hipervnculo"/>
            <w:color w:val="auto"/>
          </w:rPr>
          <w:t>Intervención - Superintendencia de Industria y Comercio</w:t>
        </w:r>
      </w:hyperlink>
      <w:r w:rsidRPr="00C55AAA">
        <w:t xml:space="preserve">”. </w:t>
      </w:r>
    </w:p>
  </w:footnote>
  <w:footnote w:id="16">
    <w:p w:rsidR="000F0310"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17">
    <w:p w:rsidR="000F0310"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18">
    <w:p w:rsidR="000F0310"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19">
    <w:p w:rsidR="00CA22C7"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Expediente digital, archivo: “</w:t>
      </w:r>
      <w:hyperlink r:id="rId6" w:tgtFrame="blank" w:history="1">
        <w:r w:rsidRPr="00C55AAA">
          <w:rPr>
            <w:rStyle w:val="Hipervnculo"/>
            <w:color w:val="auto"/>
            <w:shd w:val="clear" w:color="auto" w:fill="FFFFFF"/>
          </w:rPr>
          <w:t>Intervención Universidad Pontificia Bolivariana</w:t>
        </w:r>
      </w:hyperlink>
      <w:r w:rsidRPr="00C55AAA">
        <w:t>”</w:t>
      </w:r>
    </w:p>
  </w:footnote>
  <w:footnote w:id="20">
    <w:p w:rsidR="005A1A8A"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21">
    <w:p w:rsidR="005A1A8A"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Estudiante de consultorio jurídico de la Universidad San Buenaventura. Expediente digital, archivo: “intervención ciudadana”. </w:t>
      </w:r>
    </w:p>
  </w:footnote>
  <w:footnote w:id="22">
    <w:p w:rsidR="005A1A8A"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23">
    <w:p w:rsidR="005A1A8A"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Expediente digital, archivo: “</w:t>
      </w:r>
      <w:hyperlink r:id="rId7" w:tgtFrame="blank" w:history="1">
        <w:r w:rsidRPr="00C55AAA">
          <w:rPr>
            <w:rStyle w:val="Hipervnculo"/>
            <w:color w:val="auto"/>
          </w:rPr>
          <w:t>Intervención Universidad Sergio Arboleda</w:t>
        </w:r>
      </w:hyperlink>
      <w:r w:rsidRPr="00C55AAA">
        <w:t xml:space="preserve">”. </w:t>
      </w:r>
    </w:p>
  </w:footnote>
  <w:footnote w:id="24">
    <w:p w:rsidR="005A1A8A"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25">
    <w:p w:rsidR="005A1A8A"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26">
    <w:p w:rsidR="005A1A8A"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27">
    <w:p w:rsidR="00D747AA"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Expediente digital, archivo: “</w:t>
      </w:r>
      <w:hyperlink r:id="rId8" w:tgtFrame="blank" w:history="1">
        <w:r w:rsidRPr="00C55AAA">
          <w:rPr>
            <w:rStyle w:val="Hipervnculo"/>
            <w:color w:val="auto"/>
            <w:shd w:val="clear" w:color="auto" w:fill="FFFFFF"/>
          </w:rPr>
          <w:t>Concepto - Academia Colombiana de Jurisprudencia</w:t>
        </w:r>
      </w:hyperlink>
      <w:r w:rsidRPr="00C55AAA">
        <w:t xml:space="preserve">”. </w:t>
      </w:r>
    </w:p>
  </w:footnote>
  <w:footnote w:id="28">
    <w:p w:rsidR="00D747AA"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29">
    <w:p w:rsidR="00D747AA"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30">
    <w:p w:rsidR="0038113D"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Expediente digital, archivo: “</w:t>
      </w:r>
      <w:hyperlink r:id="rId9" w:tgtFrame="blank" w:history="1">
        <w:r w:rsidRPr="00C55AAA">
          <w:rPr>
            <w:rStyle w:val="Hipervnculo"/>
            <w:color w:val="auto"/>
            <w:shd w:val="clear" w:color="auto" w:fill="FFFFFF"/>
          </w:rPr>
          <w:t>Concepto Procuradora General de la Nación</w:t>
        </w:r>
      </w:hyperlink>
      <w:r w:rsidRPr="00C55AAA">
        <w:t xml:space="preserve">”. </w:t>
      </w:r>
      <w:r w:rsidRPr="00C55AAA">
        <w:t xml:space="preserve">La </w:t>
      </w:r>
      <w:r>
        <w:t>P</w:t>
      </w:r>
      <w:r w:rsidRPr="00C55AAA">
        <w:t xml:space="preserve">rocuradora </w:t>
      </w:r>
      <w:r>
        <w:t xml:space="preserve">general de la Nación </w:t>
      </w:r>
      <w:r w:rsidRPr="00C55AAA">
        <w:t xml:space="preserve">le informó a la Corte que en el expediente D-15677 presentó el mismo concepto. </w:t>
      </w:r>
    </w:p>
  </w:footnote>
  <w:footnote w:id="31">
    <w:p w:rsidR="0038113D"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32">
    <w:p w:rsidR="0038113D"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33">
    <w:p w:rsidR="0038113D"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34">
    <w:p w:rsidR="0038113D"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35">
    <w:p w:rsidR="0038113D"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36">
    <w:p w:rsidR="0038113D"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37">
    <w:p w:rsidR="0038113D"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38">
    <w:p w:rsidR="0038113D" w:rsidRPr="00C55AAA" w:rsidRDefault="008D2758" w:rsidP="00B62E58">
      <w:pPr>
        <w:pStyle w:val="Textonotapie"/>
        <w:jc w:val="both"/>
        <w:rPr>
          <w:lang w:val="es-MX"/>
        </w:rPr>
      </w:pPr>
      <w:r w:rsidRPr="00C55AAA">
        <w:rPr>
          <w:rStyle w:val="Refdenotaalpie"/>
        </w:rPr>
        <w:footnoteRef/>
      </w:r>
      <w:r w:rsidRPr="00C55AAA">
        <w:t xml:space="preserve"> </w:t>
      </w:r>
      <w:r w:rsidRPr="00C55AAA">
        <w:rPr>
          <w:lang w:val="es-MX"/>
        </w:rPr>
        <w:t xml:space="preserve">Ib. </w:t>
      </w:r>
    </w:p>
  </w:footnote>
  <w:footnote w:id="39">
    <w:p w:rsidR="00254F9F" w:rsidRPr="00C55AAA" w:rsidRDefault="008D2758" w:rsidP="00254F9F">
      <w:pPr>
        <w:pStyle w:val="Textonotapie"/>
        <w:ind w:right="49"/>
        <w:jc w:val="both"/>
        <w:rPr>
          <w:color w:val="000000" w:themeColor="text1"/>
        </w:rPr>
      </w:pPr>
      <w:r w:rsidRPr="00C55AAA">
        <w:rPr>
          <w:rStyle w:val="Refdenotaalpie"/>
          <w:color w:val="000000" w:themeColor="text1"/>
        </w:rPr>
        <w:footnoteRef/>
      </w:r>
      <w:r w:rsidRPr="00C55AAA">
        <w:rPr>
          <w:color w:val="000000" w:themeColor="text1"/>
        </w:rPr>
        <w:t xml:space="preserve"> En este acápite, la Sala Plena tomará las consideraciones generales establecidas en las sentencias </w:t>
      </w:r>
      <w:r>
        <w:rPr>
          <w:color w:val="000000" w:themeColor="text1"/>
        </w:rPr>
        <w:t xml:space="preserve">C-458 de 2023, </w:t>
      </w:r>
      <w:r w:rsidRPr="00C55AAA">
        <w:rPr>
          <w:color w:val="000000" w:themeColor="text1"/>
        </w:rPr>
        <w:t>C-147 de 2024</w:t>
      </w:r>
      <w:r>
        <w:rPr>
          <w:color w:val="000000" w:themeColor="text1"/>
        </w:rPr>
        <w:t xml:space="preserve"> y</w:t>
      </w:r>
      <w:r w:rsidRPr="00C55AAA">
        <w:rPr>
          <w:color w:val="000000" w:themeColor="text1"/>
        </w:rPr>
        <w:t xml:space="preserve"> C-328 de 2024.</w:t>
      </w:r>
    </w:p>
  </w:footnote>
  <w:footnote w:id="40">
    <w:p w:rsidR="00217868" w:rsidRPr="00C55AAA" w:rsidRDefault="008D2758" w:rsidP="00B62E58">
      <w:pPr>
        <w:pStyle w:val="Textonotapie"/>
        <w:ind w:right="49"/>
        <w:jc w:val="both"/>
        <w:rPr>
          <w:color w:val="000000" w:themeColor="text1"/>
        </w:rPr>
      </w:pPr>
      <w:r w:rsidRPr="00C55AAA">
        <w:rPr>
          <w:rStyle w:val="Refdenotaalpie"/>
          <w:color w:val="000000" w:themeColor="text1"/>
        </w:rPr>
        <w:footnoteRef/>
      </w:r>
      <w:r w:rsidRPr="00C55AAA">
        <w:rPr>
          <w:color w:val="000000" w:themeColor="text1"/>
        </w:rPr>
        <w:t xml:space="preserve"> Ver la sentencia C-147 de 2022 en la cual se indicó lo siguiente sobre el alcance de esta categoría: “[u]na </w:t>
      </w:r>
      <w:r w:rsidRPr="00C55AAA">
        <w:rPr>
          <w:color w:val="000000" w:themeColor="text1"/>
        </w:rPr>
        <w:t>disposición o enunciado jurídico corresponde al texto en que una norma es formulada, tales como artículos, numerales o incisos, aunque estas formulaciones pueden encontrarse también en fragmentos más pequeños de un texto normativo, como oraciones o palabra</w:t>
      </w:r>
      <w:r w:rsidRPr="00C55AAA">
        <w:rPr>
          <w:color w:val="000000" w:themeColor="text1"/>
        </w:rPr>
        <w:t>s individuales, siempre que incidan en el sentido que se puede atribuir razonablemente a cada disposición”.</w:t>
      </w:r>
    </w:p>
  </w:footnote>
  <w:footnote w:id="41">
    <w:p w:rsidR="00217868" w:rsidRPr="00C55AAA" w:rsidRDefault="008D2758" w:rsidP="00B62E58">
      <w:pPr>
        <w:pStyle w:val="Textonotapie"/>
        <w:ind w:right="49"/>
        <w:jc w:val="both"/>
        <w:rPr>
          <w:color w:val="000000" w:themeColor="text1"/>
        </w:rPr>
      </w:pPr>
      <w:r w:rsidRPr="00C55AAA">
        <w:rPr>
          <w:rStyle w:val="Refdenotaalpie"/>
          <w:color w:val="000000" w:themeColor="text1"/>
        </w:rPr>
        <w:footnoteRef/>
      </w:r>
      <w:r w:rsidRPr="00C55AAA">
        <w:rPr>
          <w:color w:val="000000" w:themeColor="text1"/>
        </w:rPr>
        <w:t xml:space="preserve"> Ver la sentencia C-147 de 2022 en la cual se indicó que en la providencia</w:t>
      </w:r>
      <w:r>
        <w:rPr>
          <w:color w:val="000000" w:themeColor="text1"/>
        </w:rPr>
        <w:t xml:space="preserve"> </w:t>
      </w:r>
      <w:r w:rsidRPr="00C55AAA">
        <w:rPr>
          <w:color w:val="000000" w:themeColor="text1"/>
          <w:lang w:val="es-ES_tradnl"/>
        </w:rPr>
        <w:t>C-312 de 2017, la Corte propuso la siguiente definición de las</w:t>
      </w:r>
      <w:r>
        <w:rPr>
          <w:color w:val="000000" w:themeColor="text1"/>
          <w:lang w:val="es-ES_tradnl"/>
        </w:rPr>
        <w:t xml:space="preserve"> </w:t>
      </w:r>
      <w:r w:rsidRPr="00C55AAA">
        <w:rPr>
          <w:i/>
          <w:iCs/>
          <w:color w:val="000000" w:themeColor="text1"/>
          <w:lang w:val="es-ES_tradnl"/>
        </w:rPr>
        <w:t xml:space="preserve">normas </w:t>
      </w:r>
      <w:r w:rsidRPr="00C55AAA">
        <w:rPr>
          <w:i/>
          <w:iCs/>
          <w:color w:val="000000" w:themeColor="text1"/>
          <w:lang w:val="es-ES_tradnl"/>
        </w:rPr>
        <w:t>jurídicas</w:t>
      </w:r>
      <w:r w:rsidRPr="00C55AAA">
        <w:rPr>
          <w:color w:val="000000" w:themeColor="text1"/>
          <w:lang w:val="es-ES_tradnl"/>
        </w:rPr>
        <w:t>: “Las normas, siguiendo con esta construcción, no son los textos legales sino su significado. Ese significado, a su vez, solo puede hallarse por vía interpretativa y, en consecuencia, a un solo texto legal pueden atribuírsele (potencialmente) div</w:t>
      </w:r>
      <w:r w:rsidRPr="00C55AAA">
        <w:rPr>
          <w:color w:val="000000" w:themeColor="text1"/>
          <w:lang w:val="es-ES_tradnl"/>
        </w:rPr>
        <w:t>ersos contenidos normativos, según la forma en que cada intérprete les atribuye significado”.</w:t>
      </w:r>
    </w:p>
  </w:footnote>
  <w:footnote w:id="42">
    <w:p w:rsidR="009559D8" w:rsidRPr="009559D8" w:rsidRDefault="008D2758">
      <w:pPr>
        <w:pStyle w:val="Textonotapie"/>
        <w:rPr>
          <w:lang w:val="es-CO"/>
        </w:rPr>
      </w:pPr>
      <w:r>
        <w:rPr>
          <w:rStyle w:val="Refdenotaalpie"/>
        </w:rPr>
        <w:footnoteRef/>
      </w:r>
      <w:r>
        <w:t xml:space="preserve"> </w:t>
      </w:r>
      <w:r>
        <w:rPr>
          <w:lang w:val="es-CO"/>
        </w:rPr>
        <w:t>Sentencia C-458 de 2023.</w:t>
      </w:r>
    </w:p>
  </w:footnote>
  <w:footnote w:id="43">
    <w:p w:rsidR="001F623A" w:rsidRPr="000E160F" w:rsidRDefault="008D2758">
      <w:pPr>
        <w:pStyle w:val="Textonotapie"/>
        <w:rPr>
          <w:lang w:val="es-CO"/>
        </w:rPr>
      </w:pPr>
      <w:r w:rsidRPr="000E160F">
        <w:rPr>
          <w:rStyle w:val="Refdenotaalpie"/>
        </w:rPr>
        <w:footnoteRef/>
      </w:r>
      <w:r w:rsidRPr="000E160F">
        <w:t xml:space="preserve"> </w:t>
      </w:r>
      <w:r w:rsidRPr="000E160F">
        <w:rPr>
          <w:lang w:val="es-CO"/>
        </w:rPr>
        <w:t xml:space="preserve">El magistrado Antonio José Lizarazo Ocampo salvó su voto.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40F92"/>
    <w:multiLevelType w:val="multilevel"/>
    <w:tmpl w:val="A594B3F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6586084"/>
    <w:multiLevelType w:val="hybridMultilevel"/>
    <w:tmpl w:val="1D967D26"/>
    <w:lvl w:ilvl="0" w:tplc="C24A4416">
      <w:start w:val="1"/>
      <w:numFmt w:val="decimal"/>
      <w:pStyle w:val="Prrafodelista"/>
      <w:lvlText w:val="%1."/>
      <w:lvlJc w:val="left"/>
      <w:pPr>
        <w:ind w:left="720" w:hanging="360"/>
      </w:pPr>
      <w:rPr>
        <w:rFonts w:hint="default"/>
        <w:b w:val="0"/>
        <w:bCs w:val="0"/>
        <w:color w:val="auto"/>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8D7765"/>
    <w:multiLevelType w:val="hybridMultilevel"/>
    <w:tmpl w:val="6838A5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07B0B33"/>
    <w:multiLevelType w:val="hybridMultilevel"/>
    <w:tmpl w:val="C01EE4BE"/>
    <w:lvl w:ilvl="0" w:tplc="98BCFFF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5581"/>
    <w:rsid w:val="002F2672"/>
    <w:rsid w:val="008D2758"/>
    <w:rsid w:val="00CB55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B6378B37-DE76-4E4F-BAB2-C12A622D8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893A6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893A6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4B2E46"/>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Ordenes numeradas,Colorful List - Accent 11,Ha,List Paragraph1,lp1,Lista vistosa - Énfasis 11,List Paragraph2,List1,titulo 3,Párrafo de lista1,Bullets,Párrafo de lista2,Cuadrícula clara - Énfasis 31,Dot pt,F5 List Paragraph,No Spacing1"/>
    <w:basedOn w:val="Fundamentojurdico"/>
    <w:link w:val="PrrafodelistaCar"/>
    <w:autoRedefine/>
    <w:uiPriority w:val="34"/>
    <w:qFormat/>
    <w:rsid w:val="00D54F9C"/>
    <w:pPr>
      <w:widowControl w:val="0"/>
      <w:numPr>
        <w:numId w:val="1"/>
      </w:numPr>
      <w:autoSpaceDE w:val="0"/>
      <w:autoSpaceDN w:val="0"/>
      <w:ind w:left="0" w:firstLine="0"/>
    </w:pPr>
    <w:rPr>
      <w:lang w:val="es-U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ef. de nota al pie1,Footnote Text Ch"/>
    <w:basedOn w:val="Normal"/>
    <w:link w:val="TextonotapieCar"/>
    <w:uiPriority w:val="99"/>
    <w:unhideWhenUsed/>
    <w:qFormat/>
    <w:rsid w:val="00266AF7"/>
    <w:rPr>
      <w:rFonts w:ascii="Times New Roman" w:hAnsi="Times New Roman" w:cs="Times New Roman"/>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 Car"/>
    <w:basedOn w:val="Fuentedeprrafopredeter"/>
    <w:link w:val="Textonotapie"/>
    <w:uiPriority w:val="99"/>
    <w:qFormat/>
    <w:rsid w:val="00266AF7"/>
    <w:rPr>
      <w:rFonts w:ascii="Times New Roman" w:eastAsiaTheme="minorEastAsia" w:hAnsi="Times New Roman" w:cs="Times New Roman"/>
      <w:kern w:val="0"/>
      <w:sz w:val="20"/>
      <w:szCs w:val="20"/>
      <w:lang w:val="es-ES"/>
    </w:rPr>
  </w:style>
  <w:style w:type="character" w:customStyle="1" w:styleId="PrrafodelistaCar">
    <w:name w:val="Párrafo de lista Car"/>
    <w:aliases w:val="Ordenes numeradas Car,Colorful List - Accent 11 Car,Ha Car,List Paragraph1 Car,lp1 Car,Lista vistosa - Énfasis 11 Car,List Paragraph2 Car,List1 Car,titulo 3 Car,Párrafo de lista1 Car,Bullets Car,Párrafo de lista2 Car,Dot pt Car"/>
    <w:basedOn w:val="Fuentedeprrafopredeter"/>
    <w:link w:val="Prrafodelista"/>
    <w:uiPriority w:val="34"/>
    <w:qFormat/>
    <w:rsid w:val="00D54F9C"/>
    <w:rPr>
      <w:rFonts w:ascii="Times New Roman" w:eastAsia="Calibri" w:hAnsi="Times New Roman" w:cs="Times New Roman"/>
      <w:kern w:val="0"/>
      <w:sz w:val="28"/>
      <w:szCs w:val="28"/>
      <w:lang w:val="es-US" w:eastAsia="es-ES"/>
    </w:rPr>
  </w:style>
  <w:style w:type="paragraph" w:customStyle="1" w:styleId="Fundamentojurdico">
    <w:name w:val="Fundamento jurídico"/>
    <w:basedOn w:val="Normal"/>
    <w:link w:val="FundamentojurdicoCar"/>
    <w:autoRedefine/>
    <w:qFormat/>
    <w:rsid w:val="00266AF7"/>
    <w:pPr>
      <w:contextualSpacing/>
      <w:jc w:val="both"/>
    </w:pPr>
    <w:rPr>
      <w:rFonts w:ascii="Times New Roman" w:eastAsia="Calibri" w:hAnsi="Times New Roman" w:cs="Times New Roman"/>
      <w:sz w:val="28"/>
      <w:szCs w:val="28"/>
      <w:lang w:val="es-ES"/>
    </w:rPr>
  </w:style>
  <w:style w:type="character" w:customStyle="1" w:styleId="FundamentojurdicoCar">
    <w:name w:val="Fundamento jurídico Car"/>
    <w:basedOn w:val="Fuentedeprrafopredeter"/>
    <w:link w:val="Fundamentojurdico"/>
    <w:rsid w:val="00266AF7"/>
    <w:rPr>
      <w:rFonts w:ascii="Times New Roman" w:eastAsia="Calibri" w:hAnsi="Times New Roman" w:cs="Times New Roman"/>
      <w:kern w:val="0"/>
      <w:sz w:val="28"/>
      <w:szCs w:val="28"/>
      <w:lang w:val="es-ES"/>
    </w:rPr>
  </w:style>
  <w:style w:type="paragraph" w:styleId="Encabezado">
    <w:name w:val="header"/>
    <w:basedOn w:val="Normal"/>
    <w:link w:val="EncabezadoCar"/>
    <w:uiPriority w:val="99"/>
    <w:unhideWhenUsed/>
    <w:rsid w:val="00266AF7"/>
    <w:pPr>
      <w:tabs>
        <w:tab w:val="center" w:pos="4252"/>
        <w:tab w:val="right" w:pos="8504"/>
      </w:tabs>
    </w:pPr>
  </w:style>
  <w:style w:type="character" w:customStyle="1" w:styleId="EncabezadoCar">
    <w:name w:val="Encabezado Car"/>
    <w:basedOn w:val="Fuentedeprrafopredeter"/>
    <w:link w:val="Encabezado"/>
    <w:uiPriority w:val="99"/>
    <w:rsid w:val="00266AF7"/>
    <w:rPr>
      <w:rFonts w:eastAsiaTheme="minorEastAsia"/>
      <w:kern w:val="0"/>
      <w:lang w:val="es-CO"/>
    </w:rPr>
  </w:style>
  <w:style w:type="paragraph" w:styleId="Piedepgina">
    <w:name w:val="footer"/>
    <w:basedOn w:val="Normal"/>
    <w:link w:val="PiedepginaCar"/>
    <w:uiPriority w:val="99"/>
    <w:unhideWhenUsed/>
    <w:rsid w:val="00266AF7"/>
    <w:pPr>
      <w:tabs>
        <w:tab w:val="center" w:pos="4252"/>
        <w:tab w:val="right" w:pos="8504"/>
      </w:tabs>
    </w:pPr>
  </w:style>
  <w:style w:type="character" w:customStyle="1" w:styleId="PiedepginaCar">
    <w:name w:val="Pie de página Car"/>
    <w:basedOn w:val="Fuentedeprrafopredeter"/>
    <w:link w:val="Piedepgina"/>
    <w:uiPriority w:val="99"/>
    <w:rsid w:val="00266AF7"/>
    <w:rPr>
      <w:rFonts w:eastAsiaTheme="minorEastAsia"/>
      <w:kern w:val="0"/>
      <w:lang w:val="es-CO"/>
    </w:rPr>
  </w:style>
  <w:style w:type="character" w:styleId="Refdenotaalpie">
    <w:name w:val="footnote reference"/>
    <w:aliases w:val="Texto de nota al pie,Footnotes refss,Appel note de bas de page,Ref. de nota al pie 2,referencia nota al pie,Fago Fußnotenzeichen,Footnote number,BVI fnr,f,4_G,16 Point,Superscript 6 Point,Texto nota al pie,Footnote Reference Char3,FC"/>
    <w:basedOn w:val="Fuentedeprrafopredeter"/>
    <w:link w:val="4GChar"/>
    <w:uiPriority w:val="99"/>
    <w:unhideWhenUsed/>
    <w:qFormat/>
    <w:rsid w:val="00266AF7"/>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266AF7"/>
    <w:pPr>
      <w:jc w:val="both"/>
    </w:pPr>
    <w:rPr>
      <w:rFonts w:eastAsiaTheme="minorHAnsi"/>
      <w:kern w:val="2"/>
      <w:vertAlign w:val="superscript"/>
    </w:rPr>
  </w:style>
  <w:style w:type="paragraph" w:styleId="Sinespaciado">
    <w:name w:val="No Spacing"/>
    <w:uiPriority w:val="1"/>
    <w:qFormat/>
    <w:rsid w:val="00266AF7"/>
    <w:rPr>
      <w:lang w:val="es-ES"/>
    </w:rPr>
  </w:style>
  <w:style w:type="table" w:styleId="Tablaconcuadrcula">
    <w:name w:val="Table Grid"/>
    <w:basedOn w:val="Tablanormal"/>
    <w:uiPriority w:val="39"/>
    <w:rsid w:val="00266A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04401"/>
    <w:rPr>
      <w:color w:val="0563C1" w:themeColor="hyperlink"/>
      <w:u w:val="single"/>
    </w:rPr>
  </w:style>
  <w:style w:type="paragraph" w:customStyle="1" w:styleId="Piedepagina">
    <w:name w:val="Pie de pagina"/>
    <w:aliases w:val="Ref. de nota al pie2"/>
    <w:basedOn w:val="Normal"/>
    <w:rsid w:val="001D1B04"/>
    <w:pPr>
      <w:spacing w:line="240" w:lineRule="exact"/>
    </w:pPr>
    <w:rPr>
      <w:rFonts w:eastAsia="Calibri"/>
      <w:vertAlign w:val="superscript"/>
    </w:rPr>
  </w:style>
  <w:style w:type="character" w:styleId="Refdecomentario">
    <w:name w:val="annotation reference"/>
    <w:basedOn w:val="Fuentedeprrafopredeter"/>
    <w:uiPriority w:val="99"/>
    <w:semiHidden/>
    <w:unhideWhenUsed/>
    <w:rsid w:val="005A556F"/>
    <w:rPr>
      <w:sz w:val="16"/>
      <w:szCs w:val="16"/>
    </w:rPr>
  </w:style>
  <w:style w:type="paragraph" w:styleId="Textocomentario">
    <w:name w:val="annotation text"/>
    <w:basedOn w:val="Normal"/>
    <w:link w:val="TextocomentarioCar"/>
    <w:uiPriority w:val="99"/>
    <w:unhideWhenUsed/>
    <w:rsid w:val="005A556F"/>
    <w:rPr>
      <w:sz w:val="20"/>
      <w:szCs w:val="20"/>
    </w:rPr>
  </w:style>
  <w:style w:type="character" w:customStyle="1" w:styleId="TextocomentarioCar">
    <w:name w:val="Texto comentario Car"/>
    <w:basedOn w:val="Fuentedeprrafopredeter"/>
    <w:link w:val="Textocomentario"/>
    <w:uiPriority w:val="99"/>
    <w:rsid w:val="005A556F"/>
    <w:rPr>
      <w:rFonts w:eastAsiaTheme="minorEastAsia"/>
      <w:kern w:val="0"/>
      <w:sz w:val="20"/>
      <w:szCs w:val="20"/>
    </w:rPr>
  </w:style>
  <w:style w:type="paragraph" w:styleId="Asuntodelcomentario">
    <w:name w:val="annotation subject"/>
    <w:basedOn w:val="Textocomentario"/>
    <w:next w:val="Textocomentario"/>
    <w:link w:val="AsuntodelcomentarioCar"/>
    <w:uiPriority w:val="99"/>
    <w:semiHidden/>
    <w:unhideWhenUsed/>
    <w:rsid w:val="005A556F"/>
    <w:rPr>
      <w:b/>
      <w:bCs/>
    </w:rPr>
  </w:style>
  <w:style w:type="character" w:customStyle="1" w:styleId="AsuntodelcomentarioCar">
    <w:name w:val="Asunto del comentario Car"/>
    <w:basedOn w:val="TextocomentarioCar"/>
    <w:link w:val="Asuntodelcomentario"/>
    <w:uiPriority w:val="99"/>
    <w:semiHidden/>
    <w:rsid w:val="005A556F"/>
    <w:rPr>
      <w:rFonts w:eastAsiaTheme="minorEastAsia"/>
      <w:b/>
      <w:bCs/>
      <w:kern w:val="0"/>
      <w:sz w:val="20"/>
      <w:szCs w:val="20"/>
    </w:rPr>
  </w:style>
  <w:style w:type="paragraph" w:styleId="NormalWeb">
    <w:name w:val="Normal (Web)"/>
    <w:basedOn w:val="Normal"/>
    <w:uiPriority w:val="99"/>
    <w:unhideWhenUsed/>
    <w:rsid w:val="004716E5"/>
    <w:pPr>
      <w:spacing w:before="100" w:beforeAutospacing="1" w:after="100" w:afterAutospacing="1"/>
    </w:pPr>
    <w:rPr>
      <w:rFonts w:ascii="Times New Roman" w:eastAsia="Times New Roman" w:hAnsi="Times New Roman" w:cs="Times New Roman"/>
    </w:rPr>
  </w:style>
  <w:style w:type="character" w:customStyle="1" w:styleId="baj">
    <w:name w:val="b_aj"/>
    <w:basedOn w:val="Fuentedeprrafopredeter"/>
    <w:rsid w:val="004716E5"/>
  </w:style>
  <w:style w:type="paragraph" w:customStyle="1" w:styleId="centrado">
    <w:name w:val="centrado"/>
    <w:basedOn w:val="Normal"/>
    <w:rsid w:val="004716E5"/>
    <w:pPr>
      <w:spacing w:before="100" w:beforeAutospacing="1" w:after="100" w:afterAutospacing="1"/>
    </w:pPr>
    <w:rPr>
      <w:rFonts w:ascii="Times New Roman" w:eastAsia="Times New Roman" w:hAnsi="Times New Roman" w:cs="Times New Roman"/>
    </w:rPr>
  </w:style>
  <w:style w:type="paragraph" w:styleId="Textodeglobo">
    <w:name w:val="Balloon Text"/>
    <w:basedOn w:val="Normal"/>
    <w:link w:val="TextodegloboCar"/>
    <w:uiPriority w:val="99"/>
    <w:semiHidden/>
    <w:unhideWhenUsed/>
    <w:rsid w:val="0025051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5051F"/>
    <w:rPr>
      <w:rFonts w:ascii="Segoe UI" w:eastAsiaTheme="minorEastAsia" w:hAnsi="Segoe UI" w:cs="Segoe UI"/>
      <w:kern w:val="0"/>
      <w:sz w:val="18"/>
      <w:szCs w:val="18"/>
    </w:rPr>
  </w:style>
  <w:style w:type="character" w:customStyle="1" w:styleId="Mencinsinresolver1">
    <w:name w:val="Mención sin resolver1"/>
    <w:basedOn w:val="Fuentedeprrafopredeter"/>
    <w:uiPriority w:val="99"/>
    <w:semiHidden/>
    <w:unhideWhenUsed/>
    <w:rsid w:val="00816AA2"/>
    <w:rPr>
      <w:color w:val="605E5C"/>
      <w:shd w:val="clear" w:color="auto" w:fill="E1DFDD"/>
    </w:rPr>
  </w:style>
  <w:style w:type="paragraph" w:styleId="Revisin">
    <w:name w:val="Revision"/>
    <w:hidden/>
    <w:uiPriority w:val="99"/>
    <w:semiHidden/>
    <w:rsid w:val="003A2BA1"/>
  </w:style>
  <w:style w:type="paragraph" w:customStyle="1" w:styleId="paragraph">
    <w:name w:val="paragraph"/>
    <w:basedOn w:val="Normal"/>
    <w:rsid w:val="00FA0341"/>
    <w:pPr>
      <w:spacing w:before="100" w:beforeAutospacing="1" w:after="100" w:afterAutospacing="1"/>
    </w:pPr>
    <w:rPr>
      <w:rFonts w:ascii="Times New Roman" w:eastAsia="Times New Roman" w:hAnsi="Times New Roman" w:cs="Times New Roman"/>
    </w:rPr>
  </w:style>
  <w:style w:type="character" w:customStyle="1" w:styleId="eop">
    <w:name w:val="eop"/>
    <w:basedOn w:val="Fuentedeprrafopredeter"/>
    <w:rsid w:val="00FA0341"/>
  </w:style>
  <w:style w:type="character" w:customStyle="1" w:styleId="normaltextrun">
    <w:name w:val="normaltextrun"/>
    <w:basedOn w:val="Fuentedeprrafopredeter"/>
    <w:rsid w:val="00FA0341"/>
  </w:style>
  <w:style w:type="character" w:customStyle="1" w:styleId="superscript">
    <w:name w:val="superscript"/>
    <w:basedOn w:val="Fuentedeprrafopredeter"/>
    <w:rsid w:val="00FA0341"/>
  </w:style>
  <w:style w:type="character" w:customStyle="1" w:styleId="Mencinsinresolver2">
    <w:name w:val="Mención sin resolver2"/>
    <w:basedOn w:val="Fuentedeprrafopredeter"/>
    <w:uiPriority w:val="99"/>
    <w:semiHidden/>
    <w:unhideWhenUsed/>
    <w:rsid w:val="00B543FA"/>
    <w:rPr>
      <w:color w:val="605E5C"/>
      <w:shd w:val="clear" w:color="auto" w:fill="E1DFDD"/>
    </w:rPr>
  </w:style>
  <w:style w:type="paragraph" w:customStyle="1" w:styleId="Default">
    <w:name w:val="Default"/>
    <w:rsid w:val="006B65A9"/>
    <w:pPr>
      <w:autoSpaceDE w:val="0"/>
      <w:autoSpaceDN w:val="0"/>
      <w:adjustRightInd w:val="0"/>
    </w:pPr>
    <w:rPr>
      <w:rFonts w:ascii="Times New Roman" w:hAnsi="Times New Roman" w:cs="Times New Roman"/>
      <w:color w:val="000000"/>
    </w:rPr>
  </w:style>
  <w:style w:type="character" w:styleId="Hipervnculovisitado">
    <w:name w:val="FollowedHyperlink"/>
    <w:basedOn w:val="Fuentedeprrafopredeter"/>
    <w:uiPriority w:val="99"/>
    <w:semiHidden/>
    <w:unhideWhenUsed/>
    <w:rsid w:val="005306E4"/>
    <w:rPr>
      <w:color w:val="954F72" w:themeColor="followedHyperlink"/>
      <w:u w:val="single"/>
    </w:rPr>
  </w:style>
  <w:style w:type="character" w:customStyle="1" w:styleId="Mencinsinresolver3">
    <w:name w:val="Mención sin resolver3"/>
    <w:basedOn w:val="Fuentedeprrafopredeter"/>
    <w:uiPriority w:val="99"/>
    <w:semiHidden/>
    <w:unhideWhenUsed/>
    <w:rsid w:val="00E95D89"/>
    <w:rPr>
      <w:color w:val="605E5C"/>
      <w:shd w:val="clear" w:color="auto" w:fill="E1DFDD"/>
    </w:rPr>
  </w:style>
  <w:style w:type="paragraph" w:customStyle="1" w:styleId="Sombreadovistoso-nfasis31">
    <w:name w:val="Sombreado vistoso - Énfasis 31"/>
    <w:basedOn w:val="Normal"/>
    <w:uiPriority w:val="34"/>
    <w:qFormat/>
    <w:rsid w:val="00E95D89"/>
    <w:pPr>
      <w:widowControl w:val="0"/>
      <w:ind w:left="720"/>
      <w:contextualSpacing/>
      <w:jc w:val="both"/>
    </w:pPr>
    <w:rPr>
      <w:rFonts w:ascii="Times New Roman" w:eastAsia="Times New Roman" w:hAnsi="Times New Roman" w:cs="Times New Roman"/>
      <w:color w:val="000000"/>
      <w:sz w:val="28"/>
      <w:szCs w:val="28"/>
      <w:lang w:val="es-ES" w:eastAsia="es-ES"/>
    </w:rPr>
  </w:style>
  <w:style w:type="paragraph" w:styleId="Descripcin">
    <w:name w:val="caption"/>
    <w:basedOn w:val="Normal"/>
    <w:next w:val="Normal"/>
    <w:uiPriority w:val="99"/>
    <w:qFormat/>
    <w:rsid w:val="00B33A33"/>
    <w:pPr>
      <w:overflowPunct w:val="0"/>
      <w:autoSpaceDE w:val="0"/>
      <w:autoSpaceDN w:val="0"/>
      <w:adjustRightInd w:val="0"/>
      <w:ind w:right="51"/>
      <w:jc w:val="center"/>
      <w:textAlignment w:val="baseline"/>
    </w:pPr>
    <w:rPr>
      <w:rFonts w:ascii="Times New Roman" w:eastAsia="Times New Roman" w:hAnsi="Times New Roman" w:cs="Times New Roman"/>
      <w:b/>
      <w:caps/>
      <w:sz w:val="28"/>
      <w:szCs w:val="20"/>
      <w:lang w:val="es-ES" w:eastAsia="es-ES"/>
    </w:rPr>
  </w:style>
  <w:style w:type="character" w:customStyle="1" w:styleId="TextonotapieCar1">
    <w:name w:val="Texto nota pie Car1"/>
    <w:aliases w:val="Ref. de nota al pie1 Car2,4_G Car,16 Point Car,Superscript 6 Point Car,Texto nota al pie Car,Footnote Reference Char3 Car,Footnote Reference Char1 Char Car,Ref1 Car,Ref11 Car,Footnote number Car1,BVI fnr Car1,Nota de pie Car,R Car"/>
    <w:uiPriority w:val="99"/>
    <w:locked/>
    <w:rsid w:val="00681295"/>
    <w:rPr>
      <w:rFonts w:eastAsia="SimSun" w:cs="Mangal"/>
      <w:kern w:val="1"/>
      <w:lang w:eastAsia="es-CO" w:bidi="hi-IN"/>
    </w:rPr>
  </w:style>
  <w:style w:type="character" w:customStyle="1" w:styleId="Ttulo1Car">
    <w:name w:val="Título 1 Car"/>
    <w:basedOn w:val="Fuentedeprrafopredeter"/>
    <w:link w:val="Ttulo1"/>
    <w:uiPriority w:val="9"/>
    <w:rsid w:val="00893A6A"/>
    <w:rPr>
      <w:rFonts w:asciiTheme="majorHAnsi" w:eastAsiaTheme="majorEastAsia" w:hAnsiTheme="majorHAnsi" w:cstheme="majorBidi"/>
      <w:color w:val="2E74B5" w:themeColor="accent1" w:themeShade="BF"/>
      <w:kern w:val="0"/>
      <w:sz w:val="32"/>
      <w:szCs w:val="32"/>
    </w:rPr>
  </w:style>
  <w:style w:type="character" w:customStyle="1" w:styleId="Ttulo2Car">
    <w:name w:val="Título 2 Car"/>
    <w:basedOn w:val="Fuentedeprrafopredeter"/>
    <w:link w:val="Ttulo2"/>
    <w:uiPriority w:val="9"/>
    <w:rsid w:val="00893A6A"/>
    <w:rPr>
      <w:rFonts w:asciiTheme="majorHAnsi" w:eastAsiaTheme="majorEastAsia" w:hAnsiTheme="majorHAnsi" w:cstheme="majorBidi"/>
      <w:color w:val="2E74B5" w:themeColor="accent1" w:themeShade="BF"/>
      <w:kern w:val="0"/>
      <w:sz w:val="26"/>
      <w:szCs w:val="26"/>
    </w:rPr>
  </w:style>
  <w:style w:type="character" w:customStyle="1" w:styleId="Ttulo3Car">
    <w:name w:val="Título 3 Car"/>
    <w:basedOn w:val="Fuentedeprrafopredeter"/>
    <w:link w:val="Ttulo3"/>
    <w:uiPriority w:val="9"/>
    <w:rsid w:val="004B2E46"/>
    <w:rPr>
      <w:rFonts w:asciiTheme="majorHAnsi" w:eastAsiaTheme="majorEastAsia" w:hAnsiTheme="majorHAnsi" w:cstheme="majorBidi"/>
      <w:color w:val="1F4D78" w:themeColor="accent1" w:themeShade="7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corteconstitucional.gov.co/secretaria/archivo.php?id=82688" TargetMode="External"/><Relationship Id="rId3" Type="http://schemas.openxmlformats.org/officeDocument/2006/relationships/hyperlink" Target="https://www.corteconstitucional.gov.co/secretaria/archivo.php?id=82898" TargetMode="External"/><Relationship Id="rId7" Type="http://schemas.openxmlformats.org/officeDocument/2006/relationships/hyperlink" Target="https://www.corteconstitucional.gov.co/secretaria/archivo.php?id=82979" TargetMode="External"/><Relationship Id="rId2" Type="http://schemas.openxmlformats.org/officeDocument/2006/relationships/hyperlink" Target="https://www.corteconstitucional.gov.co/secretaria/archivo.php?id=82878" TargetMode="External"/><Relationship Id="rId1" Type="http://schemas.openxmlformats.org/officeDocument/2006/relationships/hyperlink" Target="https://www.corteconstitucional.gov.co/secretaria/archivo.php?id=82899" TargetMode="External"/><Relationship Id="rId6" Type="http://schemas.openxmlformats.org/officeDocument/2006/relationships/hyperlink" Target="https://www.corteconstitucional.gov.co/secretaria/archivo.php?id=82891" TargetMode="External"/><Relationship Id="rId5" Type="http://schemas.openxmlformats.org/officeDocument/2006/relationships/hyperlink" Target="https://www.corteconstitucional.gov.co/secretaria/archivo.php?id=82990" TargetMode="External"/><Relationship Id="rId4" Type="http://schemas.openxmlformats.org/officeDocument/2006/relationships/hyperlink" Target="https://www.corteconstitucional.gov.co/secretaria/archivo.php?id=82877" TargetMode="External"/><Relationship Id="rId9" Type="http://schemas.openxmlformats.org/officeDocument/2006/relationships/hyperlink" Target="https://www.corteconstitucional.gov.co/secretaria/archivo.php?id=8419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5079</Words>
  <Characters>27936</Characters>
  <Application>Microsoft Office Word</Application>
  <DocSecurity>0</DocSecurity>
  <Lines>232</Lines>
  <Paragraphs>65</Paragraphs>
  <ScaleCrop>false</ScaleCrop>
  <Company/>
  <LinksUpToDate>false</LinksUpToDate>
  <CharactersWithSpaces>32950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2024-12-11T20:47:00Z</dcterms:created>
  <dcterms:modified xsi:type="dcterms:W3CDTF">2024-12-11T20:47:00Z</dcterms:modified>
</cp:coreProperties>
</file>