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67E" w:rsidRPr="00442E1D" w:rsidRDefault="00F30E4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442E1D">
        <w:rPr>
          <w:rFonts w:ascii="Times New Roman" w:hAnsi="Times New Roman" w:cs="Times New Roman"/>
          <w:sz w:val="28"/>
          <w:szCs w:val="24"/>
        </w:rPr>
        <w:t xml:space="preserve"> </w:t>
      </w:r>
    </w:p>
    <w:p w:rsidR="0059567E" w:rsidRPr="00442E1D" w:rsidRDefault="0059567E">
      <w:pPr>
        <w:widowControl w:val="0"/>
        <w:autoSpaceDE w:val="0"/>
        <w:autoSpaceDN w:val="0"/>
        <w:adjustRightInd w:val="0"/>
        <w:spacing w:after="0" w:line="240" w:lineRule="auto"/>
        <w:rPr>
          <w:rFonts w:ascii="Times New Roman" w:hAnsi="Times New Roman" w:cs="Times New Roman"/>
          <w:sz w:val="28"/>
          <w:szCs w:val="28"/>
        </w:rPr>
      </w:pPr>
    </w:p>
    <w:p w:rsidR="0059567E" w:rsidRPr="00442E1D" w:rsidRDefault="00F30E43">
      <w:pPr>
        <w:widowControl w:val="0"/>
        <w:autoSpaceDE w:val="0"/>
        <w:autoSpaceDN w:val="0"/>
        <w:adjustRightInd w:val="0"/>
        <w:spacing w:after="0" w:line="240" w:lineRule="auto"/>
        <w:jc w:val="center"/>
        <w:rPr>
          <w:rFonts w:ascii="Times New Roman" w:hAnsi="Times New Roman" w:cs="Times New Roman"/>
          <w:b/>
          <w:bCs/>
          <w:sz w:val="28"/>
          <w:szCs w:val="28"/>
        </w:rPr>
      </w:pPr>
      <w:r w:rsidRPr="00442E1D">
        <w:rPr>
          <w:rFonts w:ascii="Times New Roman" w:hAnsi="Times New Roman" w:cs="Times New Roman"/>
          <w:b/>
          <w:bCs/>
          <w:sz w:val="28"/>
          <w:szCs w:val="28"/>
        </w:rPr>
        <w:t xml:space="preserve">TEMAS-SUBTEMAS </w:t>
      </w:r>
    </w:p>
    <w:p w:rsidR="0059567E" w:rsidRPr="00442E1D" w:rsidRDefault="0059567E">
      <w:pPr>
        <w:widowControl w:val="0"/>
        <w:autoSpaceDE w:val="0"/>
        <w:autoSpaceDN w:val="0"/>
        <w:adjustRightInd w:val="0"/>
        <w:spacing w:after="0" w:line="240" w:lineRule="auto"/>
        <w:jc w:val="center"/>
        <w:rPr>
          <w:rFonts w:ascii="Times New Roman" w:hAnsi="Times New Roman" w:cs="Times New Roman"/>
          <w:b/>
          <w:bCs/>
          <w:sz w:val="28"/>
          <w:szCs w:val="28"/>
        </w:rPr>
      </w:pPr>
    </w:p>
    <w:p w:rsidR="0059567E" w:rsidRPr="00442E1D" w:rsidRDefault="00F30E43">
      <w:pPr>
        <w:widowControl w:val="0"/>
        <w:autoSpaceDE w:val="0"/>
        <w:autoSpaceDN w:val="0"/>
        <w:adjustRightInd w:val="0"/>
        <w:spacing w:after="0" w:line="240" w:lineRule="auto"/>
        <w:jc w:val="center"/>
        <w:rPr>
          <w:rFonts w:ascii="Times New Roman" w:hAnsi="Times New Roman" w:cs="Times New Roman"/>
          <w:sz w:val="28"/>
          <w:szCs w:val="28"/>
        </w:rPr>
      </w:pPr>
      <w:r w:rsidRPr="00442E1D">
        <w:rPr>
          <w:rFonts w:ascii="Times New Roman" w:hAnsi="Times New Roman" w:cs="Times New Roman"/>
          <w:b/>
          <w:bCs/>
          <w:sz w:val="28"/>
          <w:szCs w:val="28"/>
        </w:rPr>
        <w:t xml:space="preserve">Sentencia C-463/24 </w:t>
      </w:r>
    </w:p>
    <w:p w:rsidR="0059567E" w:rsidRPr="00442E1D" w:rsidRDefault="0059567E">
      <w:pPr>
        <w:widowControl w:val="0"/>
        <w:autoSpaceDE w:val="0"/>
        <w:autoSpaceDN w:val="0"/>
        <w:adjustRightInd w:val="0"/>
        <w:spacing w:after="0" w:line="240" w:lineRule="auto"/>
        <w:jc w:val="both"/>
        <w:rPr>
          <w:rFonts w:ascii="Times New Roman" w:hAnsi="Times New Roman" w:cs="Times New Roman"/>
          <w:sz w:val="28"/>
          <w:szCs w:val="28"/>
        </w:rPr>
      </w:pPr>
    </w:p>
    <w:p w:rsidR="0059567E" w:rsidRPr="00442E1D" w:rsidRDefault="00F30E43">
      <w:pPr>
        <w:widowControl w:val="0"/>
        <w:autoSpaceDE w:val="0"/>
        <w:autoSpaceDN w:val="0"/>
        <w:adjustRightInd w:val="0"/>
        <w:spacing w:after="0" w:line="240" w:lineRule="auto"/>
        <w:jc w:val="both"/>
        <w:rPr>
          <w:rFonts w:ascii="Times New Roman" w:hAnsi="Times New Roman" w:cs="Times New Roman"/>
          <w:sz w:val="28"/>
          <w:szCs w:val="28"/>
        </w:rPr>
      </w:pPr>
      <w:r w:rsidRPr="00442E1D">
        <w:rPr>
          <w:rFonts w:ascii="Times New Roman" w:hAnsi="Times New Roman" w:cs="Times New Roman"/>
          <w:b/>
          <w:bCs/>
          <w:sz w:val="28"/>
          <w:szCs w:val="28"/>
        </w:rPr>
        <w:t>INHIBICION DE LA CORTE CONSTITUCIONAL POR INEPTITUD SUSTANTIVA DE LA DEMANDA</w:t>
      </w:r>
      <w:r w:rsidRPr="00442E1D">
        <w:rPr>
          <w:rFonts w:ascii="Times New Roman" w:hAnsi="Times New Roman" w:cs="Times New Roman"/>
          <w:sz w:val="28"/>
          <w:szCs w:val="28"/>
        </w:rPr>
        <w:t xml:space="preserve">-Incumplimiento de requisitos de certeza, pertinencia y suficiencia en los cargos </w:t>
      </w:r>
    </w:p>
    <w:p w:rsidR="0059567E" w:rsidRPr="00442E1D" w:rsidRDefault="0059567E">
      <w:pPr>
        <w:widowControl w:val="0"/>
        <w:autoSpaceDE w:val="0"/>
        <w:autoSpaceDN w:val="0"/>
        <w:adjustRightInd w:val="0"/>
        <w:spacing w:after="0" w:line="240" w:lineRule="auto"/>
        <w:jc w:val="both"/>
        <w:rPr>
          <w:rFonts w:ascii="Times New Roman" w:hAnsi="Times New Roman" w:cs="Times New Roman"/>
          <w:sz w:val="28"/>
          <w:szCs w:val="28"/>
        </w:rPr>
      </w:pPr>
    </w:p>
    <w:p w:rsidR="0059567E" w:rsidRPr="00442E1D" w:rsidRDefault="00F30E43">
      <w:pPr>
        <w:widowControl w:val="0"/>
        <w:autoSpaceDE w:val="0"/>
        <w:autoSpaceDN w:val="0"/>
        <w:adjustRightInd w:val="0"/>
        <w:spacing w:after="0" w:line="240" w:lineRule="auto"/>
        <w:jc w:val="both"/>
        <w:rPr>
          <w:rFonts w:ascii="Times New Roman" w:hAnsi="Times New Roman" w:cs="Times New Roman"/>
          <w:sz w:val="28"/>
          <w:szCs w:val="28"/>
        </w:rPr>
      </w:pPr>
      <w:r w:rsidRPr="00442E1D">
        <w:rPr>
          <w:rFonts w:ascii="Times New Roman" w:hAnsi="Times New Roman" w:cs="Times New Roman"/>
          <w:b/>
          <w:bCs/>
          <w:sz w:val="28"/>
          <w:szCs w:val="28"/>
        </w:rPr>
        <w:t>DEMANDA DE INCONSTITUCIONALIDAD</w:t>
      </w:r>
      <w:r w:rsidRPr="00442E1D">
        <w:rPr>
          <w:rFonts w:ascii="Times New Roman" w:hAnsi="Times New Roman" w:cs="Times New Roman"/>
          <w:sz w:val="28"/>
          <w:szCs w:val="28"/>
        </w:rPr>
        <w:t xml:space="preserve">-Interpretación aislada que desconoce el contexto normativo de la disposición acusada </w:t>
      </w:r>
    </w:p>
    <w:p w:rsidR="0059567E" w:rsidRPr="00442E1D" w:rsidRDefault="0059567E">
      <w:pPr>
        <w:widowControl w:val="0"/>
        <w:autoSpaceDE w:val="0"/>
        <w:autoSpaceDN w:val="0"/>
        <w:adjustRightInd w:val="0"/>
        <w:spacing w:after="0" w:line="240" w:lineRule="auto"/>
        <w:jc w:val="both"/>
        <w:rPr>
          <w:rFonts w:ascii="Times New Roman" w:hAnsi="Times New Roman" w:cs="Times New Roman"/>
          <w:sz w:val="28"/>
          <w:szCs w:val="28"/>
        </w:rPr>
      </w:pPr>
    </w:p>
    <w:p w:rsidR="0059567E" w:rsidRPr="00442E1D" w:rsidRDefault="00F30E43">
      <w:pPr>
        <w:widowControl w:val="0"/>
        <w:autoSpaceDE w:val="0"/>
        <w:autoSpaceDN w:val="0"/>
        <w:adjustRightInd w:val="0"/>
        <w:spacing w:after="0" w:line="240" w:lineRule="auto"/>
        <w:jc w:val="both"/>
        <w:rPr>
          <w:rFonts w:ascii="Times New Roman" w:hAnsi="Times New Roman" w:cs="Times New Roman"/>
          <w:sz w:val="28"/>
          <w:szCs w:val="28"/>
        </w:rPr>
      </w:pPr>
      <w:r w:rsidRPr="00442E1D">
        <w:rPr>
          <w:rFonts w:ascii="Times New Roman" w:hAnsi="Times New Roman" w:cs="Times New Roman"/>
          <w:b/>
          <w:bCs/>
          <w:sz w:val="28"/>
          <w:szCs w:val="28"/>
        </w:rPr>
        <w:t>COEFICIENTES DE COPROPIEDAD EN MATERIA DE RESPONSABILIDAD EN LAS EXPENSAS COMUNES</w:t>
      </w:r>
      <w:r w:rsidRPr="00442E1D">
        <w:rPr>
          <w:rFonts w:ascii="Times New Roman" w:hAnsi="Times New Roman" w:cs="Times New Roman"/>
          <w:sz w:val="28"/>
          <w:szCs w:val="28"/>
        </w:rPr>
        <w:t xml:space="preserve">-Criterio general de proporcionalidad al área de cada inmueble </w:t>
      </w:r>
    </w:p>
    <w:p w:rsidR="0059567E" w:rsidRPr="00442E1D" w:rsidRDefault="0059567E">
      <w:pPr>
        <w:widowControl w:val="0"/>
        <w:autoSpaceDE w:val="0"/>
        <w:autoSpaceDN w:val="0"/>
        <w:adjustRightInd w:val="0"/>
        <w:spacing w:after="0" w:line="240" w:lineRule="auto"/>
        <w:jc w:val="both"/>
        <w:rPr>
          <w:rFonts w:ascii="Times New Roman" w:hAnsi="Times New Roman" w:cs="Times New Roman"/>
          <w:sz w:val="28"/>
          <w:szCs w:val="28"/>
        </w:rPr>
      </w:pPr>
    </w:p>
    <w:p w:rsidR="0059567E" w:rsidRPr="00442E1D" w:rsidRDefault="00442E1D">
      <w:pPr>
        <w:widowControl w:val="0"/>
        <w:autoSpaceDE w:val="0"/>
        <w:autoSpaceDN w:val="0"/>
        <w:adjustRightInd w:val="0"/>
        <w:spacing w:after="0" w:line="240" w:lineRule="auto"/>
        <w:jc w:val="both"/>
        <w:rPr>
          <w:rFonts w:ascii="Times New Roman" w:hAnsi="Times New Roman" w:cs="Times New Roman"/>
          <w:sz w:val="28"/>
        </w:rPr>
      </w:pPr>
      <w:r w:rsidRPr="00442E1D">
        <w:rPr>
          <w:rFonts w:ascii="Times New Roman" w:hAnsi="Times New Roman" w:cs="Times New Roman"/>
          <w:sz w:val="28"/>
          <w:szCs w:val="28"/>
        </w:rPr>
        <w:pict>
          <v:rect id="_x0000_i1025" style="width:0;height:1.5pt" o:hralign="center" o:hrstd="t" o:hr="t" fillcolor="#a0a0a0" stroked="f"/>
        </w:pict>
      </w:r>
    </w:p>
    <w:p w:rsidR="00CA505F" w:rsidRPr="00442E1D" w:rsidRDefault="00442E1D" w:rsidP="003F7D77">
      <w:pPr>
        <w:ind w:right="49"/>
        <w:jc w:val="center"/>
        <w:rPr>
          <w:rFonts w:ascii="Times New Roman" w:hAnsi="Times New Roman" w:cs="Times New Roman"/>
          <w:b/>
          <w:sz w:val="28"/>
          <w:szCs w:val="28"/>
          <w:lang w:eastAsia="es-ES"/>
        </w:rPr>
      </w:pPr>
      <w:r w:rsidRPr="00442E1D">
        <w:rPr>
          <w:rFonts w:ascii="Times New Roman" w:hAnsi="Times New Roman" w:cs="Times New Roman"/>
          <w:b/>
          <w:sz w:val="28"/>
          <w:szCs w:val="28"/>
          <w:lang w:eastAsia="es-ES"/>
        </w:rPr>
        <w:t>REPÚBLICA DE COLOMBIA</w:t>
      </w:r>
    </w:p>
    <w:p w:rsidR="00CA505F" w:rsidRPr="00442E1D" w:rsidRDefault="00442E1D" w:rsidP="003F7D77">
      <w:pPr>
        <w:ind w:right="11"/>
        <w:jc w:val="center"/>
        <w:rPr>
          <w:rFonts w:ascii="Times New Roman" w:hAnsi="Times New Roman" w:cs="Times New Roman"/>
          <w:b/>
          <w:sz w:val="28"/>
          <w:szCs w:val="28"/>
        </w:rPr>
      </w:pPr>
      <w:r w:rsidRPr="00442E1D">
        <w:rPr>
          <w:rFonts w:ascii="Times New Roman" w:hAnsi="Times New Roman" w:cs="Times New Roman"/>
          <w:b/>
          <w:noProof/>
          <w:sz w:val="28"/>
          <w:szCs w:val="28"/>
        </w:rPr>
        <w:drawing>
          <wp:inline distT="0" distB="0" distL="0" distR="0" wp14:anchorId="5ED1C6DA" wp14:editId="30C67236">
            <wp:extent cx="792000" cy="792000"/>
            <wp:effectExtent l="0" t="0" r="8255" b="8255"/>
            <wp:docPr id="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7"/>
                    <a:stretch>
                      <a:fillRect/>
                    </a:stretch>
                  </pic:blipFill>
                  <pic:spPr>
                    <a:xfrm>
                      <a:off x="0" y="0"/>
                      <a:ext cx="792000" cy="792000"/>
                    </a:xfrm>
                    <a:prstGeom prst="rect">
                      <a:avLst/>
                    </a:prstGeom>
                  </pic:spPr>
                </pic:pic>
              </a:graphicData>
            </a:graphic>
          </wp:inline>
        </w:drawing>
      </w:r>
    </w:p>
    <w:p w:rsidR="00CA505F" w:rsidRPr="00442E1D" w:rsidRDefault="00442E1D" w:rsidP="003F7D77">
      <w:pPr>
        <w:ind w:right="11"/>
        <w:jc w:val="center"/>
        <w:rPr>
          <w:rFonts w:ascii="Times New Roman" w:hAnsi="Times New Roman" w:cs="Times New Roman"/>
          <w:b/>
          <w:sz w:val="28"/>
          <w:szCs w:val="28"/>
        </w:rPr>
      </w:pPr>
      <w:r w:rsidRPr="00442E1D">
        <w:rPr>
          <w:rFonts w:ascii="Times New Roman" w:hAnsi="Times New Roman" w:cs="Times New Roman"/>
          <w:b/>
          <w:sz w:val="28"/>
          <w:szCs w:val="28"/>
        </w:rPr>
        <w:t>CORTE CONS</w:t>
      </w:r>
      <w:r w:rsidRPr="00442E1D">
        <w:rPr>
          <w:rFonts w:ascii="Times New Roman" w:hAnsi="Times New Roman" w:cs="Times New Roman"/>
          <w:b/>
          <w:sz w:val="28"/>
          <w:szCs w:val="28"/>
        </w:rPr>
        <w:t>TITUCIONAL</w:t>
      </w:r>
    </w:p>
    <w:p w:rsidR="00CA505F" w:rsidRPr="00442E1D" w:rsidRDefault="00442E1D" w:rsidP="003F7D77">
      <w:pPr>
        <w:ind w:right="11"/>
        <w:jc w:val="center"/>
        <w:rPr>
          <w:rFonts w:ascii="Times New Roman" w:hAnsi="Times New Roman" w:cs="Times New Roman"/>
          <w:b/>
          <w:sz w:val="28"/>
          <w:szCs w:val="28"/>
        </w:rPr>
      </w:pPr>
      <w:r w:rsidRPr="00442E1D">
        <w:rPr>
          <w:rFonts w:ascii="Times New Roman" w:hAnsi="Times New Roman" w:cs="Times New Roman"/>
          <w:b/>
          <w:sz w:val="28"/>
          <w:szCs w:val="28"/>
        </w:rPr>
        <w:t>Sala Plena</w:t>
      </w:r>
    </w:p>
    <w:p w:rsidR="00601841" w:rsidRPr="00442E1D" w:rsidRDefault="00442E1D" w:rsidP="003F7D77">
      <w:pPr>
        <w:ind w:right="11"/>
        <w:jc w:val="center"/>
        <w:rPr>
          <w:rFonts w:ascii="Times New Roman" w:hAnsi="Times New Roman" w:cs="Times New Roman"/>
          <w:b/>
          <w:sz w:val="28"/>
          <w:szCs w:val="28"/>
        </w:rPr>
      </w:pPr>
    </w:p>
    <w:p w:rsidR="00601841" w:rsidRPr="00442E1D" w:rsidRDefault="00442E1D" w:rsidP="003F7D77">
      <w:pPr>
        <w:ind w:right="11"/>
        <w:jc w:val="center"/>
        <w:rPr>
          <w:rFonts w:ascii="Times New Roman" w:hAnsi="Times New Roman" w:cs="Times New Roman"/>
          <w:b/>
          <w:sz w:val="28"/>
          <w:szCs w:val="28"/>
        </w:rPr>
      </w:pPr>
      <w:r w:rsidRPr="00442E1D">
        <w:rPr>
          <w:rFonts w:ascii="Times New Roman" w:hAnsi="Times New Roman" w:cs="Times New Roman"/>
          <w:b/>
          <w:sz w:val="28"/>
          <w:szCs w:val="28"/>
        </w:rPr>
        <w:t>SENTENCIA C-</w:t>
      </w:r>
      <w:r w:rsidRPr="00442E1D">
        <w:rPr>
          <w:rFonts w:ascii="Times New Roman" w:hAnsi="Times New Roman" w:cs="Times New Roman"/>
          <w:b/>
          <w:sz w:val="28"/>
          <w:szCs w:val="28"/>
        </w:rPr>
        <w:t>463</w:t>
      </w:r>
      <w:r w:rsidRPr="00442E1D">
        <w:rPr>
          <w:rFonts w:ascii="Times New Roman" w:hAnsi="Times New Roman" w:cs="Times New Roman"/>
          <w:b/>
          <w:sz w:val="28"/>
          <w:szCs w:val="28"/>
        </w:rPr>
        <w:t xml:space="preserve"> </w:t>
      </w:r>
      <w:r w:rsidRPr="00442E1D">
        <w:rPr>
          <w:rFonts w:ascii="Times New Roman" w:hAnsi="Times New Roman" w:cs="Times New Roman"/>
          <w:b/>
          <w:sz w:val="28"/>
          <w:szCs w:val="28"/>
        </w:rPr>
        <w:t>de 202</w:t>
      </w:r>
      <w:r w:rsidRPr="00442E1D">
        <w:rPr>
          <w:rFonts w:ascii="Times New Roman" w:hAnsi="Times New Roman" w:cs="Times New Roman"/>
          <w:b/>
          <w:sz w:val="28"/>
          <w:szCs w:val="28"/>
        </w:rPr>
        <w:t>4</w:t>
      </w:r>
    </w:p>
    <w:p w:rsidR="006D4874" w:rsidRPr="00442E1D" w:rsidRDefault="00442E1D" w:rsidP="003F7D77">
      <w:pPr>
        <w:ind w:right="51"/>
        <w:jc w:val="both"/>
        <w:rPr>
          <w:rFonts w:ascii="Times New Roman" w:hAnsi="Times New Roman" w:cs="Times New Roman"/>
          <w:b/>
          <w:sz w:val="28"/>
          <w:szCs w:val="28"/>
        </w:rPr>
      </w:pPr>
    </w:p>
    <w:p w:rsidR="009B6FF4" w:rsidRPr="00442E1D" w:rsidRDefault="00442E1D" w:rsidP="003F7D77">
      <w:pPr>
        <w:ind w:right="51"/>
        <w:jc w:val="both"/>
        <w:rPr>
          <w:rFonts w:ascii="Times New Roman" w:hAnsi="Times New Roman" w:cs="Times New Roman"/>
          <w:b/>
          <w:sz w:val="28"/>
          <w:szCs w:val="28"/>
        </w:rPr>
      </w:pPr>
    </w:p>
    <w:p w:rsidR="006D4874" w:rsidRPr="00442E1D" w:rsidRDefault="00442E1D" w:rsidP="003F7D77">
      <w:pPr>
        <w:ind w:left="3828" w:right="51"/>
        <w:jc w:val="both"/>
        <w:rPr>
          <w:rFonts w:ascii="Times New Roman" w:hAnsi="Times New Roman" w:cs="Times New Roman"/>
          <w:sz w:val="28"/>
          <w:szCs w:val="28"/>
        </w:rPr>
      </w:pPr>
      <w:r w:rsidRPr="00442E1D">
        <w:rPr>
          <w:rFonts w:ascii="Times New Roman" w:hAnsi="Times New Roman" w:cs="Times New Roman"/>
          <w:b/>
          <w:bCs/>
          <w:sz w:val="28"/>
          <w:szCs w:val="28"/>
        </w:rPr>
        <w:t>Referencia</w:t>
      </w:r>
      <w:r w:rsidRPr="00442E1D">
        <w:rPr>
          <w:rFonts w:ascii="Times New Roman" w:hAnsi="Times New Roman" w:cs="Times New Roman"/>
          <w:sz w:val="28"/>
          <w:szCs w:val="28"/>
        </w:rPr>
        <w:t>: Expediente D-1</w:t>
      </w:r>
      <w:r w:rsidRPr="00442E1D">
        <w:rPr>
          <w:rFonts w:ascii="Times New Roman" w:hAnsi="Times New Roman" w:cs="Times New Roman"/>
          <w:sz w:val="28"/>
          <w:szCs w:val="28"/>
        </w:rPr>
        <w:t>5.</w:t>
      </w:r>
      <w:r w:rsidRPr="00442E1D">
        <w:rPr>
          <w:rFonts w:ascii="Times New Roman" w:hAnsi="Times New Roman" w:cs="Times New Roman"/>
          <w:sz w:val="28"/>
          <w:szCs w:val="28"/>
        </w:rPr>
        <w:t>718</w:t>
      </w:r>
    </w:p>
    <w:p w:rsidR="00AD0CAD" w:rsidRPr="00442E1D" w:rsidRDefault="00442E1D" w:rsidP="003F7D77">
      <w:pPr>
        <w:ind w:left="3828" w:right="51"/>
        <w:jc w:val="both"/>
        <w:rPr>
          <w:rFonts w:ascii="Times New Roman" w:hAnsi="Times New Roman" w:cs="Times New Roman"/>
          <w:sz w:val="28"/>
          <w:szCs w:val="28"/>
        </w:rPr>
      </w:pPr>
    </w:p>
    <w:p w:rsidR="006D4874" w:rsidRPr="00442E1D" w:rsidRDefault="00442E1D" w:rsidP="003F7D77">
      <w:pPr>
        <w:tabs>
          <w:tab w:val="left" w:pos="3969"/>
        </w:tabs>
        <w:ind w:left="3828" w:right="51"/>
        <w:jc w:val="both"/>
        <w:rPr>
          <w:rFonts w:ascii="Times New Roman" w:hAnsi="Times New Roman" w:cs="Times New Roman"/>
          <w:sz w:val="28"/>
          <w:szCs w:val="28"/>
          <w:lang w:val="es-ES_tradnl"/>
        </w:rPr>
      </w:pPr>
      <w:r w:rsidRPr="00442E1D">
        <w:rPr>
          <w:rFonts w:ascii="Times New Roman" w:hAnsi="Times New Roman" w:cs="Times New Roman"/>
          <w:b/>
          <w:bCs/>
          <w:sz w:val="28"/>
          <w:szCs w:val="28"/>
        </w:rPr>
        <w:t>Asunto</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d</w:t>
      </w:r>
      <w:r w:rsidRPr="00442E1D">
        <w:rPr>
          <w:rFonts w:ascii="Times New Roman" w:hAnsi="Times New Roman" w:cs="Times New Roman"/>
          <w:sz w:val="28"/>
          <w:szCs w:val="28"/>
        </w:rPr>
        <w:t>emanda de inconstitucionalidad contra el artículo 29 (parcial) de la Ley 675 de 2001</w:t>
      </w:r>
      <w:r w:rsidRPr="00442E1D">
        <w:rPr>
          <w:rStyle w:val="Refdenotaalpie"/>
          <w:rFonts w:ascii="Times New Roman" w:hAnsi="Times New Roman" w:cs="Times New Roman"/>
          <w:bCs/>
          <w:sz w:val="28"/>
          <w:szCs w:val="28"/>
        </w:rPr>
        <w:footnoteReference w:id="1"/>
      </w:r>
      <w:r w:rsidRPr="00442E1D">
        <w:rPr>
          <w:rFonts w:ascii="Times New Roman" w:hAnsi="Times New Roman" w:cs="Times New Roman"/>
          <w:sz w:val="28"/>
          <w:szCs w:val="28"/>
        </w:rPr>
        <w:t>.</w:t>
      </w:r>
    </w:p>
    <w:p w:rsidR="00AD0CAD" w:rsidRPr="00442E1D" w:rsidRDefault="00442E1D" w:rsidP="003F7D77">
      <w:pPr>
        <w:tabs>
          <w:tab w:val="left" w:pos="3969"/>
        </w:tabs>
        <w:ind w:left="3828" w:right="51"/>
        <w:jc w:val="both"/>
        <w:rPr>
          <w:rFonts w:ascii="Times New Roman" w:hAnsi="Times New Roman" w:cs="Times New Roman"/>
          <w:sz w:val="28"/>
          <w:szCs w:val="28"/>
        </w:rPr>
      </w:pPr>
    </w:p>
    <w:p w:rsidR="006D4874" w:rsidRPr="00442E1D" w:rsidRDefault="00442E1D" w:rsidP="003F7D77">
      <w:pPr>
        <w:tabs>
          <w:tab w:val="left" w:pos="3969"/>
        </w:tabs>
        <w:ind w:left="3828" w:right="51"/>
        <w:jc w:val="both"/>
        <w:rPr>
          <w:rFonts w:ascii="Times New Roman" w:hAnsi="Times New Roman" w:cs="Times New Roman"/>
          <w:sz w:val="28"/>
          <w:szCs w:val="28"/>
        </w:rPr>
      </w:pPr>
      <w:r w:rsidRPr="00442E1D">
        <w:rPr>
          <w:rFonts w:ascii="Times New Roman" w:hAnsi="Times New Roman" w:cs="Times New Roman"/>
          <w:b/>
          <w:bCs/>
          <w:sz w:val="28"/>
          <w:szCs w:val="28"/>
        </w:rPr>
        <w:t>Demandante:</w:t>
      </w:r>
      <w:r w:rsidRPr="00442E1D">
        <w:rPr>
          <w:rFonts w:ascii="Times New Roman" w:hAnsi="Times New Roman" w:cs="Times New Roman"/>
          <w:sz w:val="28"/>
          <w:szCs w:val="28"/>
        </w:rPr>
        <w:t xml:space="preserve"> </w:t>
      </w:r>
      <w:r w:rsidRPr="00442E1D">
        <w:rPr>
          <w:rFonts w:ascii="Times New Roman" w:hAnsi="Times New Roman" w:cs="Times New Roman"/>
          <w:sz w:val="28"/>
          <w:szCs w:val="28"/>
          <w:lang w:val="es-ES_tradnl"/>
        </w:rPr>
        <w:t>Jeisson Andrés Vásquez Torres</w:t>
      </w:r>
    </w:p>
    <w:p w:rsidR="009B6FF4" w:rsidRPr="00442E1D" w:rsidRDefault="00442E1D" w:rsidP="003F7D77">
      <w:pPr>
        <w:tabs>
          <w:tab w:val="left" w:pos="3969"/>
        </w:tabs>
        <w:ind w:left="3828" w:right="51"/>
        <w:jc w:val="both"/>
        <w:rPr>
          <w:rFonts w:ascii="Times New Roman" w:hAnsi="Times New Roman" w:cs="Times New Roman"/>
          <w:sz w:val="28"/>
          <w:szCs w:val="28"/>
        </w:rPr>
      </w:pPr>
    </w:p>
    <w:p w:rsidR="004378FE" w:rsidRPr="00442E1D" w:rsidRDefault="00442E1D" w:rsidP="003F7D77">
      <w:pPr>
        <w:tabs>
          <w:tab w:val="left" w:pos="3969"/>
        </w:tabs>
        <w:ind w:left="3828" w:right="51"/>
        <w:jc w:val="both"/>
        <w:rPr>
          <w:rFonts w:ascii="Times New Roman" w:hAnsi="Times New Roman" w:cs="Times New Roman"/>
          <w:sz w:val="28"/>
          <w:szCs w:val="28"/>
        </w:rPr>
      </w:pPr>
      <w:r w:rsidRPr="00442E1D">
        <w:rPr>
          <w:rFonts w:ascii="Times New Roman" w:hAnsi="Times New Roman" w:cs="Times New Roman"/>
          <w:b/>
          <w:bCs/>
          <w:sz w:val="28"/>
          <w:szCs w:val="28"/>
        </w:rPr>
        <w:t xml:space="preserve">Magistrado </w:t>
      </w:r>
      <w:r w:rsidRPr="00442E1D">
        <w:rPr>
          <w:rFonts w:ascii="Times New Roman" w:hAnsi="Times New Roman" w:cs="Times New Roman"/>
          <w:b/>
          <w:bCs/>
          <w:sz w:val="28"/>
          <w:szCs w:val="28"/>
        </w:rPr>
        <w:t>S</w:t>
      </w:r>
      <w:r w:rsidRPr="00442E1D">
        <w:rPr>
          <w:rFonts w:ascii="Times New Roman" w:hAnsi="Times New Roman" w:cs="Times New Roman"/>
          <w:b/>
          <w:bCs/>
          <w:sz w:val="28"/>
          <w:szCs w:val="28"/>
        </w:rPr>
        <w:t>ustanciador</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p>
    <w:p w:rsidR="006D4874" w:rsidRPr="00442E1D" w:rsidRDefault="00442E1D" w:rsidP="003F7D77">
      <w:pPr>
        <w:tabs>
          <w:tab w:val="left" w:pos="3969"/>
        </w:tabs>
        <w:ind w:left="3828" w:right="51"/>
        <w:jc w:val="both"/>
        <w:rPr>
          <w:rFonts w:ascii="Times New Roman" w:hAnsi="Times New Roman" w:cs="Times New Roman"/>
          <w:sz w:val="28"/>
          <w:szCs w:val="28"/>
        </w:rPr>
      </w:pPr>
      <w:r w:rsidRPr="00442E1D">
        <w:rPr>
          <w:rFonts w:ascii="Times New Roman" w:hAnsi="Times New Roman" w:cs="Times New Roman"/>
          <w:sz w:val="28"/>
          <w:szCs w:val="28"/>
        </w:rPr>
        <w:t xml:space="preserve">ANTONIO </w:t>
      </w:r>
      <w:r w:rsidRPr="00442E1D">
        <w:rPr>
          <w:rFonts w:ascii="Times New Roman" w:hAnsi="Times New Roman" w:cs="Times New Roman"/>
          <w:sz w:val="28"/>
          <w:szCs w:val="28"/>
        </w:rPr>
        <w:t>JOSÉ LIZARAZO OCAMPO</w:t>
      </w:r>
    </w:p>
    <w:p w:rsidR="006D4874" w:rsidRPr="00442E1D" w:rsidRDefault="00442E1D" w:rsidP="003F7D77">
      <w:pPr>
        <w:ind w:right="51"/>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8768"/>
      </w:tblGrid>
      <w:tr w:rsidR="00C97FE9" w:rsidRPr="00442E1D" w:rsidTr="006D222C">
        <w:tc>
          <w:tcPr>
            <w:tcW w:w="8768" w:type="dxa"/>
          </w:tcPr>
          <w:p w:rsidR="00AF17E0" w:rsidRPr="00442E1D" w:rsidRDefault="00442E1D" w:rsidP="00AF17E0">
            <w:pPr>
              <w:ind w:right="-93" w:firstLine="3544"/>
              <w:jc w:val="both"/>
              <w:rPr>
                <w:color w:val="auto"/>
                <w:sz w:val="28"/>
                <w:szCs w:val="24"/>
              </w:rPr>
            </w:pPr>
            <w:r w:rsidRPr="00442E1D">
              <w:rPr>
                <w:b/>
                <w:bCs/>
                <w:color w:val="auto"/>
                <w:sz w:val="28"/>
                <w:szCs w:val="24"/>
              </w:rPr>
              <w:t xml:space="preserve">Síntesis de la </w:t>
            </w:r>
            <w:r w:rsidRPr="00442E1D">
              <w:rPr>
                <w:b/>
                <w:bCs/>
                <w:color w:val="auto"/>
                <w:sz w:val="28"/>
                <w:szCs w:val="24"/>
              </w:rPr>
              <w:t>d</w:t>
            </w:r>
            <w:r w:rsidRPr="00442E1D">
              <w:rPr>
                <w:b/>
                <w:bCs/>
                <w:color w:val="auto"/>
                <w:sz w:val="28"/>
                <w:szCs w:val="24"/>
              </w:rPr>
              <w:t xml:space="preserve">ecisión. </w:t>
            </w:r>
            <w:r w:rsidRPr="00442E1D">
              <w:rPr>
                <w:color w:val="auto"/>
                <w:sz w:val="28"/>
                <w:szCs w:val="24"/>
              </w:rPr>
              <w:t>El ciudadano Jeisson Andrés Vásquez Torres demand</w:t>
            </w:r>
            <w:r w:rsidRPr="00442E1D">
              <w:rPr>
                <w:color w:val="auto"/>
                <w:sz w:val="28"/>
                <w:szCs w:val="24"/>
              </w:rPr>
              <w:t>a</w:t>
            </w:r>
            <w:r w:rsidRPr="00442E1D">
              <w:rPr>
                <w:color w:val="auto"/>
                <w:sz w:val="28"/>
                <w:szCs w:val="24"/>
              </w:rPr>
              <w:t xml:space="preserve"> la expresión “de acuerdo con el reglamento de propiedad horizontal”, contenida en el artículo 29 de la Ley 675 de 2001, por su presunta incompatibilidad con los principios constitucionales de solidaridad (artículo 1) e igualdad (artículo 13). Según indic</w:t>
            </w:r>
            <w:r w:rsidRPr="00442E1D">
              <w:rPr>
                <w:color w:val="auto"/>
                <w:sz w:val="28"/>
                <w:szCs w:val="24"/>
              </w:rPr>
              <w:t>a</w:t>
            </w:r>
            <w:r w:rsidRPr="00442E1D">
              <w:rPr>
                <w:color w:val="auto"/>
                <w:sz w:val="28"/>
                <w:szCs w:val="24"/>
              </w:rPr>
              <w:t>, este apartado permite que los reglamentos de propiedad horizontal introduzcan excepciones o restricciones al pago de las expensas comunes necesarias, lo cual, en su opinión, desvirtúa la naturaleza imperativa de la obligación de contribuir a dichas expen</w:t>
            </w:r>
            <w:r w:rsidRPr="00442E1D">
              <w:rPr>
                <w:color w:val="auto"/>
                <w:sz w:val="28"/>
                <w:szCs w:val="24"/>
              </w:rPr>
              <w:t>sas, de conformidad con los coeficientes de copropiedad (en los edificios o conjuntos residenciales) o con los módulos de contribución (en los edificios o conjuntos comerciales o mixtos</w:t>
            </w:r>
            <w:r w:rsidRPr="00442E1D">
              <w:rPr>
                <w:color w:val="auto"/>
                <w:sz w:val="28"/>
                <w:szCs w:val="24"/>
              </w:rPr>
              <w:t>), como lo establece la misma ley</w:t>
            </w:r>
            <w:r w:rsidRPr="00442E1D">
              <w:rPr>
                <w:color w:val="auto"/>
                <w:sz w:val="28"/>
                <w:szCs w:val="24"/>
              </w:rPr>
              <w:t>. Esta situación, argument</w:t>
            </w:r>
            <w:r w:rsidRPr="00442E1D">
              <w:rPr>
                <w:color w:val="auto"/>
                <w:sz w:val="28"/>
                <w:szCs w:val="24"/>
              </w:rPr>
              <w:t>a</w:t>
            </w:r>
            <w:r w:rsidRPr="00442E1D">
              <w:rPr>
                <w:color w:val="auto"/>
                <w:sz w:val="28"/>
                <w:szCs w:val="24"/>
              </w:rPr>
              <w:t>, podría ll</w:t>
            </w:r>
            <w:r w:rsidRPr="00442E1D">
              <w:rPr>
                <w:color w:val="auto"/>
                <w:sz w:val="28"/>
                <w:szCs w:val="24"/>
              </w:rPr>
              <w:t>evar a que ciertos propietarios, especialmente los desarrolladores o propietarios iniciales, se eximan de su responsabilidad de contribuir en igualdad de condiciones</w:t>
            </w:r>
            <w:r w:rsidRPr="00442E1D">
              <w:rPr>
                <w:color w:val="auto"/>
                <w:sz w:val="28"/>
                <w:szCs w:val="24"/>
              </w:rPr>
              <w:t xml:space="preserve">, contrariando de esa manera </w:t>
            </w:r>
            <w:r w:rsidRPr="00442E1D">
              <w:rPr>
                <w:color w:val="auto"/>
                <w:sz w:val="28"/>
                <w:szCs w:val="24"/>
              </w:rPr>
              <w:t>los principios constitucionales de solidaridad e igualdad.</w:t>
            </w:r>
          </w:p>
          <w:p w:rsidR="00AF17E0" w:rsidRPr="00442E1D" w:rsidRDefault="00442E1D" w:rsidP="00AF17E0">
            <w:pPr>
              <w:ind w:right="-93" w:firstLine="3544"/>
              <w:jc w:val="both"/>
              <w:rPr>
                <w:color w:val="auto"/>
                <w:sz w:val="28"/>
                <w:szCs w:val="24"/>
              </w:rPr>
            </w:pPr>
          </w:p>
          <w:p w:rsidR="00CC111E" w:rsidRPr="00442E1D" w:rsidRDefault="00442E1D" w:rsidP="00AF17E0">
            <w:pPr>
              <w:ind w:right="-93"/>
              <w:jc w:val="both"/>
              <w:rPr>
                <w:color w:val="auto"/>
                <w:sz w:val="28"/>
                <w:szCs w:val="24"/>
              </w:rPr>
            </w:pPr>
            <w:r w:rsidRPr="00442E1D">
              <w:rPr>
                <w:color w:val="auto"/>
                <w:sz w:val="28"/>
                <w:szCs w:val="24"/>
              </w:rPr>
              <w:t>La</w:t>
            </w:r>
            <w:r w:rsidRPr="00442E1D">
              <w:rPr>
                <w:color w:val="auto"/>
                <w:sz w:val="28"/>
                <w:szCs w:val="24"/>
              </w:rPr>
              <w:t xml:space="preserve"> Sala se inhib</w:t>
            </w:r>
            <w:r w:rsidRPr="00442E1D">
              <w:rPr>
                <w:color w:val="auto"/>
                <w:sz w:val="28"/>
                <w:szCs w:val="24"/>
              </w:rPr>
              <w:t>e</w:t>
            </w:r>
            <w:r w:rsidRPr="00442E1D">
              <w:rPr>
                <w:color w:val="auto"/>
                <w:sz w:val="28"/>
                <w:szCs w:val="24"/>
              </w:rPr>
              <w:t xml:space="preserve"> de emitir una decisión de fondo, ya que, como lo plantearon algunos intervinientes y el Viceprocurador General de la Nación, la demanda carec</w:t>
            </w:r>
            <w:r w:rsidRPr="00442E1D">
              <w:rPr>
                <w:color w:val="auto"/>
                <w:sz w:val="28"/>
                <w:szCs w:val="24"/>
              </w:rPr>
              <w:t>e</w:t>
            </w:r>
            <w:r w:rsidRPr="00442E1D">
              <w:rPr>
                <w:color w:val="auto"/>
                <w:sz w:val="28"/>
                <w:szCs w:val="24"/>
              </w:rPr>
              <w:t xml:space="preserve"> de </w:t>
            </w:r>
            <w:r w:rsidRPr="00442E1D">
              <w:rPr>
                <w:i/>
                <w:iCs/>
                <w:color w:val="auto"/>
                <w:sz w:val="28"/>
                <w:szCs w:val="24"/>
              </w:rPr>
              <w:t>certeza</w:t>
            </w:r>
            <w:r w:rsidRPr="00442E1D">
              <w:rPr>
                <w:color w:val="auto"/>
                <w:sz w:val="28"/>
                <w:szCs w:val="24"/>
              </w:rPr>
              <w:t xml:space="preserve">, en la medida en que el punto de partida de la acusación </w:t>
            </w:r>
            <w:r w:rsidRPr="00442E1D">
              <w:rPr>
                <w:color w:val="auto"/>
                <w:sz w:val="28"/>
                <w:szCs w:val="24"/>
              </w:rPr>
              <w:t>desconocía el contexto normat</w:t>
            </w:r>
            <w:r w:rsidRPr="00442E1D">
              <w:rPr>
                <w:color w:val="auto"/>
                <w:sz w:val="28"/>
                <w:szCs w:val="24"/>
              </w:rPr>
              <w:t>ivo en el que se inserta la disposición demandada</w:t>
            </w:r>
            <w:r w:rsidRPr="00442E1D">
              <w:rPr>
                <w:color w:val="auto"/>
                <w:sz w:val="28"/>
                <w:szCs w:val="24"/>
              </w:rPr>
              <w:t>. En efecto, según precis</w:t>
            </w:r>
            <w:r w:rsidRPr="00442E1D">
              <w:rPr>
                <w:color w:val="auto"/>
                <w:sz w:val="28"/>
                <w:szCs w:val="24"/>
              </w:rPr>
              <w:t>ó la Sala</w:t>
            </w:r>
            <w:r w:rsidRPr="00442E1D">
              <w:rPr>
                <w:color w:val="auto"/>
                <w:sz w:val="28"/>
                <w:szCs w:val="24"/>
              </w:rPr>
              <w:t xml:space="preserve">, la expresión que se acusa, interpretada de manera sistemática, no </w:t>
            </w:r>
            <w:r w:rsidRPr="00442E1D">
              <w:rPr>
                <w:color w:val="auto"/>
                <w:sz w:val="28"/>
                <w:szCs w:val="24"/>
              </w:rPr>
              <w:t xml:space="preserve">autoriza </w:t>
            </w:r>
            <w:r w:rsidRPr="00442E1D">
              <w:rPr>
                <w:color w:val="auto"/>
                <w:sz w:val="28"/>
                <w:szCs w:val="24"/>
              </w:rPr>
              <w:t xml:space="preserve">a </w:t>
            </w:r>
            <w:r w:rsidRPr="00442E1D">
              <w:rPr>
                <w:color w:val="auto"/>
                <w:sz w:val="28"/>
                <w:szCs w:val="24"/>
              </w:rPr>
              <w:t xml:space="preserve">los copropietarios, en particular, a los desarrolladores de proyectos inmobiliarios o propietarios iniciales, </w:t>
            </w:r>
            <w:r w:rsidRPr="00442E1D">
              <w:rPr>
                <w:color w:val="auto"/>
                <w:sz w:val="28"/>
                <w:szCs w:val="24"/>
              </w:rPr>
              <w:t xml:space="preserve">a establecer </w:t>
            </w:r>
            <w:r w:rsidRPr="00442E1D">
              <w:rPr>
                <w:color w:val="auto"/>
                <w:sz w:val="28"/>
                <w:szCs w:val="24"/>
              </w:rPr>
              <w:t xml:space="preserve">cláusulas en el reglamento que los exonere total o parcialmente de contribuir al pago de las expensas comunes. Además, </w:t>
            </w:r>
            <w:r w:rsidRPr="00442E1D">
              <w:rPr>
                <w:color w:val="auto"/>
                <w:sz w:val="28"/>
                <w:szCs w:val="24"/>
              </w:rPr>
              <w:t>indicó la Sala</w:t>
            </w:r>
            <w:r w:rsidRPr="00442E1D">
              <w:rPr>
                <w:color w:val="auto"/>
                <w:sz w:val="28"/>
                <w:szCs w:val="24"/>
              </w:rPr>
              <w:t xml:space="preserve"> </w:t>
            </w:r>
            <w:r w:rsidRPr="00442E1D">
              <w:rPr>
                <w:color w:val="auto"/>
                <w:sz w:val="28"/>
                <w:szCs w:val="24"/>
              </w:rPr>
              <w:t xml:space="preserve">que </w:t>
            </w:r>
            <w:r w:rsidRPr="00442E1D">
              <w:rPr>
                <w:color w:val="auto"/>
                <w:sz w:val="28"/>
                <w:szCs w:val="24"/>
              </w:rPr>
              <w:t>el hecho de que algunos desarrolladores inmobiliarios abusen de su posición dominante al momento de redactar el reglamento de propiedad inicial, y, por tanto, fijen condiciones que los exoneren total o parcialmente de contribuir al pago de las expensa</w:t>
            </w:r>
            <w:r w:rsidRPr="00442E1D">
              <w:rPr>
                <w:color w:val="auto"/>
                <w:sz w:val="28"/>
                <w:szCs w:val="24"/>
              </w:rPr>
              <w:t xml:space="preserve">s comunes, </w:t>
            </w:r>
            <w:r w:rsidRPr="00442E1D">
              <w:rPr>
                <w:color w:val="auto"/>
                <w:sz w:val="28"/>
                <w:szCs w:val="24"/>
              </w:rPr>
              <w:t>no implica que dicha práctica esté autorizada por la expresión normativa demandada</w:t>
            </w:r>
            <w:r w:rsidRPr="00442E1D">
              <w:rPr>
                <w:color w:val="auto"/>
                <w:sz w:val="28"/>
                <w:szCs w:val="24"/>
              </w:rPr>
              <w:t xml:space="preserve">. </w:t>
            </w:r>
            <w:r w:rsidRPr="00442E1D">
              <w:rPr>
                <w:color w:val="auto"/>
                <w:sz w:val="28"/>
                <w:szCs w:val="24"/>
              </w:rPr>
              <w:t>El control judicial de tal tipo de cláusulas abusivas no es objeto de la acción de inconstitucionalidad sino de otro tipo de actuaciones judiciales o administrat</w:t>
            </w:r>
            <w:r w:rsidRPr="00442E1D">
              <w:rPr>
                <w:color w:val="auto"/>
                <w:sz w:val="28"/>
                <w:szCs w:val="24"/>
              </w:rPr>
              <w:t>ivas que escapan a la competencia de la Corte Constitucional.</w:t>
            </w:r>
          </w:p>
        </w:tc>
      </w:tr>
    </w:tbl>
    <w:p w:rsidR="00CC111E" w:rsidRPr="00442E1D" w:rsidRDefault="00442E1D" w:rsidP="003F7D77">
      <w:pPr>
        <w:ind w:right="51"/>
        <w:jc w:val="both"/>
        <w:rPr>
          <w:rFonts w:ascii="Times New Roman" w:hAnsi="Times New Roman" w:cs="Times New Roman"/>
          <w:sz w:val="28"/>
          <w:szCs w:val="28"/>
        </w:rPr>
      </w:pPr>
    </w:p>
    <w:p w:rsidR="006A7781" w:rsidRPr="00442E1D" w:rsidRDefault="00442E1D" w:rsidP="003F7D77">
      <w:pPr>
        <w:ind w:right="51"/>
        <w:jc w:val="both"/>
        <w:rPr>
          <w:rFonts w:ascii="Times New Roman" w:hAnsi="Times New Roman" w:cs="Times New Roman"/>
          <w:sz w:val="28"/>
          <w:szCs w:val="28"/>
        </w:rPr>
      </w:pPr>
    </w:p>
    <w:p w:rsidR="006D4874" w:rsidRPr="00442E1D" w:rsidRDefault="00442E1D" w:rsidP="003F7D77">
      <w:pPr>
        <w:jc w:val="both"/>
        <w:rPr>
          <w:rFonts w:ascii="Times New Roman" w:hAnsi="Times New Roman" w:cs="Times New Roman"/>
          <w:sz w:val="28"/>
          <w:szCs w:val="28"/>
        </w:rPr>
      </w:pPr>
      <w:r w:rsidRPr="00442E1D">
        <w:rPr>
          <w:rFonts w:ascii="Times New Roman" w:hAnsi="Times New Roman" w:cs="Times New Roman"/>
          <w:sz w:val="28"/>
          <w:szCs w:val="28"/>
        </w:rPr>
        <w:t>Bogotá D.C.,</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seis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w:t>
      </w:r>
      <w:r w:rsidRPr="00442E1D">
        <w:rPr>
          <w:rFonts w:ascii="Times New Roman" w:hAnsi="Times New Roman" w:cs="Times New Roman"/>
          <w:sz w:val="28"/>
          <w:szCs w:val="28"/>
        </w:rPr>
        <w:t>6</w:t>
      </w:r>
      <w:r w:rsidRPr="00442E1D">
        <w:rPr>
          <w:rFonts w:ascii="Times New Roman" w:hAnsi="Times New Roman" w:cs="Times New Roman"/>
          <w:sz w:val="28"/>
          <w:szCs w:val="28"/>
        </w:rPr>
        <w:t xml:space="preserve">) de </w:t>
      </w:r>
      <w:r w:rsidRPr="00442E1D">
        <w:rPr>
          <w:rFonts w:ascii="Times New Roman" w:hAnsi="Times New Roman" w:cs="Times New Roman"/>
          <w:sz w:val="28"/>
          <w:szCs w:val="28"/>
        </w:rPr>
        <w:t>noviembre</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de dos mil </w:t>
      </w:r>
      <w:r w:rsidRPr="00442E1D">
        <w:rPr>
          <w:rFonts w:ascii="Times New Roman" w:hAnsi="Times New Roman" w:cs="Times New Roman"/>
          <w:sz w:val="28"/>
          <w:szCs w:val="28"/>
        </w:rPr>
        <w:t>veint</w:t>
      </w:r>
      <w:r w:rsidRPr="00442E1D">
        <w:rPr>
          <w:rFonts w:ascii="Times New Roman" w:hAnsi="Times New Roman" w:cs="Times New Roman"/>
          <w:sz w:val="28"/>
          <w:szCs w:val="28"/>
        </w:rPr>
        <w:t>icuatro</w:t>
      </w:r>
      <w:r w:rsidRPr="00442E1D">
        <w:rPr>
          <w:rFonts w:ascii="Times New Roman" w:hAnsi="Times New Roman" w:cs="Times New Roman"/>
          <w:sz w:val="28"/>
          <w:szCs w:val="28"/>
        </w:rPr>
        <w:t xml:space="preserve"> (202</w:t>
      </w:r>
      <w:r w:rsidRPr="00442E1D">
        <w:rPr>
          <w:rFonts w:ascii="Times New Roman" w:hAnsi="Times New Roman" w:cs="Times New Roman"/>
          <w:sz w:val="28"/>
          <w:szCs w:val="28"/>
        </w:rPr>
        <w:t>4</w:t>
      </w:r>
      <w:r w:rsidRPr="00442E1D">
        <w:rPr>
          <w:rFonts w:ascii="Times New Roman" w:hAnsi="Times New Roman" w:cs="Times New Roman"/>
          <w:sz w:val="28"/>
          <w:szCs w:val="28"/>
        </w:rPr>
        <w:t>)</w:t>
      </w:r>
    </w:p>
    <w:p w:rsidR="006D4874" w:rsidRPr="00442E1D" w:rsidRDefault="00442E1D" w:rsidP="003F7D77">
      <w:pPr>
        <w:jc w:val="both"/>
        <w:rPr>
          <w:rFonts w:ascii="Times New Roman" w:hAnsi="Times New Roman" w:cs="Times New Roman"/>
          <w:sz w:val="28"/>
          <w:szCs w:val="28"/>
        </w:rPr>
      </w:pPr>
    </w:p>
    <w:p w:rsidR="00423ED3" w:rsidRPr="00442E1D" w:rsidRDefault="00442E1D" w:rsidP="003F7D77">
      <w:pPr>
        <w:jc w:val="both"/>
        <w:rPr>
          <w:rFonts w:ascii="Times New Roman" w:hAnsi="Times New Roman" w:cs="Times New Roman"/>
          <w:sz w:val="28"/>
          <w:szCs w:val="28"/>
        </w:rPr>
      </w:pPr>
      <w:r w:rsidRPr="00442E1D">
        <w:rPr>
          <w:rFonts w:ascii="Times New Roman" w:hAnsi="Times New Roman" w:cs="Times New Roman"/>
          <w:sz w:val="28"/>
          <w:szCs w:val="28"/>
        </w:rPr>
        <w:t>La Sala Plena de la Corte Constitucional, con fundamento en el artículo 241.4 de la Constitución y cumplidos los trámites</w:t>
      </w:r>
      <w:r w:rsidRPr="00442E1D">
        <w:rPr>
          <w:rStyle w:val="Refdenotaalpie"/>
          <w:rFonts w:ascii="Times New Roman" w:hAnsi="Times New Roman" w:cs="Times New Roman"/>
          <w:sz w:val="28"/>
          <w:szCs w:val="28"/>
        </w:rPr>
        <w:footnoteReference w:id="2"/>
      </w:r>
      <w:r w:rsidRPr="00442E1D">
        <w:rPr>
          <w:rFonts w:ascii="Times New Roman" w:hAnsi="Times New Roman" w:cs="Times New Roman"/>
          <w:sz w:val="28"/>
          <w:szCs w:val="28"/>
        </w:rPr>
        <w:t xml:space="preserve"> previstos en el Decreto Ley 2067 de 1991, </w:t>
      </w:r>
      <w:r w:rsidRPr="00442E1D">
        <w:rPr>
          <w:rFonts w:ascii="Times New Roman" w:hAnsi="Times New Roman" w:cs="Times New Roman"/>
          <w:sz w:val="28"/>
          <w:szCs w:val="28"/>
        </w:rPr>
        <w:t xml:space="preserve">decide sobre la demanda </w:t>
      </w:r>
      <w:r w:rsidRPr="00442E1D">
        <w:rPr>
          <w:rFonts w:ascii="Times New Roman" w:hAnsi="Times New Roman" w:cs="Times New Roman"/>
          <w:sz w:val="28"/>
          <w:szCs w:val="28"/>
        </w:rPr>
        <w:t xml:space="preserve">de inconstitucionalidad </w:t>
      </w:r>
      <w:r w:rsidRPr="00442E1D">
        <w:rPr>
          <w:rFonts w:ascii="Times New Roman" w:hAnsi="Times New Roman" w:cs="Times New Roman"/>
          <w:sz w:val="28"/>
          <w:szCs w:val="28"/>
        </w:rPr>
        <w:t>presentada</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con fundamento en el artículo 40.6 de la Constitución, </w:t>
      </w:r>
      <w:r w:rsidRPr="00442E1D">
        <w:rPr>
          <w:rFonts w:ascii="Times New Roman" w:hAnsi="Times New Roman" w:cs="Times New Roman"/>
          <w:sz w:val="28"/>
          <w:szCs w:val="28"/>
        </w:rPr>
        <w:t xml:space="preserve">por </w:t>
      </w:r>
      <w:r w:rsidRPr="00442E1D">
        <w:rPr>
          <w:rFonts w:ascii="Times New Roman" w:hAnsi="Times New Roman" w:cs="Times New Roman"/>
          <w:sz w:val="28"/>
          <w:szCs w:val="28"/>
        </w:rPr>
        <w:t xml:space="preserve">el </w:t>
      </w:r>
      <w:r w:rsidRPr="00442E1D">
        <w:rPr>
          <w:rFonts w:ascii="Times New Roman" w:hAnsi="Times New Roman" w:cs="Times New Roman"/>
          <w:sz w:val="28"/>
          <w:szCs w:val="28"/>
        </w:rPr>
        <w:t>ciudadan</w:t>
      </w:r>
      <w:r w:rsidRPr="00442E1D">
        <w:rPr>
          <w:rFonts w:ascii="Times New Roman" w:hAnsi="Times New Roman" w:cs="Times New Roman"/>
          <w:sz w:val="28"/>
          <w:szCs w:val="28"/>
        </w:rPr>
        <w:t>o</w:t>
      </w:r>
      <w:r w:rsidRPr="00442E1D">
        <w:rPr>
          <w:rFonts w:ascii="Times New Roman" w:hAnsi="Times New Roman" w:cs="Times New Roman"/>
          <w:sz w:val="28"/>
          <w:szCs w:val="28"/>
        </w:rPr>
        <w:t xml:space="preserve"> </w:t>
      </w:r>
      <w:r w:rsidRPr="00442E1D">
        <w:rPr>
          <w:rFonts w:ascii="Times New Roman" w:hAnsi="Times New Roman" w:cs="Times New Roman"/>
          <w:sz w:val="28"/>
          <w:szCs w:val="28"/>
          <w:lang w:val="es-ES_tradnl"/>
        </w:rPr>
        <w:t>Jeisson Andrés Vásquez Torres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contra </w:t>
      </w:r>
      <w:r w:rsidRPr="00442E1D">
        <w:rPr>
          <w:rFonts w:ascii="Times New Roman" w:hAnsi="Times New Roman" w:cs="Times New Roman"/>
          <w:sz w:val="28"/>
          <w:szCs w:val="28"/>
        </w:rPr>
        <w:t xml:space="preserve">el artículo 29 (parcial) de la Ley 675 de </w:t>
      </w:r>
      <w:r w:rsidRPr="00442E1D">
        <w:rPr>
          <w:rFonts w:ascii="Times New Roman" w:hAnsi="Times New Roman" w:cs="Times New Roman"/>
          <w:sz w:val="28"/>
          <w:szCs w:val="28"/>
        </w:rPr>
        <w:t>2001</w:t>
      </w:r>
      <w:r w:rsidRPr="00442E1D">
        <w:rPr>
          <w:rFonts w:ascii="Times New Roman" w:hAnsi="Times New Roman" w:cs="Times New Roman"/>
          <w:sz w:val="28"/>
          <w:szCs w:val="28"/>
        </w:rPr>
        <w:t xml:space="preserve">, cuyo texto es </w:t>
      </w:r>
      <w:r w:rsidRPr="00442E1D">
        <w:rPr>
          <w:rFonts w:ascii="Times New Roman" w:hAnsi="Times New Roman" w:cs="Times New Roman"/>
          <w:sz w:val="28"/>
          <w:szCs w:val="28"/>
        </w:rPr>
        <w:t xml:space="preserve">el </w:t>
      </w:r>
      <w:r w:rsidRPr="00442E1D">
        <w:rPr>
          <w:rFonts w:ascii="Times New Roman" w:hAnsi="Times New Roman" w:cs="Times New Roman"/>
          <w:sz w:val="28"/>
          <w:szCs w:val="28"/>
        </w:rPr>
        <w:t>siguiente:</w:t>
      </w:r>
    </w:p>
    <w:p w:rsidR="00790360" w:rsidRPr="00442E1D" w:rsidRDefault="00442E1D" w:rsidP="003F7D77">
      <w:pPr>
        <w:jc w:val="both"/>
        <w:rPr>
          <w:rFonts w:ascii="Times New Roman" w:hAnsi="Times New Roman" w:cs="Times New Roman"/>
          <w:b/>
          <w:bCs/>
          <w:sz w:val="28"/>
          <w:szCs w:val="28"/>
        </w:rPr>
      </w:pPr>
    </w:p>
    <w:p w:rsidR="0080756E" w:rsidRPr="00442E1D" w:rsidRDefault="00442E1D" w:rsidP="003F7D77">
      <w:pPr>
        <w:pStyle w:val="Estilo1"/>
        <w:numPr>
          <w:ilvl w:val="0"/>
          <w:numId w:val="1"/>
        </w:numPr>
        <w:ind w:left="0" w:firstLine="0"/>
        <w:outlineLvl w:val="0"/>
        <w:rPr>
          <w:rStyle w:val="Ttulo1Car"/>
          <w:rFonts w:ascii="Times New Roman" w:hAnsi="Times New Roman" w:cs="Times New Roman"/>
          <w:bCs/>
          <w:color w:val="auto"/>
          <w:sz w:val="28"/>
          <w:szCs w:val="28"/>
        </w:rPr>
      </w:pPr>
      <w:r w:rsidRPr="00442E1D">
        <w:rPr>
          <w:rStyle w:val="Ttulo1Car"/>
          <w:rFonts w:ascii="Times New Roman" w:hAnsi="Times New Roman" w:cs="Times New Roman"/>
          <w:bCs/>
          <w:color w:val="auto"/>
          <w:sz w:val="28"/>
          <w:szCs w:val="28"/>
        </w:rPr>
        <w:t>DISPOSICIÓN DEMANDADA</w:t>
      </w:r>
    </w:p>
    <w:p w:rsidR="0080756E" w:rsidRPr="00442E1D" w:rsidRDefault="00442E1D" w:rsidP="003F7D77">
      <w:pPr>
        <w:pBdr>
          <w:top w:val="nil"/>
          <w:left w:val="nil"/>
          <w:bottom w:val="nil"/>
          <w:right w:val="nil"/>
          <w:between w:val="nil"/>
        </w:pBdr>
        <w:ind w:right="56"/>
        <w:contextualSpacing/>
        <w:jc w:val="both"/>
        <w:rPr>
          <w:rFonts w:ascii="Times New Roman" w:hAnsi="Times New Roman" w:cs="Times New Roman"/>
          <w:sz w:val="28"/>
          <w:szCs w:val="28"/>
        </w:rPr>
      </w:pPr>
    </w:p>
    <w:p w:rsidR="004266F2" w:rsidRPr="00442E1D" w:rsidRDefault="00442E1D" w:rsidP="003F7D77">
      <w:pPr>
        <w:ind w:right="49"/>
        <w:jc w:val="center"/>
        <w:rPr>
          <w:rFonts w:ascii="Times New Roman" w:hAnsi="Times New Roman" w:cs="Times New Roman"/>
          <w:sz w:val="28"/>
          <w:szCs w:val="24"/>
        </w:rPr>
      </w:pPr>
      <w:r w:rsidRPr="00442E1D">
        <w:rPr>
          <w:rFonts w:ascii="Times New Roman" w:hAnsi="Times New Roman" w:cs="Times New Roman"/>
          <w:sz w:val="28"/>
          <w:szCs w:val="24"/>
        </w:rPr>
        <w:t>“LEY 675 DE 2001</w:t>
      </w:r>
      <w:r w:rsidRPr="00442E1D">
        <w:rPr>
          <w:rStyle w:val="Refdenotaalpie"/>
          <w:rFonts w:ascii="Times New Roman" w:hAnsi="Times New Roman" w:cs="Times New Roman"/>
          <w:sz w:val="28"/>
          <w:szCs w:val="24"/>
        </w:rPr>
        <w:footnoteReference w:id="3"/>
      </w:r>
    </w:p>
    <w:p w:rsidR="004266F2" w:rsidRPr="00442E1D" w:rsidRDefault="00442E1D" w:rsidP="003F7D77">
      <w:pPr>
        <w:ind w:right="49"/>
        <w:jc w:val="center"/>
        <w:rPr>
          <w:rFonts w:ascii="Times New Roman" w:hAnsi="Times New Roman" w:cs="Times New Roman"/>
          <w:sz w:val="28"/>
          <w:szCs w:val="24"/>
        </w:rPr>
      </w:pPr>
      <w:bookmarkStart w:id="1" w:name="_Hlk135141479"/>
      <w:r w:rsidRPr="00442E1D">
        <w:rPr>
          <w:rFonts w:ascii="Times New Roman" w:hAnsi="Times New Roman" w:cs="Times New Roman"/>
          <w:sz w:val="28"/>
          <w:szCs w:val="24"/>
        </w:rPr>
        <w:t>Por medio de la cual se expide el régimen de propiedad horizontal</w:t>
      </w:r>
      <w:bookmarkEnd w:id="1"/>
      <w:r w:rsidRPr="00442E1D">
        <w:rPr>
          <w:rFonts w:ascii="Times New Roman" w:hAnsi="Times New Roman" w:cs="Times New Roman"/>
          <w:sz w:val="28"/>
          <w:szCs w:val="24"/>
        </w:rPr>
        <w:t>.</w:t>
      </w:r>
    </w:p>
    <w:p w:rsidR="004266F2" w:rsidRPr="00442E1D" w:rsidRDefault="00442E1D" w:rsidP="003F7D77">
      <w:pPr>
        <w:ind w:right="49"/>
        <w:jc w:val="center"/>
        <w:rPr>
          <w:rFonts w:ascii="Times New Roman" w:hAnsi="Times New Roman" w:cs="Times New Roman"/>
          <w:sz w:val="28"/>
          <w:szCs w:val="24"/>
        </w:rPr>
      </w:pPr>
      <w:r w:rsidRPr="00442E1D">
        <w:rPr>
          <w:rFonts w:ascii="Times New Roman" w:hAnsi="Times New Roman" w:cs="Times New Roman"/>
          <w:sz w:val="28"/>
          <w:szCs w:val="24"/>
        </w:rPr>
        <w:t>EL CONGRESO DE COLOMBIA DECRETA:</w:t>
      </w:r>
    </w:p>
    <w:p w:rsidR="004266F2" w:rsidRPr="00442E1D" w:rsidRDefault="00442E1D" w:rsidP="003F7D77">
      <w:pPr>
        <w:ind w:right="49"/>
        <w:jc w:val="center"/>
        <w:rPr>
          <w:rFonts w:ascii="Times New Roman" w:hAnsi="Times New Roman" w:cs="Times New Roman"/>
          <w:sz w:val="28"/>
          <w:szCs w:val="24"/>
        </w:rPr>
      </w:pPr>
      <w:r w:rsidRPr="00442E1D">
        <w:rPr>
          <w:rFonts w:ascii="Times New Roman" w:hAnsi="Times New Roman" w:cs="Times New Roman"/>
          <w:sz w:val="28"/>
          <w:szCs w:val="24"/>
        </w:rPr>
        <w:t>[…]</w:t>
      </w:r>
    </w:p>
    <w:p w:rsidR="004266F2" w:rsidRPr="00442E1D" w:rsidRDefault="00442E1D" w:rsidP="003F7D77">
      <w:pPr>
        <w:ind w:right="49"/>
        <w:jc w:val="center"/>
        <w:rPr>
          <w:rFonts w:ascii="Times New Roman" w:hAnsi="Times New Roman" w:cs="Times New Roman"/>
          <w:bCs/>
          <w:sz w:val="28"/>
          <w:szCs w:val="24"/>
        </w:rPr>
      </w:pPr>
      <w:r w:rsidRPr="00442E1D">
        <w:rPr>
          <w:rFonts w:ascii="Times New Roman" w:hAnsi="Times New Roman" w:cs="Times New Roman"/>
          <w:bCs/>
          <w:sz w:val="28"/>
          <w:szCs w:val="24"/>
        </w:rPr>
        <w:t>CAPÍTULO VIII</w:t>
      </w:r>
    </w:p>
    <w:p w:rsidR="004266F2" w:rsidRPr="00442E1D" w:rsidRDefault="00442E1D" w:rsidP="003F7D77">
      <w:pPr>
        <w:ind w:right="49"/>
        <w:jc w:val="center"/>
        <w:rPr>
          <w:rFonts w:ascii="Times New Roman" w:hAnsi="Times New Roman" w:cs="Times New Roman"/>
          <w:bCs/>
          <w:sz w:val="28"/>
          <w:szCs w:val="24"/>
        </w:rPr>
      </w:pPr>
      <w:r w:rsidRPr="00442E1D">
        <w:rPr>
          <w:rFonts w:ascii="Times New Roman" w:hAnsi="Times New Roman" w:cs="Times New Roman"/>
          <w:bCs/>
          <w:sz w:val="28"/>
          <w:szCs w:val="24"/>
        </w:rPr>
        <w:t>De la contribución a las expensas comunes</w:t>
      </w:r>
    </w:p>
    <w:p w:rsidR="004266F2" w:rsidRPr="00442E1D" w:rsidRDefault="00442E1D" w:rsidP="003F7D77">
      <w:pPr>
        <w:ind w:right="49"/>
        <w:jc w:val="both"/>
        <w:rPr>
          <w:rFonts w:ascii="Times New Roman" w:hAnsi="Times New Roman" w:cs="Times New Roman"/>
          <w:bCs/>
          <w:sz w:val="28"/>
          <w:szCs w:val="24"/>
        </w:rPr>
      </w:pPr>
    </w:p>
    <w:p w:rsidR="003F6878" w:rsidRPr="00442E1D" w:rsidRDefault="00442E1D" w:rsidP="003F7D77">
      <w:pPr>
        <w:ind w:right="49"/>
        <w:jc w:val="both"/>
        <w:rPr>
          <w:rFonts w:ascii="Times New Roman" w:hAnsi="Times New Roman" w:cs="Times New Roman"/>
          <w:sz w:val="28"/>
          <w:szCs w:val="24"/>
          <w:lang w:val="es-ES"/>
        </w:rPr>
      </w:pPr>
      <w:r w:rsidRPr="00442E1D">
        <w:rPr>
          <w:rFonts w:ascii="Times New Roman" w:hAnsi="Times New Roman" w:cs="Times New Roman"/>
          <w:bCs/>
          <w:sz w:val="28"/>
          <w:szCs w:val="24"/>
        </w:rPr>
        <w:t>ARTÍCULO 29. Participación en las expensas comunes necesarias. Los propietarios de los bienes privados de un edificio o conjunto estarán obligados a contribuir al pago de las expensas necesarias causadas por la administración y la prestación de servicios c</w:t>
      </w:r>
      <w:r w:rsidRPr="00442E1D">
        <w:rPr>
          <w:rFonts w:ascii="Times New Roman" w:hAnsi="Times New Roman" w:cs="Times New Roman"/>
          <w:bCs/>
          <w:sz w:val="28"/>
          <w:szCs w:val="24"/>
        </w:rPr>
        <w:t xml:space="preserve">omunes esenciales para la existencia, seguridad y conservación de los bienes comunes, </w:t>
      </w:r>
      <w:r w:rsidRPr="00442E1D">
        <w:rPr>
          <w:rFonts w:ascii="Times New Roman" w:hAnsi="Times New Roman" w:cs="Times New Roman"/>
          <w:b/>
          <w:sz w:val="28"/>
          <w:szCs w:val="24"/>
          <w:u w:val="single"/>
        </w:rPr>
        <w:t>de acuerdo con el reglamento de propiedad horizontal</w:t>
      </w:r>
      <w:r w:rsidRPr="00442E1D">
        <w:rPr>
          <w:rFonts w:ascii="Times New Roman" w:hAnsi="Times New Roman" w:cs="Times New Roman"/>
          <w:bCs/>
          <w:sz w:val="28"/>
          <w:szCs w:val="24"/>
        </w:rPr>
        <w:t>.</w:t>
      </w:r>
      <w:r w:rsidRPr="00442E1D">
        <w:rPr>
          <w:rFonts w:ascii="Times New Roman" w:hAnsi="Times New Roman" w:cs="Times New Roman"/>
          <w:sz w:val="28"/>
          <w:szCs w:val="24"/>
          <w:lang w:val="es-ES"/>
        </w:rPr>
        <w:t xml:space="preserve"> </w:t>
      </w:r>
    </w:p>
    <w:p w:rsidR="004266F2" w:rsidRPr="00442E1D" w:rsidRDefault="00442E1D" w:rsidP="003F7D77">
      <w:pPr>
        <w:ind w:right="49"/>
        <w:jc w:val="both"/>
        <w:rPr>
          <w:rFonts w:ascii="Times New Roman" w:hAnsi="Times New Roman" w:cs="Times New Roman"/>
          <w:sz w:val="28"/>
          <w:szCs w:val="24"/>
          <w:u w:val="single"/>
          <w:lang w:val="es-ES"/>
        </w:rPr>
      </w:pPr>
      <w:r w:rsidRPr="00442E1D">
        <w:rPr>
          <w:rFonts w:ascii="Times New Roman" w:hAnsi="Times New Roman" w:cs="Times New Roman"/>
          <w:sz w:val="28"/>
          <w:szCs w:val="24"/>
          <w:lang w:val="es-ES"/>
        </w:rPr>
        <w:t>[…]”.</w:t>
      </w:r>
    </w:p>
    <w:p w:rsidR="00666C43" w:rsidRPr="00442E1D" w:rsidRDefault="00442E1D" w:rsidP="003F7D77">
      <w:pPr>
        <w:keepNext/>
        <w:tabs>
          <w:tab w:val="left" w:pos="2725"/>
        </w:tabs>
        <w:jc w:val="both"/>
        <w:rPr>
          <w:rFonts w:ascii="Times New Roman" w:hAnsi="Times New Roman" w:cs="Times New Roman"/>
          <w:sz w:val="28"/>
          <w:szCs w:val="28"/>
        </w:rPr>
      </w:pPr>
    </w:p>
    <w:p w:rsidR="00790360" w:rsidRPr="00442E1D" w:rsidRDefault="00442E1D" w:rsidP="003F7D77">
      <w:pPr>
        <w:keepNext/>
        <w:tabs>
          <w:tab w:val="left" w:pos="2725"/>
        </w:tabs>
        <w:jc w:val="both"/>
        <w:rPr>
          <w:rFonts w:ascii="Times New Roman" w:hAnsi="Times New Roman" w:cs="Times New Roman"/>
          <w:sz w:val="28"/>
          <w:szCs w:val="28"/>
        </w:rPr>
      </w:pPr>
    </w:p>
    <w:p w:rsidR="0080756E" w:rsidRPr="00442E1D" w:rsidRDefault="00442E1D" w:rsidP="003F7D77">
      <w:pPr>
        <w:pStyle w:val="Estilo1"/>
        <w:numPr>
          <w:ilvl w:val="0"/>
          <w:numId w:val="1"/>
        </w:numPr>
        <w:ind w:left="0" w:firstLine="0"/>
        <w:outlineLvl w:val="0"/>
        <w:rPr>
          <w:rStyle w:val="Ttulo1Car"/>
          <w:rFonts w:ascii="Times New Roman" w:hAnsi="Times New Roman" w:cs="Times New Roman"/>
          <w:color w:val="auto"/>
          <w:sz w:val="28"/>
          <w:szCs w:val="28"/>
        </w:rPr>
      </w:pPr>
      <w:r w:rsidRPr="00442E1D">
        <w:rPr>
          <w:rStyle w:val="Ttulo1Car"/>
          <w:rFonts w:ascii="Times New Roman" w:hAnsi="Times New Roman" w:cs="Times New Roman"/>
          <w:color w:val="auto"/>
          <w:sz w:val="28"/>
          <w:szCs w:val="28"/>
        </w:rPr>
        <w:t>DEMANDA</w:t>
      </w:r>
    </w:p>
    <w:p w:rsidR="00E125AC" w:rsidRPr="00442E1D" w:rsidRDefault="00442E1D" w:rsidP="003F7D77">
      <w:pPr>
        <w:pStyle w:val="Prrafodelista"/>
        <w:ind w:left="0"/>
        <w:jc w:val="both"/>
        <w:rPr>
          <w:rFonts w:ascii="Times New Roman" w:hAnsi="Times New Roman" w:cs="Times New Roman"/>
          <w:sz w:val="28"/>
          <w:szCs w:val="28"/>
        </w:rPr>
      </w:pPr>
    </w:p>
    <w:p w:rsidR="00B23465"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lang w:val="es-ES_tradnl"/>
        </w:rPr>
        <w:t xml:space="preserve">La demanda en contra del artículo 29 </w:t>
      </w:r>
      <w:r w:rsidRPr="00442E1D">
        <w:rPr>
          <w:rFonts w:ascii="Times New Roman" w:hAnsi="Times New Roman" w:cs="Times New Roman"/>
          <w:sz w:val="28"/>
          <w:szCs w:val="28"/>
        </w:rPr>
        <w:t xml:space="preserve">(parcial) de la Ley 675 de 2001 </w:t>
      </w:r>
      <w:r w:rsidRPr="00442E1D">
        <w:rPr>
          <w:rFonts w:ascii="Times New Roman" w:hAnsi="Times New Roman" w:cs="Times New Roman"/>
          <w:sz w:val="28"/>
          <w:szCs w:val="28"/>
          <w:lang w:val="es-ES_tradnl"/>
        </w:rPr>
        <w:t xml:space="preserve">se admitió por la presunta vulneración de los artículos 1 y 13 de la Constitución. </w:t>
      </w:r>
      <w:r w:rsidRPr="00442E1D">
        <w:rPr>
          <w:rFonts w:ascii="Times New Roman" w:hAnsi="Times New Roman" w:cs="Times New Roman"/>
          <w:sz w:val="28"/>
          <w:szCs w:val="28"/>
          <w:lang w:val="es-ES_tradnl"/>
        </w:rPr>
        <w:t>Para el ciudadano demandante</w:t>
      </w:r>
      <w:r w:rsidRPr="00442E1D">
        <w:rPr>
          <w:rFonts w:ascii="Times New Roman" w:hAnsi="Times New Roman" w:cs="Times New Roman"/>
          <w:sz w:val="28"/>
          <w:szCs w:val="28"/>
          <w:lang w:val="es-ES_tradnl"/>
        </w:rPr>
        <w:t xml:space="preserve">, </w:t>
      </w:r>
      <w:r w:rsidRPr="00442E1D">
        <w:rPr>
          <w:rFonts w:ascii="Times New Roman" w:hAnsi="Times New Roman" w:cs="Times New Roman"/>
          <w:sz w:val="28"/>
          <w:szCs w:val="28"/>
        </w:rPr>
        <w:t xml:space="preserve">la norma acusada vulnera los principios de solidaridad </w:t>
      </w:r>
      <w:r w:rsidRPr="00442E1D">
        <w:rPr>
          <w:rFonts w:ascii="Times New Roman" w:hAnsi="Times New Roman" w:cs="Times New Roman"/>
          <w:sz w:val="28"/>
          <w:szCs w:val="28"/>
        </w:rPr>
        <w:t xml:space="preserve">e </w:t>
      </w:r>
      <w:r w:rsidRPr="00442E1D">
        <w:rPr>
          <w:rFonts w:ascii="Times New Roman" w:hAnsi="Times New Roman" w:cs="Times New Roman"/>
          <w:sz w:val="28"/>
          <w:szCs w:val="28"/>
        </w:rPr>
        <w:t>igualdad al permitir que los reglamentos de propiedad horizontal modifiquen o eliminen</w:t>
      </w:r>
      <w:r w:rsidRPr="00442E1D">
        <w:rPr>
          <w:rFonts w:ascii="Times New Roman" w:hAnsi="Times New Roman" w:cs="Times New Roman"/>
          <w:sz w:val="28"/>
          <w:szCs w:val="28"/>
        </w:rPr>
        <w:t xml:space="preserve"> la obligación de ciertos copropietarios de contribuir al pago de las expensas comunes</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de acuerdo con el coeficiente de copropiedad</w:t>
      </w:r>
      <w:r w:rsidRPr="00442E1D">
        <w:rPr>
          <w:rFonts w:ascii="Times New Roman" w:hAnsi="Times New Roman" w:cs="Times New Roman"/>
          <w:sz w:val="28"/>
          <w:szCs w:val="28"/>
        </w:rPr>
        <w:t>, creando un trato desigual e injustificado</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Según precisó, </w:t>
      </w:r>
      <w:r w:rsidRPr="00442E1D">
        <w:rPr>
          <w:rFonts w:ascii="Times New Roman" w:hAnsi="Times New Roman" w:cs="Times New Roman"/>
          <w:sz w:val="28"/>
          <w:szCs w:val="28"/>
        </w:rPr>
        <w:t xml:space="preserve">esta permisión </w:t>
      </w:r>
      <w:r w:rsidRPr="00442E1D">
        <w:rPr>
          <w:rFonts w:ascii="Times New Roman" w:hAnsi="Times New Roman" w:cs="Times New Roman"/>
          <w:sz w:val="28"/>
          <w:szCs w:val="28"/>
        </w:rPr>
        <w:t>“deslegitima el criterio objetivo y eficiente señ</w:t>
      </w:r>
      <w:r w:rsidRPr="00442E1D">
        <w:rPr>
          <w:rFonts w:ascii="Times New Roman" w:hAnsi="Times New Roman" w:cs="Times New Roman"/>
          <w:sz w:val="28"/>
          <w:szCs w:val="28"/>
        </w:rPr>
        <w:t>alado por el Legislador para el recaudo de las expensas comunes”</w:t>
      </w:r>
      <w:r w:rsidRPr="00442E1D">
        <w:rPr>
          <w:rStyle w:val="Refdenotaalpie"/>
          <w:rFonts w:ascii="Times New Roman" w:hAnsi="Times New Roman" w:cs="Times New Roman"/>
          <w:sz w:val="28"/>
          <w:szCs w:val="28"/>
        </w:rPr>
        <w:footnoteReference w:id="4"/>
      </w:r>
      <w:r w:rsidRPr="00442E1D">
        <w:rPr>
          <w:rFonts w:ascii="Times New Roman" w:hAnsi="Times New Roman" w:cs="Times New Roman"/>
          <w:sz w:val="28"/>
          <w:szCs w:val="28"/>
        </w:rPr>
        <w:t xml:space="preserve">, tal y como lo advirtió la </w:t>
      </w:r>
      <w:r w:rsidRPr="00442E1D">
        <w:rPr>
          <w:rFonts w:ascii="Times New Roman" w:hAnsi="Times New Roman" w:cs="Times New Roman"/>
          <w:sz w:val="28"/>
          <w:szCs w:val="28"/>
        </w:rPr>
        <w:t xml:space="preserve">Corte </w:t>
      </w:r>
      <w:r w:rsidRPr="00442E1D">
        <w:rPr>
          <w:rFonts w:ascii="Times New Roman" w:hAnsi="Times New Roman" w:cs="Times New Roman"/>
          <w:sz w:val="28"/>
          <w:szCs w:val="28"/>
        </w:rPr>
        <w:t xml:space="preserve">Constitucional </w:t>
      </w:r>
      <w:r w:rsidRPr="00442E1D">
        <w:rPr>
          <w:rFonts w:ascii="Times New Roman" w:hAnsi="Times New Roman" w:cs="Times New Roman"/>
          <w:sz w:val="28"/>
          <w:szCs w:val="28"/>
        </w:rPr>
        <w:t xml:space="preserve">en la Sentencia C-782 de 2004, </w:t>
      </w:r>
      <w:r w:rsidRPr="00442E1D">
        <w:rPr>
          <w:rFonts w:ascii="Times New Roman" w:hAnsi="Times New Roman" w:cs="Times New Roman"/>
          <w:sz w:val="28"/>
          <w:szCs w:val="28"/>
        </w:rPr>
        <w:t xml:space="preserve">en la que </w:t>
      </w:r>
      <w:r w:rsidRPr="00442E1D">
        <w:rPr>
          <w:rFonts w:ascii="Times New Roman" w:hAnsi="Times New Roman" w:cs="Times New Roman"/>
          <w:sz w:val="28"/>
          <w:szCs w:val="28"/>
        </w:rPr>
        <w:t xml:space="preserve">“declaró la constitucionalidad del criterio de coeficiente de copropiedad, conforme al cual a mayor </w:t>
      </w:r>
      <w:r w:rsidRPr="00442E1D">
        <w:rPr>
          <w:rFonts w:ascii="Times New Roman" w:hAnsi="Times New Roman" w:cs="Times New Roman"/>
          <w:sz w:val="28"/>
          <w:szCs w:val="28"/>
        </w:rPr>
        <w:t>copropiedad individual corresponden mayores erogaciones en gastos comunitarios, bajo el supuesto de la mayor capacidad de contribución de las expensas comunes”</w:t>
      </w:r>
      <w:r w:rsidRPr="00442E1D">
        <w:rPr>
          <w:rStyle w:val="Refdenotaalpie"/>
          <w:rFonts w:ascii="Times New Roman" w:hAnsi="Times New Roman" w:cs="Times New Roman"/>
          <w:sz w:val="28"/>
          <w:szCs w:val="28"/>
        </w:rPr>
        <w:footnoteReference w:id="5"/>
      </w:r>
      <w:r w:rsidRPr="00442E1D">
        <w:rPr>
          <w:rFonts w:ascii="Times New Roman" w:hAnsi="Times New Roman" w:cs="Times New Roman"/>
          <w:sz w:val="28"/>
          <w:szCs w:val="28"/>
        </w:rPr>
        <w:t xml:space="preserve">. </w:t>
      </w:r>
    </w:p>
    <w:p w:rsidR="00B23465" w:rsidRPr="00442E1D" w:rsidRDefault="00442E1D" w:rsidP="003F7D77">
      <w:pPr>
        <w:pStyle w:val="Prrafodelista"/>
        <w:ind w:left="0"/>
        <w:jc w:val="both"/>
        <w:rPr>
          <w:rFonts w:ascii="Times New Roman" w:hAnsi="Times New Roman" w:cs="Times New Roman"/>
          <w:sz w:val="28"/>
          <w:szCs w:val="28"/>
        </w:rPr>
      </w:pPr>
    </w:p>
    <w:p w:rsidR="004C24A6"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E</w:t>
      </w:r>
      <w:r w:rsidRPr="00442E1D">
        <w:rPr>
          <w:rFonts w:ascii="Times New Roman" w:hAnsi="Times New Roman" w:cs="Times New Roman"/>
          <w:sz w:val="28"/>
          <w:szCs w:val="28"/>
        </w:rPr>
        <w:t xml:space="preserve">n relación con la presunta </w:t>
      </w:r>
      <w:r w:rsidRPr="00442E1D">
        <w:rPr>
          <w:rFonts w:ascii="Times New Roman" w:hAnsi="Times New Roman" w:cs="Times New Roman"/>
          <w:sz w:val="28"/>
          <w:szCs w:val="28"/>
        </w:rPr>
        <w:t xml:space="preserve">incompatibilidad de la norma </w:t>
      </w:r>
      <w:r w:rsidRPr="00442E1D">
        <w:rPr>
          <w:rFonts w:ascii="Times New Roman" w:hAnsi="Times New Roman" w:cs="Times New Roman"/>
          <w:sz w:val="28"/>
          <w:szCs w:val="28"/>
        </w:rPr>
        <w:t xml:space="preserve">con el </w:t>
      </w:r>
      <w:r w:rsidRPr="00442E1D">
        <w:rPr>
          <w:rFonts w:ascii="Times New Roman" w:hAnsi="Times New Roman" w:cs="Times New Roman"/>
          <w:sz w:val="28"/>
          <w:szCs w:val="28"/>
        </w:rPr>
        <w:t>artículo 1 de la Constitució</w:t>
      </w:r>
      <w:r w:rsidRPr="00442E1D">
        <w:rPr>
          <w:rFonts w:ascii="Times New Roman" w:hAnsi="Times New Roman" w:cs="Times New Roman"/>
          <w:sz w:val="28"/>
          <w:szCs w:val="28"/>
        </w:rPr>
        <w:t xml:space="preserve">n, </w:t>
      </w:r>
      <w:r w:rsidRPr="00442E1D">
        <w:rPr>
          <w:rFonts w:ascii="Times New Roman" w:hAnsi="Times New Roman" w:cs="Times New Roman"/>
          <w:sz w:val="28"/>
          <w:szCs w:val="28"/>
        </w:rPr>
        <w:t xml:space="preserve">el demandante argumenta que la obligación de contribuir a las expensas comunes, que son necesarias para el mantenimiento y funcionamiento de la </w:t>
      </w:r>
      <w:r w:rsidRPr="00442E1D">
        <w:rPr>
          <w:rFonts w:ascii="Times New Roman" w:hAnsi="Times New Roman" w:cs="Times New Roman"/>
          <w:sz w:val="28"/>
          <w:szCs w:val="28"/>
        </w:rPr>
        <w:t>copropiedad</w:t>
      </w:r>
      <w:r w:rsidRPr="00442E1D">
        <w:rPr>
          <w:rFonts w:ascii="Times New Roman" w:hAnsi="Times New Roman" w:cs="Times New Roman"/>
          <w:sz w:val="28"/>
          <w:szCs w:val="28"/>
        </w:rPr>
        <w:t xml:space="preserve">, debe ser de carácter imperativo y no puede ser modificada o exonerada por </w:t>
      </w:r>
      <w:r w:rsidRPr="00442E1D">
        <w:rPr>
          <w:rFonts w:ascii="Times New Roman" w:hAnsi="Times New Roman" w:cs="Times New Roman"/>
          <w:sz w:val="28"/>
          <w:szCs w:val="28"/>
        </w:rPr>
        <w:t xml:space="preserve">el </w:t>
      </w:r>
      <w:r w:rsidRPr="00442E1D">
        <w:rPr>
          <w:rFonts w:ascii="Times New Roman" w:hAnsi="Times New Roman" w:cs="Times New Roman"/>
          <w:sz w:val="28"/>
          <w:szCs w:val="28"/>
        </w:rPr>
        <w:t>reglamento</w:t>
      </w:r>
      <w:r w:rsidRPr="00442E1D">
        <w:rPr>
          <w:rFonts w:ascii="Times New Roman" w:hAnsi="Times New Roman" w:cs="Times New Roman"/>
          <w:sz w:val="28"/>
          <w:szCs w:val="28"/>
        </w:rPr>
        <w:t xml:space="preserve"> de propi</w:t>
      </w:r>
      <w:r w:rsidRPr="00442E1D">
        <w:rPr>
          <w:rFonts w:ascii="Times New Roman" w:hAnsi="Times New Roman" w:cs="Times New Roman"/>
          <w:sz w:val="28"/>
          <w:szCs w:val="28"/>
        </w:rPr>
        <w:t>edad horizontal</w:t>
      </w:r>
      <w:r w:rsidRPr="00442E1D">
        <w:rPr>
          <w:rFonts w:ascii="Times New Roman" w:hAnsi="Times New Roman" w:cs="Times New Roman"/>
          <w:sz w:val="28"/>
          <w:szCs w:val="28"/>
        </w:rPr>
        <w:t>. Al permitir</w:t>
      </w:r>
      <w:r w:rsidRPr="00442E1D">
        <w:rPr>
          <w:rFonts w:ascii="Times New Roman" w:hAnsi="Times New Roman" w:cs="Times New Roman"/>
          <w:sz w:val="28"/>
          <w:szCs w:val="28"/>
        </w:rPr>
        <w:t>se</w:t>
      </w:r>
      <w:r w:rsidRPr="00442E1D">
        <w:rPr>
          <w:rFonts w:ascii="Times New Roman" w:hAnsi="Times New Roman" w:cs="Times New Roman"/>
          <w:sz w:val="28"/>
          <w:szCs w:val="28"/>
        </w:rPr>
        <w:t xml:space="preserve"> esta facultad</w:t>
      </w:r>
      <w:r w:rsidRPr="00442E1D">
        <w:rPr>
          <w:rFonts w:ascii="Times New Roman" w:hAnsi="Times New Roman" w:cs="Times New Roman"/>
          <w:sz w:val="28"/>
          <w:szCs w:val="28"/>
        </w:rPr>
        <w:t xml:space="preserve"> por la expresión demandada</w:t>
      </w:r>
      <w:r w:rsidRPr="00442E1D">
        <w:rPr>
          <w:rFonts w:ascii="Times New Roman" w:hAnsi="Times New Roman" w:cs="Times New Roman"/>
          <w:sz w:val="28"/>
          <w:szCs w:val="28"/>
        </w:rPr>
        <w:t>, se habilita a ciertos propietarios para evadir esta obligación, lo que genera una carga injusta sobre los demás copropietarios</w:t>
      </w:r>
      <w:r w:rsidRPr="00442E1D">
        <w:rPr>
          <w:rFonts w:ascii="Times New Roman" w:hAnsi="Times New Roman" w:cs="Times New Roman"/>
          <w:sz w:val="28"/>
          <w:szCs w:val="28"/>
        </w:rPr>
        <w:t xml:space="preserve">, que, además, </w:t>
      </w:r>
      <w:r w:rsidRPr="00442E1D">
        <w:rPr>
          <w:rFonts w:ascii="Times New Roman" w:hAnsi="Times New Roman" w:cs="Times New Roman"/>
          <w:sz w:val="28"/>
          <w:szCs w:val="28"/>
        </w:rPr>
        <w:t xml:space="preserve">afecta la solidaridad que debe regir las relaciones entre los </w:t>
      </w:r>
      <w:r w:rsidRPr="00442E1D">
        <w:rPr>
          <w:rFonts w:ascii="Times New Roman" w:hAnsi="Times New Roman" w:cs="Times New Roman"/>
          <w:sz w:val="28"/>
          <w:szCs w:val="28"/>
        </w:rPr>
        <w:t xml:space="preserve">integrantes </w:t>
      </w:r>
      <w:r w:rsidRPr="00442E1D">
        <w:rPr>
          <w:rFonts w:ascii="Times New Roman" w:hAnsi="Times New Roman" w:cs="Times New Roman"/>
          <w:sz w:val="28"/>
          <w:szCs w:val="28"/>
        </w:rPr>
        <w:t>de la copropiedad​</w:t>
      </w:r>
      <w:r w:rsidRPr="00442E1D">
        <w:rPr>
          <w:rStyle w:val="Refdenotaalpie"/>
          <w:rFonts w:ascii="Times New Roman" w:hAnsi="Times New Roman" w:cs="Times New Roman"/>
          <w:sz w:val="28"/>
          <w:szCs w:val="28"/>
        </w:rPr>
        <w:footnoteReference w:id="6"/>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pues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“socava el modelo de propiedad horizontal, ya que los pagos de los propietarios son fundamentales para el mantenimiento de los bienes comunes y, por ende, p</w:t>
      </w:r>
      <w:r w:rsidRPr="00442E1D">
        <w:rPr>
          <w:rFonts w:ascii="Times New Roman" w:hAnsi="Times New Roman" w:cs="Times New Roman"/>
          <w:sz w:val="28"/>
          <w:szCs w:val="28"/>
        </w:rPr>
        <w:t>ara la permanencia de la comunidad”</w:t>
      </w:r>
      <w:r w:rsidRPr="00442E1D">
        <w:rPr>
          <w:rStyle w:val="Refdenotaalpie"/>
          <w:rFonts w:ascii="Times New Roman" w:hAnsi="Times New Roman" w:cs="Times New Roman"/>
          <w:sz w:val="28"/>
          <w:szCs w:val="28"/>
        </w:rPr>
        <w:footnoteReference w:id="7"/>
      </w:r>
      <w:r w:rsidRPr="00442E1D">
        <w:rPr>
          <w:rFonts w:ascii="Times New Roman" w:hAnsi="Times New Roman" w:cs="Times New Roman"/>
          <w:sz w:val="28"/>
          <w:szCs w:val="28"/>
        </w:rPr>
        <w:t>.</w:t>
      </w:r>
    </w:p>
    <w:p w:rsidR="004C24A6" w:rsidRPr="00442E1D" w:rsidRDefault="00442E1D" w:rsidP="003F7D77">
      <w:pPr>
        <w:pStyle w:val="Prrafodelista"/>
        <w:rPr>
          <w:rFonts w:ascii="Times New Roman" w:hAnsi="Times New Roman" w:cs="Times New Roman"/>
          <w:sz w:val="28"/>
          <w:szCs w:val="28"/>
        </w:rPr>
      </w:pPr>
    </w:p>
    <w:p w:rsidR="00A607B1"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En cuanto a la presunta vulneración del artículo 13 de la Constitución, </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egún el demandante, </w:t>
      </w:r>
      <w:r w:rsidRPr="00442E1D">
        <w:rPr>
          <w:rFonts w:ascii="Times New Roman" w:hAnsi="Times New Roman" w:cs="Times New Roman"/>
          <w:sz w:val="28"/>
          <w:szCs w:val="28"/>
          <w:lang w:val="es-ES_tradnl"/>
        </w:rPr>
        <w:t xml:space="preserve">la </w:t>
      </w:r>
      <w:r w:rsidRPr="00442E1D">
        <w:rPr>
          <w:rFonts w:ascii="Times New Roman" w:hAnsi="Times New Roman" w:cs="Times New Roman"/>
          <w:sz w:val="28"/>
          <w:szCs w:val="28"/>
          <w:lang w:val="es-ES_tradnl"/>
        </w:rPr>
        <w:t xml:space="preserve">norma </w:t>
      </w:r>
      <w:r w:rsidRPr="00442E1D">
        <w:rPr>
          <w:rFonts w:ascii="Times New Roman" w:hAnsi="Times New Roman" w:cs="Times New Roman"/>
          <w:sz w:val="28"/>
          <w:szCs w:val="28"/>
          <w:lang w:val="es-ES_tradnl"/>
        </w:rPr>
        <w:t>acusada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permite </w:t>
      </w:r>
      <w:r w:rsidRPr="00442E1D">
        <w:rPr>
          <w:rFonts w:ascii="Times New Roman" w:hAnsi="Times New Roman" w:cs="Times New Roman"/>
          <w:sz w:val="28"/>
          <w:szCs w:val="28"/>
        </w:rPr>
        <w:t xml:space="preserve">“una desigualdad e inequidad respecto de aquellos bienes que deben contribuir en un mayor valor, respecto de los bienes que </w:t>
      </w:r>
      <w:r w:rsidRPr="00442E1D">
        <w:rPr>
          <w:rFonts w:ascii="Times New Roman" w:hAnsi="Times New Roman" w:cs="Times New Roman"/>
          <w:sz w:val="28"/>
          <w:szCs w:val="28"/>
        </w:rPr>
        <w:t xml:space="preserve">[sic] </w:t>
      </w:r>
      <w:r w:rsidRPr="00442E1D">
        <w:rPr>
          <w:rFonts w:ascii="Times New Roman" w:hAnsi="Times New Roman" w:cs="Times New Roman"/>
          <w:sz w:val="28"/>
          <w:szCs w:val="28"/>
        </w:rPr>
        <w:t>a pesar de estar obligados a la contribución, no lo hacen porque fueron exonerados, tienen menor cuota o cuenta con beneficios</w:t>
      </w:r>
      <w:r w:rsidRPr="00442E1D">
        <w:rPr>
          <w:rFonts w:ascii="Times New Roman" w:hAnsi="Times New Roman" w:cs="Times New Roman"/>
          <w:sz w:val="28"/>
          <w:szCs w:val="28"/>
        </w:rPr>
        <w:t xml:space="preserve"> no razonables”</w:t>
      </w:r>
      <w:r w:rsidRPr="00442E1D">
        <w:rPr>
          <w:rStyle w:val="Refdenotaalpie"/>
          <w:rFonts w:ascii="Times New Roman" w:hAnsi="Times New Roman" w:cs="Times New Roman"/>
          <w:sz w:val="28"/>
          <w:szCs w:val="28"/>
        </w:rPr>
        <w:footnoteReference w:id="8"/>
      </w:r>
      <w:r w:rsidRPr="00442E1D">
        <w:rPr>
          <w:rFonts w:ascii="Times New Roman" w:hAnsi="Times New Roman" w:cs="Times New Roman"/>
          <w:sz w:val="28"/>
          <w:szCs w:val="28"/>
        </w:rPr>
        <w:t xml:space="preserve"> derivados de la facultad que otorga la disposición</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lang w:val="es-ES_tradnl"/>
        </w:rPr>
        <w:t xml:space="preserve">Respecto a la </w:t>
      </w:r>
      <w:r w:rsidRPr="00442E1D">
        <w:rPr>
          <w:rFonts w:ascii="Times New Roman" w:hAnsi="Times New Roman" w:cs="Times New Roman"/>
          <w:sz w:val="28"/>
          <w:szCs w:val="28"/>
        </w:rPr>
        <w:t xml:space="preserve">carga argumentativa especial </w:t>
      </w:r>
      <w:r w:rsidRPr="00442E1D">
        <w:rPr>
          <w:rFonts w:ascii="Times New Roman" w:hAnsi="Times New Roman" w:cs="Times New Roman"/>
          <w:sz w:val="28"/>
          <w:szCs w:val="28"/>
        </w:rPr>
        <w:t xml:space="preserve">por la infracción del principio de igualdad, </w:t>
      </w:r>
      <w:r w:rsidRPr="00442E1D">
        <w:rPr>
          <w:rFonts w:ascii="Times New Roman" w:hAnsi="Times New Roman" w:cs="Times New Roman"/>
          <w:sz w:val="28"/>
          <w:szCs w:val="28"/>
        </w:rPr>
        <w:t xml:space="preserve">señaló </w:t>
      </w:r>
      <w:r w:rsidRPr="00442E1D">
        <w:rPr>
          <w:rFonts w:ascii="Times New Roman" w:hAnsi="Times New Roman" w:cs="Times New Roman"/>
          <w:sz w:val="28"/>
          <w:szCs w:val="28"/>
        </w:rPr>
        <w:t>lo siguiente</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en primer lugar, que </w:t>
      </w:r>
      <w:r w:rsidRPr="00442E1D">
        <w:rPr>
          <w:rFonts w:ascii="Times New Roman" w:hAnsi="Times New Roman" w:cs="Times New Roman"/>
          <w:sz w:val="28"/>
          <w:szCs w:val="28"/>
        </w:rPr>
        <w:t>“[l]os[s]ujetos objeto de comparación, son los propietari</w:t>
      </w:r>
      <w:r w:rsidRPr="00442E1D">
        <w:rPr>
          <w:rFonts w:ascii="Times New Roman" w:hAnsi="Times New Roman" w:cs="Times New Roman"/>
          <w:sz w:val="28"/>
          <w:szCs w:val="28"/>
        </w:rPr>
        <w:t xml:space="preserve">os y/o tenedores de unidades privadas obligados a contribuir al pago de las expensas comunes necesarias, que deben sujetarse a las disposiciones que se establezcan en el Reglamento de Propiedad Horizontal, aun en contra de su voluntad </w:t>
      </w:r>
      <w:r w:rsidRPr="00442E1D">
        <w:rPr>
          <w:rFonts w:ascii="Times New Roman" w:hAnsi="Times New Roman" w:cs="Times New Roman"/>
          <w:sz w:val="28"/>
          <w:szCs w:val="28"/>
        </w:rPr>
        <w:t>–</w:t>
      </w:r>
      <w:r w:rsidRPr="00442E1D">
        <w:rPr>
          <w:rFonts w:ascii="Times New Roman" w:hAnsi="Times New Roman" w:cs="Times New Roman"/>
          <w:sz w:val="28"/>
          <w:szCs w:val="28"/>
        </w:rPr>
        <w:t>decisiones de mayorí</w:t>
      </w:r>
      <w:r w:rsidRPr="00442E1D">
        <w:rPr>
          <w:rFonts w:ascii="Times New Roman" w:hAnsi="Times New Roman" w:cs="Times New Roman"/>
          <w:sz w:val="28"/>
          <w:szCs w:val="28"/>
        </w:rPr>
        <w:t>as</w:t>
      </w:r>
      <w:r w:rsidRPr="00442E1D">
        <w:rPr>
          <w:rFonts w:ascii="Times New Roman" w:hAnsi="Times New Roman" w:cs="Times New Roman"/>
          <w:sz w:val="28"/>
          <w:szCs w:val="28"/>
        </w:rPr>
        <w:t>–</w:t>
      </w:r>
      <w:r w:rsidRPr="00442E1D">
        <w:rPr>
          <w:rFonts w:ascii="Times New Roman" w:hAnsi="Times New Roman" w:cs="Times New Roman"/>
          <w:sz w:val="28"/>
          <w:szCs w:val="28"/>
        </w:rPr>
        <w:t>, y se ven obligados a una contribución mayor a las expensas comunes necesarias, respecto de aquellos que son exonerados de dicha obligación o cuenta con un régimen distinto al de coeficiente de copropiedad para realizar la contribución en el pago”</w:t>
      </w:r>
      <w:r w:rsidRPr="00442E1D">
        <w:rPr>
          <w:rStyle w:val="Refdenotaalpie"/>
          <w:rFonts w:ascii="Times New Roman" w:hAnsi="Times New Roman" w:cs="Times New Roman"/>
          <w:sz w:val="28"/>
          <w:szCs w:val="28"/>
        </w:rPr>
        <w:footnoteReference w:id="9"/>
      </w:r>
      <w:r w:rsidRPr="00442E1D">
        <w:rPr>
          <w:rFonts w:ascii="Times New Roman" w:hAnsi="Times New Roman" w:cs="Times New Roman"/>
          <w:sz w:val="28"/>
          <w:szCs w:val="28"/>
        </w:rPr>
        <w:t xml:space="preserve">. </w:t>
      </w:r>
    </w:p>
    <w:p w:rsidR="00A607B1" w:rsidRPr="00442E1D" w:rsidRDefault="00442E1D" w:rsidP="003F7D77">
      <w:pPr>
        <w:pStyle w:val="Prrafodelista"/>
        <w:ind w:left="0"/>
        <w:jc w:val="both"/>
        <w:rPr>
          <w:rFonts w:ascii="Times New Roman" w:hAnsi="Times New Roman" w:cs="Times New Roman"/>
          <w:sz w:val="28"/>
          <w:szCs w:val="28"/>
        </w:rPr>
      </w:pPr>
    </w:p>
    <w:p w:rsidR="00EE2D00"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En segundo lugar, precisó que </w:t>
      </w:r>
      <w:r w:rsidRPr="00442E1D">
        <w:rPr>
          <w:rFonts w:ascii="Times New Roman" w:hAnsi="Times New Roman" w:cs="Times New Roman"/>
          <w:sz w:val="28"/>
          <w:szCs w:val="28"/>
        </w:rPr>
        <w:t>el criterio de comparación “es la obligación de contribuir en el pago de las expensa</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 comunes necesarias, [y] que l[a] mism[a] tenga como fuente la ley y no la convención particular del Reglamento de Propiedad Horizontal”</w:t>
      </w:r>
      <w:r w:rsidRPr="00442E1D">
        <w:rPr>
          <w:rStyle w:val="Refdenotaalpie"/>
          <w:rFonts w:ascii="Times New Roman" w:hAnsi="Times New Roman" w:cs="Times New Roman"/>
          <w:sz w:val="28"/>
          <w:szCs w:val="28"/>
        </w:rPr>
        <w:footnoteReference w:id="10"/>
      </w:r>
      <w:r w:rsidRPr="00442E1D">
        <w:rPr>
          <w:rFonts w:ascii="Times New Roman" w:hAnsi="Times New Roman" w:cs="Times New Roman"/>
          <w:sz w:val="28"/>
          <w:szCs w:val="28"/>
        </w:rPr>
        <w:t xml:space="preserve">. </w:t>
      </w:r>
    </w:p>
    <w:p w:rsidR="00EE2D00" w:rsidRPr="00442E1D" w:rsidRDefault="00442E1D" w:rsidP="003F7D77">
      <w:pPr>
        <w:pStyle w:val="Prrafodelista"/>
        <w:rPr>
          <w:rFonts w:ascii="Times New Roman" w:hAnsi="Times New Roman" w:cs="Times New Roman"/>
          <w:sz w:val="28"/>
          <w:szCs w:val="28"/>
        </w:rPr>
      </w:pPr>
    </w:p>
    <w:p w:rsidR="0093468A"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En tercer lugar, </w:t>
      </w:r>
      <w:r w:rsidRPr="00442E1D">
        <w:rPr>
          <w:rFonts w:ascii="Times New Roman" w:hAnsi="Times New Roman" w:cs="Times New Roman"/>
          <w:sz w:val="28"/>
          <w:szCs w:val="28"/>
        </w:rPr>
        <w:t>afirmó que</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el permiso </w:t>
      </w:r>
      <w:r w:rsidRPr="00442E1D">
        <w:rPr>
          <w:rFonts w:ascii="Times New Roman" w:hAnsi="Times New Roman" w:cs="Times New Roman"/>
          <w:sz w:val="28"/>
          <w:szCs w:val="28"/>
        </w:rPr>
        <w:t xml:space="preserve">para que en el reglamento de propiedad horizontal se modifique o exonere </w:t>
      </w:r>
      <w:r w:rsidRPr="00442E1D">
        <w:rPr>
          <w:rFonts w:ascii="Times New Roman" w:hAnsi="Times New Roman" w:cs="Times New Roman"/>
          <w:sz w:val="28"/>
          <w:szCs w:val="28"/>
        </w:rPr>
        <w:t xml:space="preserve">el deber </w:t>
      </w:r>
      <w:r w:rsidRPr="00442E1D">
        <w:rPr>
          <w:rFonts w:ascii="Times New Roman" w:hAnsi="Times New Roman" w:cs="Times New Roman"/>
          <w:sz w:val="28"/>
          <w:szCs w:val="28"/>
        </w:rPr>
        <w:t>de ciertos propietarios de contribuir al pago de las expensas comunes genera un trato desigual e injustificado entre los copropietarios</w:t>
      </w:r>
      <w:r w:rsidRPr="00442E1D">
        <w:rPr>
          <w:rFonts w:ascii="Times New Roman" w:hAnsi="Times New Roman" w:cs="Times New Roman"/>
          <w:sz w:val="28"/>
          <w:szCs w:val="28"/>
        </w:rPr>
        <w:t xml:space="preserve">, por cuanto, </w:t>
      </w:r>
      <w:r w:rsidRPr="00442E1D">
        <w:rPr>
          <w:rFonts w:ascii="Times New Roman" w:hAnsi="Times New Roman" w:cs="Times New Roman"/>
          <w:sz w:val="28"/>
          <w:szCs w:val="28"/>
        </w:rPr>
        <w:t>“el pago de las expensas comunes necesarias, que se aplica a todos los propietarios, puede ser alterado por la diferenciación interna que se realice en el Reglamento de Propiedad Horizontal”</w:t>
      </w:r>
      <w:r w:rsidRPr="00442E1D">
        <w:rPr>
          <w:rStyle w:val="Refdenotaalpie"/>
          <w:rFonts w:ascii="Times New Roman" w:hAnsi="Times New Roman" w:cs="Times New Roman"/>
          <w:sz w:val="28"/>
          <w:szCs w:val="28"/>
        </w:rPr>
        <w:footnoteReference w:id="11"/>
      </w:r>
      <w:r w:rsidRPr="00442E1D">
        <w:rPr>
          <w:rFonts w:ascii="Times New Roman" w:hAnsi="Times New Roman" w:cs="Times New Roman"/>
          <w:sz w:val="28"/>
          <w:szCs w:val="28"/>
        </w:rPr>
        <w:t>. Según indicó</w:t>
      </w:r>
      <w:r w:rsidRPr="00442E1D">
        <w:rPr>
          <w:rFonts w:ascii="Times New Roman" w:hAnsi="Times New Roman" w:cs="Times New Roman"/>
          <w:sz w:val="28"/>
          <w:szCs w:val="28"/>
        </w:rPr>
        <w:t xml:space="preserve">, esta posibilidad </w:t>
      </w:r>
      <w:r w:rsidRPr="00442E1D">
        <w:rPr>
          <w:rFonts w:ascii="Times New Roman" w:hAnsi="Times New Roman" w:cs="Times New Roman"/>
          <w:sz w:val="28"/>
          <w:szCs w:val="28"/>
        </w:rPr>
        <w:t>desconoce el deber</w:t>
      </w:r>
      <w:r w:rsidRPr="00442E1D">
        <w:rPr>
          <w:rFonts w:ascii="Times New Roman" w:hAnsi="Times New Roman" w:cs="Times New Roman"/>
          <w:sz w:val="28"/>
          <w:szCs w:val="28"/>
        </w:rPr>
        <w:t xml:space="preserve"> de trato igual que </w:t>
      </w:r>
      <w:r w:rsidRPr="00442E1D">
        <w:rPr>
          <w:rFonts w:ascii="Times New Roman" w:hAnsi="Times New Roman" w:cs="Times New Roman"/>
          <w:sz w:val="28"/>
          <w:szCs w:val="28"/>
        </w:rPr>
        <w:t xml:space="preserve">se logra cuando </w:t>
      </w:r>
      <w:r w:rsidRPr="00442E1D">
        <w:rPr>
          <w:rFonts w:ascii="Times New Roman" w:hAnsi="Times New Roman" w:cs="Times New Roman"/>
          <w:sz w:val="28"/>
          <w:szCs w:val="28"/>
        </w:rPr>
        <w:t xml:space="preserve">el pago de las expensas comunes </w:t>
      </w:r>
      <w:r w:rsidRPr="00442E1D">
        <w:rPr>
          <w:rFonts w:ascii="Times New Roman" w:hAnsi="Times New Roman" w:cs="Times New Roman"/>
          <w:sz w:val="28"/>
          <w:szCs w:val="28"/>
        </w:rPr>
        <w:t xml:space="preserve">es </w:t>
      </w:r>
      <w:r w:rsidRPr="00442E1D">
        <w:rPr>
          <w:rFonts w:ascii="Times New Roman" w:hAnsi="Times New Roman" w:cs="Times New Roman"/>
          <w:sz w:val="28"/>
          <w:szCs w:val="28"/>
        </w:rPr>
        <w:t>“</w:t>
      </w:r>
      <w:r w:rsidRPr="00442E1D">
        <w:rPr>
          <w:rFonts w:ascii="Times New Roman" w:hAnsi="Times New Roman" w:cs="Times New Roman"/>
          <w:sz w:val="28"/>
          <w:szCs w:val="28"/>
        </w:rPr>
        <w:t>proporcional al área de cada unidad y debe ser obligatorio sin excepción alguna a [todos] y cada uno de los propietarios y/o tenedores de bienes inmuebles privados”</w:t>
      </w:r>
      <w:r w:rsidRPr="00442E1D">
        <w:rPr>
          <w:rStyle w:val="Refdenotaalpie"/>
          <w:rFonts w:ascii="Times New Roman" w:hAnsi="Times New Roman" w:cs="Times New Roman"/>
          <w:sz w:val="28"/>
          <w:szCs w:val="28"/>
        </w:rPr>
        <w:footnoteReference w:id="12"/>
      </w:r>
      <w:r w:rsidRPr="00442E1D">
        <w:rPr>
          <w:rFonts w:ascii="Times New Roman" w:hAnsi="Times New Roman" w:cs="Times New Roman"/>
          <w:sz w:val="28"/>
          <w:szCs w:val="28"/>
        </w:rPr>
        <w:t>.</w:t>
      </w:r>
    </w:p>
    <w:p w:rsidR="00790360" w:rsidRPr="00442E1D" w:rsidRDefault="00442E1D" w:rsidP="003F7D77">
      <w:pPr>
        <w:jc w:val="both"/>
        <w:rPr>
          <w:rFonts w:ascii="Times New Roman" w:hAnsi="Times New Roman" w:cs="Times New Roman"/>
          <w:sz w:val="28"/>
          <w:szCs w:val="28"/>
        </w:rPr>
      </w:pPr>
    </w:p>
    <w:p w:rsidR="00951EBF" w:rsidRPr="00442E1D" w:rsidRDefault="00442E1D" w:rsidP="003F7D77">
      <w:pPr>
        <w:pStyle w:val="Estilo1"/>
        <w:numPr>
          <w:ilvl w:val="0"/>
          <w:numId w:val="1"/>
        </w:numPr>
        <w:ind w:left="0" w:firstLine="0"/>
        <w:outlineLvl w:val="0"/>
        <w:rPr>
          <w:rStyle w:val="Ttulo1Car"/>
          <w:rFonts w:ascii="Times New Roman" w:hAnsi="Times New Roman" w:cs="Times New Roman"/>
          <w:bCs/>
          <w:color w:val="auto"/>
          <w:sz w:val="28"/>
          <w:szCs w:val="28"/>
        </w:rPr>
      </w:pPr>
      <w:r w:rsidRPr="00442E1D">
        <w:rPr>
          <w:rStyle w:val="Ttulo1Car"/>
          <w:rFonts w:ascii="Times New Roman" w:hAnsi="Times New Roman" w:cs="Times New Roman"/>
          <w:bCs/>
          <w:color w:val="auto"/>
          <w:sz w:val="28"/>
          <w:szCs w:val="28"/>
        </w:rPr>
        <w:t xml:space="preserve">INTERVENCIONES </w:t>
      </w:r>
      <w:r w:rsidRPr="00442E1D">
        <w:rPr>
          <w:rStyle w:val="Ttulo1Car"/>
          <w:rFonts w:ascii="Times New Roman" w:hAnsi="Times New Roman" w:cs="Times New Roman"/>
          <w:bCs/>
          <w:color w:val="auto"/>
          <w:sz w:val="28"/>
          <w:szCs w:val="28"/>
        </w:rPr>
        <w:t>CIUDADANAS</w:t>
      </w:r>
      <w:r w:rsidRPr="00442E1D">
        <w:rPr>
          <w:rStyle w:val="Ttulo1Car"/>
          <w:rFonts w:ascii="Times New Roman" w:hAnsi="Times New Roman" w:cs="Times New Roman"/>
          <w:bCs/>
          <w:color w:val="auto"/>
          <w:sz w:val="28"/>
          <w:szCs w:val="28"/>
        </w:rPr>
        <w:t xml:space="preserve"> Y CONCEPTOS</w:t>
      </w:r>
    </w:p>
    <w:p w:rsidR="00951EBF" w:rsidRPr="00442E1D" w:rsidRDefault="00442E1D" w:rsidP="003F7D77">
      <w:pPr>
        <w:jc w:val="both"/>
        <w:rPr>
          <w:rFonts w:ascii="Times New Roman" w:hAnsi="Times New Roman" w:cs="Times New Roman"/>
          <w:b/>
          <w:sz w:val="28"/>
          <w:szCs w:val="28"/>
        </w:rPr>
      </w:pPr>
    </w:p>
    <w:p w:rsidR="00951EBF"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E</w:t>
      </w:r>
      <w:r w:rsidRPr="00442E1D">
        <w:rPr>
          <w:rFonts w:ascii="Times New Roman" w:hAnsi="Times New Roman" w:cs="Times New Roman"/>
          <w:sz w:val="28"/>
          <w:szCs w:val="28"/>
          <w:lang w:val="es-ES_tradnl"/>
        </w:rPr>
        <w:t>n</w:t>
      </w:r>
      <w:r w:rsidRPr="00442E1D">
        <w:rPr>
          <w:rFonts w:ascii="Times New Roman" w:hAnsi="Times New Roman" w:cs="Times New Roman"/>
          <w:sz w:val="28"/>
          <w:szCs w:val="28"/>
        </w:rPr>
        <w:t xml:space="preserve"> la siguiente tabla </w:t>
      </w:r>
      <w:r w:rsidRPr="00442E1D">
        <w:rPr>
          <w:rFonts w:ascii="Times New Roman" w:hAnsi="Times New Roman" w:cs="Times New Roman"/>
          <w:sz w:val="28"/>
          <w:szCs w:val="28"/>
        </w:rPr>
        <w:t>se</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sintetiza</w:t>
      </w:r>
      <w:r w:rsidRPr="00442E1D">
        <w:rPr>
          <w:rFonts w:ascii="Times New Roman" w:hAnsi="Times New Roman" w:cs="Times New Roman"/>
          <w:sz w:val="28"/>
          <w:szCs w:val="28"/>
        </w:rPr>
        <w:t xml:space="preserve"> el sentido de </w:t>
      </w:r>
      <w:r w:rsidRPr="00442E1D">
        <w:rPr>
          <w:rFonts w:ascii="Times New Roman" w:hAnsi="Times New Roman" w:cs="Times New Roman"/>
          <w:sz w:val="28"/>
          <w:szCs w:val="28"/>
        </w:rPr>
        <w:t xml:space="preserve">las intervenciones ciudadanas y de </w:t>
      </w:r>
      <w:r w:rsidRPr="00442E1D">
        <w:rPr>
          <w:rFonts w:ascii="Times New Roman" w:hAnsi="Times New Roman" w:cs="Times New Roman"/>
          <w:sz w:val="28"/>
          <w:szCs w:val="28"/>
        </w:rPr>
        <w:t>l</w:t>
      </w:r>
      <w:r w:rsidRPr="00442E1D">
        <w:rPr>
          <w:rFonts w:ascii="Times New Roman" w:hAnsi="Times New Roman" w:cs="Times New Roman"/>
          <w:sz w:val="28"/>
          <w:szCs w:val="28"/>
        </w:rPr>
        <w:t>o</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conceptos</w:t>
      </w:r>
      <w:r w:rsidRPr="00442E1D">
        <w:rPr>
          <w:rFonts w:ascii="Times New Roman" w:hAnsi="Times New Roman" w:cs="Times New Roman"/>
          <w:sz w:val="28"/>
          <w:szCs w:val="28"/>
        </w:rPr>
        <w:t xml:space="preserve"> recibidos</w:t>
      </w:r>
      <w:r w:rsidRPr="00442E1D">
        <w:rPr>
          <w:rFonts w:ascii="Times New Roman" w:hAnsi="Times New Roman" w:cs="Times New Roman"/>
          <w:sz w:val="28"/>
          <w:szCs w:val="28"/>
        </w:rPr>
        <w:t>:</w:t>
      </w:r>
    </w:p>
    <w:p w:rsidR="00184ABA" w:rsidRPr="00442E1D" w:rsidRDefault="00442E1D" w:rsidP="003F7D77">
      <w:pPr>
        <w:jc w:val="both"/>
        <w:rPr>
          <w:rFonts w:ascii="Times New Roman" w:hAnsi="Times New Roman" w:cs="Times New Roman"/>
          <w:sz w:val="28"/>
          <w:szCs w:val="28"/>
        </w:rPr>
      </w:pPr>
    </w:p>
    <w:tbl>
      <w:tblPr>
        <w:tblStyle w:val="Tablaconcuadrcula"/>
        <w:tblW w:w="5000" w:type="pct"/>
        <w:jc w:val="center"/>
        <w:tblLook w:val="04A0" w:firstRow="1" w:lastRow="0" w:firstColumn="1" w:lastColumn="0" w:noHBand="0" w:noVBand="1"/>
      </w:tblPr>
      <w:tblGrid>
        <w:gridCol w:w="2265"/>
        <w:gridCol w:w="1558"/>
        <w:gridCol w:w="3119"/>
        <w:gridCol w:w="1888"/>
      </w:tblGrid>
      <w:tr w:rsidR="00C97FE9" w:rsidRPr="00442E1D" w:rsidTr="00541809">
        <w:trPr>
          <w:tblHeader/>
          <w:jc w:val="center"/>
        </w:trPr>
        <w:tc>
          <w:tcPr>
            <w:tcW w:w="1283" w:type="pct"/>
            <w:shd w:val="clear" w:color="auto" w:fill="D0CECE" w:themeFill="background2" w:themeFillShade="E6"/>
          </w:tcPr>
          <w:p w:rsidR="006506F2" w:rsidRPr="00442E1D" w:rsidRDefault="00442E1D" w:rsidP="003F7D77">
            <w:pPr>
              <w:pStyle w:val="Prrafodelista"/>
              <w:ind w:left="0"/>
              <w:jc w:val="center"/>
              <w:rPr>
                <w:b/>
                <w:bCs/>
                <w:color w:val="auto"/>
                <w:sz w:val="28"/>
                <w:szCs w:val="22"/>
                <w:lang w:val="es-ES_tradnl"/>
              </w:rPr>
            </w:pPr>
            <w:r w:rsidRPr="00442E1D">
              <w:rPr>
                <w:b/>
                <w:bCs/>
                <w:color w:val="auto"/>
                <w:sz w:val="28"/>
                <w:szCs w:val="22"/>
                <w:lang w:val="es-ES_tradnl"/>
              </w:rPr>
              <w:t>Tipo de participación</w:t>
            </w:r>
          </w:p>
        </w:tc>
        <w:tc>
          <w:tcPr>
            <w:tcW w:w="882" w:type="pct"/>
            <w:shd w:val="clear" w:color="auto" w:fill="D0CECE" w:themeFill="background2" w:themeFillShade="E6"/>
          </w:tcPr>
          <w:p w:rsidR="006506F2" w:rsidRPr="00442E1D" w:rsidRDefault="00442E1D" w:rsidP="003F7D77">
            <w:pPr>
              <w:pStyle w:val="Prrafodelista"/>
              <w:ind w:left="0"/>
              <w:jc w:val="center"/>
              <w:rPr>
                <w:b/>
                <w:bCs/>
                <w:color w:val="auto"/>
                <w:sz w:val="28"/>
                <w:szCs w:val="22"/>
                <w:lang w:val="es-ES_tradnl"/>
              </w:rPr>
            </w:pPr>
            <w:r w:rsidRPr="00442E1D">
              <w:rPr>
                <w:b/>
                <w:bCs/>
                <w:color w:val="auto"/>
                <w:sz w:val="28"/>
                <w:szCs w:val="22"/>
                <w:lang w:val="es-ES_tradnl"/>
              </w:rPr>
              <w:t>Inhibición</w:t>
            </w:r>
          </w:p>
        </w:tc>
        <w:tc>
          <w:tcPr>
            <w:tcW w:w="1766" w:type="pct"/>
            <w:shd w:val="clear" w:color="auto" w:fill="D0CECE" w:themeFill="background2" w:themeFillShade="E6"/>
          </w:tcPr>
          <w:p w:rsidR="006506F2" w:rsidRPr="00442E1D" w:rsidRDefault="00442E1D" w:rsidP="003F7D77">
            <w:pPr>
              <w:pStyle w:val="Prrafodelista"/>
              <w:ind w:left="0"/>
              <w:jc w:val="center"/>
              <w:rPr>
                <w:b/>
                <w:bCs/>
                <w:color w:val="auto"/>
                <w:sz w:val="28"/>
                <w:szCs w:val="22"/>
                <w:lang w:val="es-ES_tradnl"/>
              </w:rPr>
            </w:pPr>
            <w:r w:rsidRPr="00442E1D">
              <w:rPr>
                <w:b/>
                <w:bCs/>
                <w:color w:val="auto"/>
                <w:sz w:val="28"/>
                <w:szCs w:val="22"/>
                <w:lang w:val="es-ES_tradnl"/>
              </w:rPr>
              <w:t>Exequibilidad</w:t>
            </w:r>
          </w:p>
        </w:tc>
        <w:tc>
          <w:tcPr>
            <w:tcW w:w="1069" w:type="pct"/>
            <w:shd w:val="clear" w:color="auto" w:fill="D0CECE" w:themeFill="background2" w:themeFillShade="E6"/>
          </w:tcPr>
          <w:p w:rsidR="006506F2" w:rsidRPr="00442E1D" w:rsidRDefault="00442E1D" w:rsidP="003F7D77">
            <w:pPr>
              <w:pStyle w:val="Prrafodelista"/>
              <w:ind w:left="0"/>
              <w:jc w:val="center"/>
              <w:rPr>
                <w:b/>
                <w:bCs/>
                <w:color w:val="auto"/>
                <w:sz w:val="28"/>
                <w:szCs w:val="22"/>
                <w:lang w:val="es-ES_tradnl"/>
              </w:rPr>
            </w:pPr>
            <w:r w:rsidRPr="00442E1D">
              <w:rPr>
                <w:b/>
                <w:bCs/>
                <w:color w:val="auto"/>
                <w:sz w:val="28"/>
                <w:szCs w:val="22"/>
                <w:lang w:val="es-ES_tradnl"/>
              </w:rPr>
              <w:t>Inexequibilidad</w:t>
            </w:r>
          </w:p>
        </w:tc>
      </w:tr>
      <w:tr w:rsidR="00C97FE9" w:rsidRPr="00442E1D" w:rsidTr="00531014">
        <w:trPr>
          <w:jc w:val="center"/>
        </w:trPr>
        <w:tc>
          <w:tcPr>
            <w:tcW w:w="1283" w:type="pct"/>
            <w:vAlign w:val="center"/>
          </w:tcPr>
          <w:p w:rsidR="006506F2" w:rsidRPr="00442E1D" w:rsidRDefault="00442E1D" w:rsidP="003F7D77">
            <w:pPr>
              <w:pStyle w:val="Prrafodelista"/>
              <w:ind w:left="0"/>
              <w:jc w:val="both"/>
              <w:rPr>
                <w:color w:val="auto"/>
                <w:sz w:val="28"/>
                <w:szCs w:val="22"/>
              </w:rPr>
            </w:pPr>
            <w:r w:rsidRPr="00442E1D">
              <w:rPr>
                <w:color w:val="auto"/>
                <w:sz w:val="28"/>
                <w:szCs w:val="22"/>
              </w:rPr>
              <w:t xml:space="preserve">Intervenciones ciudadanas </w:t>
            </w:r>
            <w:r w:rsidRPr="00442E1D">
              <w:rPr>
                <w:color w:val="auto"/>
                <w:sz w:val="28"/>
                <w:szCs w:val="22"/>
                <w:lang w:val="es-ES_tradnl"/>
              </w:rPr>
              <w:t>(artículos 242.1 y 7 del Decreto</w:t>
            </w:r>
            <w:r w:rsidRPr="00442E1D">
              <w:rPr>
                <w:color w:val="auto"/>
                <w:sz w:val="28"/>
                <w:szCs w:val="22"/>
                <w:lang w:val="es-ES_tradnl"/>
              </w:rPr>
              <w:t xml:space="preserve"> 2067 de 1991)</w:t>
            </w:r>
            <w:r w:rsidRPr="00442E1D">
              <w:rPr>
                <w:color w:val="auto"/>
                <w:sz w:val="28"/>
                <w:szCs w:val="22"/>
                <w:vertAlign w:val="superscript"/>
                <w:lang w:val="es-ES"/>
              </w:rPr>
              <w:footnoteReference w:id="13"/>
            </w:r>
            <w:r w:rsidRPr="00442E1D">
              <w:rPr>
                <w:color w:val="auto"/>
                <w:sz w:val="28"/>
                <w:szCs w:val="22"/>
              </w:rPr>
              <w:t>. Respecto de estas, el término de fijación en lista venció el 4 de junio de 2024, según certificó la Secretaría General de la Corte</w:t>
            </w:r>
            <w:r w:rsidRPr="00442E1D">
              <w:rPr>
                <w:rStyle w:val="Refdenotaalpie"/>
                <w:color w:val="auto"/>
                <w:sz w:val="28"/>
                <w:szCs w:val="22"/>
              </w:rPr>
              <w:footnoteReference w:id="14"/>
            </w:r>
            <w:r w:rsidRPr="00442E1D">
              <w:rPr>
                <w:color w:val="auto"/>
                <w:sz w:val="28"/>
                <w:szCs w:val="22"/>
              </w:rPr>
              <w:t>.</w:t>
            </w:r>
          </w:p>
        </w:tc>
        <w:tc>
          <w:tcPr>
            <w:tcW w:w="882" w:type="pct"/>
            <w:vAlign w:val="center"/>
          </w:tcPr>
          <w:p w:rsidR="006506F2" w:rsidRPr="00442E1D" w:rsidRDefault="00442E1D" w:rsidP="003F7D77">
            <w:pPr>
              <w:jc w:val="both"/>
              <w:rPr>
                <w:color w:val="auto"/>
                <w:sz w:val="28"/>
                <w:szCs w:val="22"/>
              </w:rPr>
            </w:pPr>
            <w:r w:rsidRPr="00442E1D">
              <w:rPr>
                <w:color w:val="auto"/>
                <w:sz w:val="28"/>
                <w:szCs w:val="22"/>
              </w:rPr>
              <w:t>Santiago Cardozo Correcha (solicitud principal)</w:t>
            </w:r>
          </w:p>
        </w:tc>
        <w:tc>
          <w:tcPr>
            <w:tcW w:w="1766" w:type="pct"/>
            <w:shd w:val="clear" w:color="auto" w:fill="auto"/>
            <w:vAlign w:val="center"/>
          </w:tcPr>
          <w:p w:rsidR="006506F2" w:rsidRPr="00442E1D" w:rsidRDefault="00442E1D" w:rsidP="003F7D77">
            <w:pPr>
              <w:jc w:val="both"/>
              <w:rPr>
                <w:color w:val="auto"/>
                <w:sz w:val="28"/>
                <w:szCs w:val="22"/>
              </w:rPr>
            </w:pPr>
            <w:r w:rsidRPr="00442E1D">
              <w:rPr>
                <w:color w:val="auto"/>
                <w:sz w:val="28"/>
                <w:szCs w:val="22"/>
              </w:rPr>
              <w:t xml:space="preserve">(i) James Rincón Castaño (Instituto Distrital de la </w:t>
            </w:r>
            <w:r w:rsidRPr="00442E1D">
              <w:rPr>
                <w:color w:val="auto"/>
                <w:sz w:val="28"/>
                <w:szCs w:val="22"/>
              </w:rPr>
              <w:t>Participación y Acción Comunal</w:t>
            </w:r>
            <w:r w:rsidRPr="00442E1D">
              <w:rPr>
                <w:color w:val="auto"/>
                <w:sz w:val="28"/>
                <w:szCs w:val="22"/>
              </w:rPr>
              <w:t xml:space="preserve"> de Bogotá</w:t>
            </w:r>
            <w:r w:rsidRPr="00442E1D">
              <w:rPr>
                <w:color w:val="auto"/>
                <w:sz w:val="28"/>
                <w:szCs w:val="22"/>
              </w:rPr>
              <w:t>)</w:t>
            </w:r>
            <w:r w:rsidRPr="00442E1D">
              <w:rPr>
                <w:rStyle w:val="Refdenotaalpie"/>
                <w:color w:val="auto"/>
                <w:sz w:val="28"/>
                <w:szCs w:val="22"/>
              </w:rPr>
              <w:footnoteReference w:id="15"/>
            </w:r>
            <w:r w:rsidRPr="00442E1D">
              <w:rPr>
                <w:color w:val="auto"/>
                <w:sz w:val="28"/>
                <w:szCs w:val="22"/>
              </w:rPr>
              <w:t>,</w:t>
            </w:r>
            <w:r w:rsidRPr="00442E1D">
              <w:rPr>
                <w:color w:val="auto"/>
                <w:sz w:val="28"/>
                <w:szCs w:val="22"/>
              </w:rPr>
              <w:t xml:space="preserve"> (ii) Santiago Cardozo Correcha</w:t>
            </w:r>
            <w:r w:rsidRPr="00442E1D">
              <w:rPr>
                <w:color w:val="auto"/>
                <w:sz w:val="28"/>
                <w:szCs w:val="22"/>
              </w:rPr>
              <w:t xml:space="preserve"> (solicitud subsidiaria)</w:t>
            </w:r>
            <w:r w:rsidRPr="00442E1D">
              <w:rPr>
                <w:color w:val="auto"/>
                <w:sz w:val="28"/>
                <w:szCs w:val="22"/>
              </w:rPr>
              <w:t xml:space="preserve"> y</w:t>
            </w:r>
            <w:r w:rsidRPr="00442E1D">
              <w:rPr>
                <w:color w:val="auto"/>
                <w:sz w:val="28"/>
                <w:szCs w:val="22"/>
              </w:rPr>
              <w:t xml:space="preserve"> (iii) Rubén Darío Gómez Franco, Juan David Retrepo Cardona, Marco Alberto Pérez Jácome y Milena Ramírez Díaz (Universidad de Antioquia)</w:t>
            </w:r>
          </w:p>
        </w:tc>
        <w:tc>
          <w:tcPr>
            <w:tcW w:w="1069" w:type="pct"/>
            <w:shd w:val="clear" w:color="auto" w:fill="auto"/>
            <w:vAlign w:val="center"/>
          </w:tcPr>
          <w:p w:rsidR="006506F2" w:rsidRPr="00442E1D" w:rsidRDefault="00442E1D" w:rsidP="003F7D77">
            <w:pPr>
              <w:pStyle w:val="Prrafodelista"/>
              <w:ind w:left="0"/>
              <w:jc w:val="both"/>
              <w:rPr>
                <w:color w:val="auto"/>
                <w:sz w:val="28"/>
                <w:szCs w:val="22"/>
              </w:rPr>
            </w:pPr>
          </w:p>
        </w:tc>
      </w:tr>
      <w:tr w:rsidR="00C97FE9" w:rsidRPr="00442E1D" w:rsidTr="00531014">
        <w:trPr>
          <w:jc w:val="center"/>
        </w:trPr>
        <w:tc>
          <w:tcPr>
            <w:tcW w:w="1283" w:type="pct"/>
            <w:vAlign w:val="center"/>
          </w:tcPr>
          <w:p w:rsidR="006506F2" w:rsidRPr="00442E1D" w:rsidRDefault="00442E1D" w:rsidP="003F7D77">
            <w:pPr>
              <w:pStyle w:val="Prrafodelista"/>
              <w:ind w:left="0"/>
              <w:jc w:val="both"/>
              <w:rPr>
                <w:color w:val="auto"/>
                <w:sz w:val="28"/>
                <w:szCs w:val="22"/>
              </w:rPr>
            </w:pPr>
            <w:r w:rsidRPr="00442E1D">
              <w:rPr>
                <w:color w:val="auto"/>
                <w:sz w:val="28"/>
                <w:szCs w:val="22"/>
              </w:rPr>
              <w:t xml:space="preserve">Conceptos de organismos y entidades del Estado </w:t>
            </w:r>
            <w:r w:rsidRPr="00442E1D">
              <w:rPr>
                <w:rStyle w:val="Ttulo1Car"/>
                <w:rFonts w:ascii="Times New Roman" w:hAnsi="Times New Roman" w:cs="Times New Roman"/>
                <w:b w:val="0"/>
                <w:color w:val="auto"/>
                <w:sz w:val="28"/>
                <w:szCs w:val="22"/>
              </w:rPr>
              <w:t>(artículo 11</w:t>
            </w:r>
            <w:r w:rsidRPr="00442E1D">
              <w:rPr>
                <w:rStyle w:val="Ttulo1Car"/>
                <w:rFonts w:ascii="Times New Roman" w:hAnsi="Times New Roman" w:cs="Times New Roman"/>
                <w:color w:val="auto"/>
                <w:sz w:val="28"/>
                <w:szCs w:val="22"/>
              </w:rPr>
              <w:t xml:space="preserve"> </w:t>
            </w:r>
            <w:r w:rsidRPr="00442E1D">
              <w:rPr>
                <w:rStyle w:val="Ttulo1Car"/>
                <w:rFonts w:ascii="Times New Roman" w:hAnsi="Times New Roman" w:cs="Times New Roman"/>
                <w:b w:val="0"/>
                <w:color w:val="auto"/>
                <w:sz w:val="28"/>
                <w:szCs w:val="22"/>
              </w:rPr>
              <w:t>del Decreto 2067 de 1991)</w:t>
            </w:r>
            <w:r w:rsidRPr="00442E1D">
              <w:rPr>
                <w:rStyle w:val="Refdenotaalpie"/>
                <w:color w:val="auto"/>
                <w:sz w:val="28"/>
                <w:szCs w:val="22"/>
              </w:rPr>
              <w:footnoteReference w:id="16"/>
            </w:r>
            <w:r w:rsidRPr="00442E1D">
              <w:rPr>
                <w:color w:val="auto"/>
                <w:sz w:val="28"/>
                <w:szCs w:val="22"/>
              </w:rPr>
              <w:t>.</w:t>
            </w:r>
          </w:p>
        </w:tc>
        <w:tc>
          <w:tcPr>
            <w:tcW w:w="882" w:type="pct"/>
            <w:vAlign w:val="center"/>
          </w:tcPr>
          <w:p w:rsidR="006506F2" w:rsidRPr="00442E1D" w:rsidRDefault="00442E1D" w:rsidP="003F7D77">
            <w:pPr>
              <w:pStyle w:val="Prrafodelista"/>
              <w:ind w:left="0"/>
              <w:jc w:val="both"/>
              <w:rPr>
                <w:color w:val="auto"/>
                <w:sz w:val="28"/>
                <w:szCs w:val="22"/>
              </w:rPr>
            </w:pPr>
          </w:p>
        </w:tc>
        <w:tc>
          <w:tcPr>
            <w:tcW w:w="1766" w:type="pct"/>
            <w:shd w:val="clear" w:color="auto" w:fill="auto"/>
            <w:vAlign w:val="center"/>
          </w:tcPr>
          <w:p w:rsidR="006506F2" w:rsidRPr="00442E1D" w:rsidRDefault="00442E1D" w:rsidP="003F7D77">
            <w:pPr>
              <w:pStyle w:val="Prrafodelista"/>
              <w:ind w:left="0"/>
              <w:jc w:val="both"/>
              <w:rPr>
                <w:color w:val="auto"/>
                <w:sz w:val="28"/>
                <w:szCs w:val="22"/>
              </w:rPr>
            </w:pPr>
            <w:r w:rsidRPr="00442E1D">
              <w:rPr>
                <w:color w:val="auto"/>
                <w:sz w:val="28"/>
                <w:szCs w:val="22"/>
              </w:rPr>
              <w:t>Ministerio de Vivienda, Ciudad y Territorio</w:t>
            </w:r>
          </w:p>
        </w:tc>
        <w:tc>
          <w:tcPr>
            <w:tcW w:w="1069" w:type="pct"/>
            <w:shd w:val="clear" w:color="auto" w:fill="auto"/>
            <w:vAlign w:val="center"/>
          </w:tcPr>
          <w:p w:rsidR="006506F2" w:rsidRPr="00442E1D" w:rsidRDefault="00442E1D" w:rsidP="003F7D77">
            <w:pPr>
              <w:pStyle w:val="Prrafodelista"/>
              <w:ind w:left="0"/>
              <w:jc w:val="both"/>
              <w:rPr>
                <w:color w:val="auto"/>
                <w:sz w:val="28"/>
                <w:szCs w:val="22"/>
              </w:rPr>
            </w:pPr>
          </w:p>
        </w:tc>
      </w:tr>
      <w:tr w:rsidR="00C97FE9" w:rsidRPr="00442E1D" w:rsidTr="00531014">
        <w:trPr>
          <w:jc w:val="center"/>
        </w:trPr>
        <w:tc>
          <w:tcPr>
            <w:tcW w:w="1283" w:type="pct"/>
            <w:vAlign w:val="center"/>
          </w:tcPr>
          <w:p w:rsidR="006506F2" w:rsidRPr="00442E1D" w:rsidRDefault="00442E1D" w:rsidP="003F7D77">
            <w:pPr>
              <w:pStyle w:val="Prrafodelista"/>
              <w:ind w:left="0"/>
              <w:jc w:val="both"/>
              <w:rPr>
                <w:color w:val="auto"/>
                <w:sz w:val="28"/>
                <w:szCs w:val="22"/>
                <w:lang w:val="es-ES_tradnl"/>
              </w:rPr>
            </w:pPr>
            <w:r w:rsidRPr="00442E1D">
              <w:rPr>
                <w:rStyle w:val="Ttulo1Car"/>
                <w:rFonts w:ascii="Times New Roman" w:hAnsi="Times New Roman" w:cs="Times New Roman"/>
                <w:b w:val="0"/>
                <w:color w:val="auto"/>
                <w:sz w:val="28"/>
                <w:szCs w:val="22"/>
              </w:rPr>
              <w:t>Conceptos de organizaciones, entidades y expertos invitados (artículo 13 del Decreto 2067 de 1991)</w:t>
            </w:r>
            <w:r w:rsidRPr="00442E1D">
              <w:rPr>
                <w:rStyle w:val="Refdenotaalpie"/>
                <w:color w:val="auto"/>
                <w:sz w:val="28"/>
                <w:szCs w:val="22"/>
                <w:shd w:val="clear" w:color="auto" w:fill="FFFFFF"/>
              </w:rPr>
              <w:footnoteReference w:id="17"/>
            </w:r>
            <w:r w:rsidRPr="00442E1D">
              <w:rPr>
                <w:color w:val="auto"/>
                <w:sz w:val="28"/>
                <w:szCs w:val="22"/>
                <w:shd w:val="clear" w:color="auto" w:fill="FFFFFF"/>
              </w:rPr>
              <w:t>.</w:t>
            </w:r>
          </w:p>
        </w:tc>
        <w:tc>
          <w:tcPr>
            <w:tcW w:w="882" w:type="pct"/>
            <w:vAlign w:val="center"/>
          </w:tcPr>
          <w:p w:rsidR="006506F2" w:rsidRPr="00442E1D" w:rsidRDefault="00442E1D" w:rsidP="003F7D77">
            <w:pPr>
              <w:pStyle w:val="Prrafodelista"/>
              <w:ind w:left="0"/>
              <w:jc w:val="both"/>
              <w:rPr>
                <w:color w:val="auto"/>
                <w:sz w:val="28"/>
                <w:szCs w:val="22"/>
                <w:lang w:val="es-ES_tradnl"/>
              </w:rPr>
            </w:pPr>
            <w:r w:rsidRPr="00442E1D">
              <w:rPr>
                <w:color w:val="auto"/>
                <w:sz w:val="28"/>
                <w:szCs w:val="22"/>
                <w:lang w:val="es-ES_tradnl"/>
              </w:rPr>
              <w:t xml:space="preserve">(i) Instituto </w:t>
            </w:r>
            <w:r w:rsidRPr="00442E1D">
              <w:rPr>
                <w:color w:val="auto"/>
                <w:sz w:val="28"/>
                <w:szCs w:val="22"/>
                <w:lang w:val="es-ES_tradnl"/>
              </w:rPr>
              <w:t>Colombiano de Derecho Procesal (solicitud principal)</w:t>
            </w:r>
            <w:r w:rsidRPr="00442E1D">
              <w:rPr>
                <w:color w:val="auto"/>
                <w:sz w:val="28"/>
                <w:szCs w:val="22"/>
                <w:lang w:val="es-ES_tradnl"/>
              </w:rPr>
              <w:t xml:space="preserve"> y (ii) </w:t>
            </w:r>
            <w:r w:rsidRPr="00442E1D">
              <w:rPr>
                <w:color w:val="auto"/>
                <w:sz w:val="28"/>
                <w:szCs w:val="22"/>
              </w:rPr>
              <w:t>Universidad Pontificia Bolivariana –sede Medellín–</w:t>
            </w:r>
          </w:p>
        </w:tc>
        <w:tc>
          <w:tcPr>
            <w:tcW w:w="1766" w:type="pct"/>
            <w:shd w:val="clear" w:color="auto" w:fill="auto"/>
            <w:vAlign w:val="center"/>
          </w:tcPr>
          <w:p w:rsidR="006506F2" w:rsidRPr="00442E1D" w:rsidRDefault="00442E1D" w:rsidP="003F7D77">
            <w:pPr>
              <w:pStyle w:val="Prrafodelista"/>
              <w:ind w:left="0"/>
              <w:jc w:val="both"/>
              <w:rPr>
                <w:color w:val="auto"/>
                <w:sz w:val="28"/>
                <w:szCs w:val="22"/>
                <w:lang w:val="es-ES_tradnl"/>
              </w:rPr>
            </w:pPr>
            <w:r w:rsidRPr="00442E1D">
              <w:rPr>
                <w:color w:val="auto"/>
                <w:sz w:val="28"/>
                <w:szCs w:val="22"/>
                <w:lang w:val="es-ES_tradnl"/>
              </w:rPr>
              <w:t>(i) Instituto Colombiano de Derecho Procesal</w:t>
            </w:r>
            <w:r w:rsidRPr="00442E1D">
              <w:rPr>
                <w:color w:val="auto"/>
                <w:sz w:val="28"/>
                <w:szCs w:val="22"/>
                <w:lang w:val="es-ES_tradnl"/>
              </w:rPr>
              <w:t xml:space="preserve"> (solicitud subsidiaria de exequibilidad condicionada)</w:t>
            </w:r>
            <w:r w:rsidRPr="00442E1D">
              <w:rPr>
                <w:color w:val="auto"/>
                <w:sz w:val="28"/>
                <w:szCs w:val="22"/>
                <w:lang w:val="es-ES_tradnl"/>
              </w:rPr>
              <w:t>, (ii) Secretaría Distrital del Hábitat</w:t>
            </w:r>
            <w:r w:rsidRPr="00442E1D">
              <w:rPr>
                <w:color w:val="auto"/>
                <w:sz w:val="28"/>
                <w:szCs w:val="22"/>
                <w:lang w:val="es-ES_tradnl"/>
              </w:rPr>
              <w:t xml:space="preserve"> de Bogo</w:t>
            </w:r>
            <w:r w:rsidRPr="00442E1D">
              <w:rPr>
                <w:color w:val="auto"/>
                <w:sz w:val="28"/>
                <w:szCs w:val="22"/>
                <w:lang w:val="es-ES_tradnl"/>
              </w:rPr>
              <w:t>tá</w:t>
            </w:r>
            <w:r w:rsidRPr="00442E1D">
              <w:rPr>
                <w:color w:val="auto"/>
                <w:sz w:val="28"/>
                <w:szCs w:val="22"/>
                <w:lang w:val="es-ES_tradnl"/>
              </w:rPr>
              <w:t xml:space="preserve"> y</w:t>
            </w:r>
            <w:r w:rsidRPr="00442E1D">
              <w:rPr>
                <w:color w:val="auto"/>
                <w:sz w:val="28"/>
                <w:szCs w:val="22"/>
                <w:lang w:val="es-ES_tradnl"/>
              </w:rPr>
              <w:t xml:space="preserve"> (iii) Universidad </w:t>
            </w:r>
            <w:r w:rsidRPr="00442E1D">
              <w:rPr>
                <w:color w:val="auto"/>
                <w:sz w:val="28"/>
                <w:szCs w:val="22"/>
                <w:lang w:val="es-ES_tradnl"/>
              </w:rPr>
              <w:t xml:space="preserve">Javeriana </w:t>
            </w:r>
            <w:r w:rsidRPr="00442E1D">
              <w:rPr>
                <w:color w:val="auto"/>
                <w:sz w:val="28"/>
                <w:szCs w:val="22"/>
                <w:lang w:val="es-ES_tradnl"/>
              </w:rPr>
              <w:t>(solicitud de exequ</w:t>
            </w:r>
            <w:r w:rsidRPr="00442E1D">
              <w:rPr>
                <w:color w:val="auto"/>
                <w:sz w:val="28"/>
                <w:szCs w:val="22"/>
                <w:lang w:val="es-ES_tradnl"/>
              </w:rPr>
              <w:t>i</w:t>
            </w:r>
            <w:r w:rsidRPr="00442E1D">
              <w:rPr>
                <w:color w:val="auto"/>
                <w:sz w:val="28"/>
                <w:szCs w:val="22"/>
                <w:lang w:val="es-ES_tradnl"/>
              </w:rPr>
              <w:t>bilidad condicionada)</w:t>
            </w:r>
          </w:p>
        </w:tc>
        <w:tc>
          <w:tcPr>
            <w:tcW w:w="1069" w:type="pct"/>
            <w:shd w:val="clear" w:color="auto" w:fill="auto"/>
            <w:vAlign w:val="center"/>
          </w:tcPr>
          <w:p w:rsidR="006506F2" w:rsidRPr="00442E1D" w:rsidRDefault="00442E1D" w:rsidP="003F7D77">
            <w:pPr>
              <w:widowControl/>
              <w:jc w:val="both"/>
              <w:rPr>
                <w:color w:val="auto"/>
                <w:sz w:val="28"/>
                <w:szCs w:val="22"/>
                <w:lang w:val="es-ES_tradnl"/>
              </w:rPr>
            </w:pPr>
            <w:r w:rsidRPr="00442E1D">
              <w:rPr>
                <w:color w:val="auto"/>
                <w:sz w:val="28"/>
                <w:szCs w:val="22"/>
                <w:lang w:val="es-ES_tradnl"/>
              </w:rPr>
              <w:t>Colegio de Administradores de Propiedad Horizontal de Bogotá</w:t>
            </w:r>
            <w:r w:rsidRPr="00442E1D">
              <w:rPr>
                <w:color w:val="auto"/>
                <w:sz w:val="28"/>
                <w:szCs w:val="22"/>
                <w:lang w:val="es-ES_tradnl"/>
              </w:rPr>
              <w:t xml:space="preserve"> (solicitud subsidiaria de exequibilidad condicionada)</w:t>
            </w:r>
          </w:p>
        </w:tc>
      </w:tr>
      <w:tr w:rsidR="006506F2" w:rsidRPr="00442E1D" w:rsidTr="00531014">
        <w:trPr>
          <w:jc w:val="center"/>
        </w:trPr>
        <w:tc>
          <w:tcPr>
            <w:tcW w:w="1283" w:type="pct"/>
            <w:vAlign w:val="center"/>
          </w:tcPr>
          <w:p w:rsidR="006506F2" w:rsidRPr="00442E1D" w:rsidRDefault="00442E1D" w:rsidP="003F7D77">
            <w:pPr>
              <w:pStyle w:val="Prrafodelista"/>
              <w:ind w:left="0"/>
              <w:jc w:val="both"/>
              <w:rPr>
                <w:rStyle w:val="Ttulo1Car"/>
                <w:rFonts w:ascii="Times New Roman" w:hAnsi="Times New Roman" w:cs="Times New Roman"/>
                <w:b w:val="0"/>
                <w:color w:val="auto"/>
                <w:sz w:val="28"/>
                <w:szCs w:val="22"/>
              </w:rPr>
            </w:pPr>
            <w:r w:rsidRPr="00442E1D">
              <w:rPr>
                <w:rStyle w:val="Ttulo1Car"/>
                <w:rFonts w:ascii="Times New Roman" w:hAnsi="Times New Roman" w:cs="Times New Roman"/>
                <w:b w:val="0"/>
                <w:color w:val="auto"/>
                <w:sz w:val="28"/>
                <w:szCs w:val="22"/>
              </w:rPr>
              <w:t>Concepto de la Procuradora General de la Nación (artículos 38 y 7</w:t>
            </w:r>
            <w:r w:rsidRPr="00442E1D">
              <w:rPr>
                <w:rStyle w:val="Ttulo1Car"/>
                <w:rFonts w:ascii="Times New Roman" w:hAnsi="Times New Roman" w:cs="Times New Roman"/>
                <w:b w:val="0"/>
                <w:color w:val="auto"/>
                <w:sz w:val="28"/>
                <w:szCs w:val="22"/>
              </w:rPr>
              <w:t xml:space="preserve"> del Decreto 2067 de 1991)</w:t>
            </w:r>
          </w:p>
        </w:tc>
        <w:tc>
          <w:tcPr>
            <w:tcW w:w="882" w:type="pct"/>
            <w:vAlign w:val="center"/>
          </w:tcPr>
          <w:p w:rsidR="006506F2" w:rsidRPr="00442E1D" w:rsidRDefault="00442E1D" w:rsidP="003F7D77">
            <w:pPr>
              <w:pStyle w:val="Prrafodelista"/>
              <w:ind w:left="0"/>
              <w:jc w:val="both"/>
              <w:rPr>
                <w:color w:val="auto"/>
                <w:sz w:val="28"/>
                <w:szCs w:val="22"/>
                <w:lang w:val="es-ES_tradnl"/>
              </w:rPr>
            </w:pPr>
            <w:r w:rsidRPr="00442E1D">
              <w:rPr>
                <w:color w:val="auto"/>
                <w:sz w:val="28"/>
                <w:szCs w:val="22"/>
                <w:lang w:val="es-ES_tradnl"/>
              </w:rPr>
              <w:t>Solicita una decisión inhibitoria</w:t>
            </w:r>
            <w:r w:rsidRPr="00442E1D">
              <w:rPr>
                <w:color w:val="auto"/>
                <w:sz w:val="28"/>
                <w:szCs w:val="22"/>
                <w:lang w:val="es-ES_tradnl"/>
              </w:rPr>
              <w:t>.</w:t>
            </w:r>
          </w:p>
        </w:tc>
        <w:tc>
          <w:tcPr>
            <w:tcW w:w="1766" w:type="pct"/>
            <w:shd w:val="clear" w:color="auto" w:fill="auto"/>
            <w:vAlign w:val="center"/>
          </w:tcPr>
          <w:p w:rsidR="006506F2" w:rsidRPr="00442E1D" w:rsidRDefault="00442E1D" w:rsidP="003F7D77">
            <w:pPr>
              <w:pStyle w:val="Prrafodelista"/>
              <w:ind w:left="0"/>
              <w:jc w:val="both"/>
              <w:rPr>
                <w:color w:val="auto"/>
                <w:sz w:val="28"/>
                <w:szCs w:val="22"/>
                <w:lang w:val="es-ES_tradnl"/>
              </w:rPr>
            </w:pPr>
          </w:p>
        </w:tc>
        <w:tc>
          <w:tcPr>
            <w:tcW w:w="1069" w:type="pct"/>
            <w:shd w:val="clear" w:color="auto" w:fill="auto"/>
            <w:vAlign w:val="center"/>
          </w:tcPr>
          <w:p w:rsidR="006506F2" w:rsidRPr="00442E1D" w:rsidRDefault="00442E1D" w:rsidP="003F7D77">
            <w:pPr>
              <w:widowControl/>
              <w:jc w:val="both"/>
              <w:rPr>
                <w:color w:val="auto"/>
                <w:sz w:val="28"/>
                <w:szCs w:val="22"/>
                <w:lang w:val="es-ES_tradnl"/>
              </w:rPr>
            </w:pPr>
          </w:p>
        </w:tc>
      </w:tr>
    </w:tbl>
    <w:p w:rsidR="00EE311B" w:rsidRPr="00442E1D" w:rsidRDefault="00442E1D" w:rsidP="003F7D77">
      <w:pPr>
        <w:jc w:val="both"/>
        <w:rPr>
          <w:rFonts w:ascii="Times New Roman" w:hAnsi="Times New Roman" w:cs="Times New Roman"/>
          <w:sz w:val="28"/>
          <w:szCs w:val="28"/>
        </w:rPr>
      </w:pPr>
    </w:p>
    <w:p w:rsidR="00BA0726" w:rsidRPr="00442E1D" w:rsidRDefault="00442E1D" w:rsidP="003F7D77">
      <w:pPr>
        <w:pStyle w:val="Estilo1"/>
        <w:numPr>
          <w:ilvl w:val="0"/>
          <w:numId w:val="3"/>
        </w:numPr>
        <w:ind w:left="0" w:firstLine="0"/>
        <w:outlineLvl w:val="0"/>
        <w:rPr>
          <w:rStyle w:val="Ttulo1Car"/>
          <w:rFonts w:ascii="Times New Roman" w:hAnsi="Times New Roman" w:cs="Times New Roman"/>
          <w:bCs/>
          <w:color w:val="auto"/>
          <w:sz w:val="28"/>
          <w:szCs w:val="28"/>
        </w:rPr>
      </w:pPr>
      <w:r w:rsidRPr="00442E1D">
        <w:rPr>
          <w:rStyle w:val="Ttulo1Car"/>
          <w:rFonts w:ascii="Times New Roman" w:hAnsi="Times New Roman" w:cs="Times New Roman"/>
          <w:bCs/>
          <w:color w:val="auto"/>
          <w:sz w:val="28"/>
          <w:szCs w:val="28"/>
        </w:rPr>
        <w:t>Argumentos de quienes solicitan una decisión inhibitoria</w:t>
      </w:r>
    </w:p>
    <w:p w:rsidR="00BA0726" w:rsidRPr="00442E1D" w:rsidRDefault="00442E1D" w:rsidP="003F7D77">
      <w:pPr>
        <w:jc w:val="both"/>
        <w:rPr>
          <w:rFonts w:ascii="Times New Roman" w:hAnsi="Times New Roman" w:cs="Times New Roman"/>
          <w:sz w:val="28"/>
          <w:szCs w:val="28"/>
        </w:rPr>
      </w:pPr>
    </w:p>
    <w:p w:rsidR="00D10E5E"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El Viceprocurador General de la Nación</w:t>
      </w:r>
      <w:r w:rsidRPr="00442E1D">
        <w:rPr>
          <w:rStyle w:val="Refdenotaalpie"/>
          <w:rFonts w:ascii="Times New Roman" w:hAnsi="Times New Roman" w:cs="Times New Roman"/>
          <w:sz w:val="28"/>
          <w:szCs w:val="28"/>
        </w:rPr>
        <w:footnoteReference w:id="18"/>
      </w:r>
      <w:r w:rsidRPr="00442E1D">
        <w:rPr>
          <w:rFonts w:ascii="Times New Roman" w:hAnsi="Times New Roman" w:cs="Times New Roman"/>
          <w:sz w:val="28"/>
          <w:szCs w:val="28"/>
        </w:rPr>
        <w:t>, c</w:t>
      </w:r>
      <w:r w:rsidRPr="00442E1D">
        <w:rPr>
          <w:rFonts w:ascii="Times New Roman" w:hAnsi="Times New Roman" w:cs="Times New Roman"/>
          <w:sz w:val="28"/>
          <w:szCs w:val="28"/>
        </w:rPr>
        <w:t>omo petición única,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y </w:t>
      </w:r>
      <w:r w:rsidRPr="00442E1D">
        <w:rPr>
          <w:rFonts w:ascii="Times New Roman" w:hAnsi="Times New Roman" w:cs="Times New Roman"/>
          <w:sz w:val="28"/>
          <w:szCs w:val="28"/>
        </w:rPr>
        <w:t xml:space="preserve">el ciudadano Santiago Cardozo Correcha, el </w:t>
      </w:r>
      <w:r w:rsidRPr="00442E1D">
        <w:rPr>
          <w:rFonts w:ascii="Times New Roman" w:hAnsi="Times New Roman" w:cs="Times New Roman"/>
          <w:sz w:val="28"/>
          <w:szCs w:val="28"/>
        </w:rPr>
        <w:t xml:space="preserve">Instituto Colombiano de </w:t>
      </w:r>
      <w:r w:rsidRPr="00442E1D">
        <w:rPr>
          <w:rFonts w:ascii="Times New Roman" w:hAnsi="Times New Roman" w:cs="Times New Roman"/>
          <w:sz w:val="28"/>
          <w:szCs w:val="28"/>
        </w:rPr>
        <w:t>Derecho Procesal</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y la Universidad Pontificia Bolivariana </w:t>
      </w:r>
      <w:r w:rsidRPr="00442E1D">
        <w:rPr>
          <w:rFonts w:ascii="Times New Roman" w:hAnsi="Times New Roman" w:cs="Times New Roman"/>
          <w:sz w:val="28"/>
          <w:szCs w:val="28"/>
        </w:rPr>
        <w:t>–sede Medellín–</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como solicitud principal, </w:t>
      </w:r>
      <w:r w:rsidRPr="00442E1D">
        <w:rPr>
          <w:rFonts w:ascii="Times New Roman" w:hAnsi="Times New Roman" w:cs="Times New Roman"/>
          <w:sz w:val="28"/>
          <w:szCs w:val="28"/>
        </w:rPr>
        <w:t>solicita</w:t>
      </w:r>
      <w:r w:rsidRPr="00442E1D">
        <w:rPr>
          <w:rFonts w:ascii="Times New Roman" w:hAnsi="Times New Roman" w:cs="Times New Roman"/>
          <w:sz w:val="28"/>
          <w:szCs w:val="28"/>
        </w:rPr>
        <w:t>n</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a</w:t>
      </w:r>
      <w:r w:rsidRPr="00442E1D">
        <w:rPr>
          <w:rFonts w:ascii="Times New Roman" w:hAnsi="Times New Roman" w:cs="Times New Roman"/>
          <w:sz w:val="28"/>
          <w:szCs w:val="28"/>
        </w:rPr>
        <w:t xml:space="preserve"> la Corte </w:t>
      </w:r>
      <w:r w:rsidRPr="00442E1D">
        <w:rPr>
          <w:rFonts w:ascii="Times New Roman" w:hAnsi="Times New Roman" w:cs="Times New Roman"/>
          <w:sz w:val="28"/>
          <w:szCs w:val="28"/>
        </w:rPr>
        <w:t xml:space="preserve">declararse </w:t>
      </w:r>
      <w:r w:rsidRPr="00442E1D">
        <w:rPr>
          <w:rFonts w:ascii="Times New Roman" w:hAnsi="Times New Roman" w:cs="Times New Roman"/>
          <w:sz w:val="28"/>
          <w:szCs w:val="28"/>
        </w:rPr>
        <w:t>inhib</w:t>
      </w:r>
      <w:r w:rsidRPr="00442E1D">
        <w:rPr>
          <w:rFonts w:ascii="Times New Roman" w:hAnsi="Times New Roman" w:cs="Times New Roman"/>
          <w:sz w:val="28"/>
          <w:szCs w:val="28"/>
        </w:rPr>
        <w:t>ida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para</w:t>
      </w:r>
      <w:r w:rsidRPr="00442E1D">
        <w:rPr>
          <w:rFonts w:ascii="Times New Roman" w:hAnsi="Times New Roman" w:cs="Times New Roman"/>
          <w:sz w:val="28"/>
          <w:szCs w:val="28"/>
        </w:rPr>
        <w:t xml:space="preserve"> emitir un pronunciamiento de fondo.</w:t>
      </w:r>
    </w:p>
    <w:p w:rsidR="00D10E5E" w:rsidRPr="00442E1D" w:rsidRDefault="00442E1D" w:rsidP="003F7D77">
      <w:pPr>
        <w:pStyle w:val="Prrafodelista"/>
        <w:ind w:left="0"/>
        <w:jc w:val="both"/>
        <w:rPr>
          <w:rFonts w:ascii="Times New Roman" w:hAnsi="Times New Roman" w:cs="Times New Roman"/>
          <w:sz w:val="28"/>
          <w:szCs w:val="28"/>
        </w:rPr>
      </w:pPr>
    </w:p>
    <w:p w:rsidR="00633A53"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Para </w:t>
      </w:r>
      <w:r w:rsidRPr="00442E1D">
        <w:rPr>
          <w:rFonts w:ascii="Times New Roman" w:hAnsi="Times New Roman" w:cs="Times New Roman"/>
          <w:sz w:val="28"/>
          <w:szCs w:val="28"/>
        </w:rPr>
        <w:t xml:space="preserve">el ciudadano Cardozo Correcha, la demanda no cumple con las </w:t>
      </w:r>
      <w:r w:rsidRPr="00442E1D">
        <w:rPr>
          <w:rFonts w:ascii="Times New Roman" w:hAnsi="Times New Roman" w:cs="Times New Roman"/>
          <w:sz w:val="28"/>
          <w:szCs w:val="28"/>
        </w:rPr>
        <w:t>exigencias de pertinencia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ni de</w:t>
      </w:r>
      <w:r w:rsidRPr="00442E1D">
        <w:rPr>
          <w:rFonts w:ascii="Times New Roman" w:hAnsi="Times New Roman" w:cs="Times New Roman"/>
          <w:sz w:val="28"/>
          <w:szCs w:val="28"/>
        </w:rPr>
        <w:t xml:space="preserve"> certeza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ya que, de un lado, </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busca una situación de conveniencia o corrección de la norma interpretada, ofreciendo evidencia empírica que se construye a partir de concepciones personales”, y, de otro, </w:t>
      </w:r>
      <w:r w:rsidRPr="00442E1D">
        <w:rPr>
          <w:rFonts w:ascii="Times New Roman" w:hAnsi="Times New Roman" w:cs="Times New Roman"/>
          <w:sz w:val="28"/>
          <w:szCs w:val="28"/>
        </w:rPr>
        <w:t>“</w:t>
      </w:r>
      <w:r w:rsidRPr="00442E1D">
        <w:rPr>
          <w:rFonts w:ascii="Times New Roman" w:hAnsi="Times New Roman" w:cs="Times New Roman"/>
          <w:sz w:val="28"/>
          <w:szCs w:val="28"/>
        </w:rPr>
        <w:t>se basa en una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interp</w:t>
      </w:r>
      <w:r w:rsidRPr="00442E1D">
        <w:rPr>
          <w:rFonts w:ascii="Times New Roman" w:hAnsi="Times New Roman" w:cs="Times New Roman"/>
          <w:sz w:val="28"/>
          <w:szCs w:val="28"/>
        </w:rPr>
        <w:t>retación subjetiva del texto acusado</w:t>
      </w:r>
      <w:r w:rsidRPr="00442E1D">
        <w:rPr>
          <w:rFonts w:ascii="Times New Roman" w:hAnsi="Times New Roman" w:cs="Times New Roman"/>
          <w:sz w:val="28"/>
          <w:szCs w:val="28"/>
        </w:rPr>
        <w:t>”</w:t>
      </w:r>
      <w:r w:rsidRPr="00442E1D">
        <w:rPr>
          <w:rFonts w:ascii="Times New Roman" w:hAnsi="Times New Roman" w:cs="Times New Roman"/>
          <w:sz w:val="28"/>
          <w:szCs w:val="28"/>
        </w:rPr>
        <w:t>.</w:t>
      </w:r>
    </w:p>
    <w:p w:rsidR="00633A53" w:rsidRPr="00442E1D" w:rsidRDefault="00442E1D" w:rsidP="003F7D77">
      <w:pPr>
        <w:pStyle w:val="Prrafodelista"/>
        <w:rPr>
          <w:rFonts w:ascii="Times New Roman" w:hAnsi="Times New Roman" w:cs="Times New Roman"/>
          <w:sz w:val="28"/>
          <w:szCs w:val="28"/>
        </w:rPr>
      </w:pPr>
    </w:p>
    <w:p w:rsidR="00BF7A7D"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Para el Instituto Colombiano de Derecho Procesal, </w:t>
      </w:r>
      <w:r w:rsidRPr="00442E1D">
        <w:rPr>
          <w:rFonts w:ascii="Times New Roman" w:hAnsi="Times New Roman" w:cs="Times New Roman"/>
          <w:sz w:val="28"/>
          <w:szCs w:val="28"/>
        </w:rPr>
        <w:t>la demanda no cumple con los requisitos de claridad, certeza, especificidad, pertinencia y suficiencia</w:t>
      </w:r>
      <w:r w:rsidRPr="00442E1D">
        <w:rPr>
          <w:rFonts w:ascii="Times New Roman" w:hAnsi="Times New Roman" w:cs="Times New Roman"/>
          <w:sz w:val="28"/>
          <w:szCs w:val="28"/>
        </w:rPr>
        <w:t xml:space="preserve">. Al respecto, señala </w:t>
      </w:r>
      <w:r w:rsidRPr="00442E1D">
        <w:rPr>
          <w:rFonts w:ascii="Times New Roman" w:hAnsi="Times New Roman" w:cs="Times New Roman"/>
          <w:sz w:val="28"/>
          <w:szCs w:val="28"/>
        </w:rPr>
        <w:t>lo siguiente:</w:t>
      </w:r>
    </w:p>
    <w:p w:rsidR="00BF7A7D" w:rsidRPr="00442E1D" w:rsidRDefault="00442E1D" w:rsidP="003F7D77">
      <w:pPr>
        <w:pStyle w:val="Prrafodelista"/>
        <w:rPr>
          <w:rFonts w:ascii="Times New Roman" w:hAnsi="Times New Roman" w:cs="Times New Roman"/>
          <w:sz w:val="28"/>
          <w:szCs w:val="28"/>
        </w:rPr>
      </w:pPr>
    </w:p>
    <w:p w:rsidR="00BF7A7D" w:rsidRPr="00442E1D" w:rsidRDefault="00442E1D" w:rsidP="003F7D77">
      <w:pPr>
        <w:pStyle w:val="Prrafodelista"/>
        <w:ind w:left="567" w:right="616"/>
        <w:jc w:val="both"/>
        <w:rPr>
          <w:rFonts w:ascii="Times New Roman" w:hAnsi="Times New Roman" w:cs="Times New Roman"/>
          <w:sz w:val="28"/>
          <w:szCs w:val="24"/>
        </w:rPr>
      </w:pPr>
      <w:r w:rsidRPr="00442E1D">
        <w:rPr>
          <w:rFonts w:ascii="Times New Roman" w:hAnsi="Times New Roman" w:cs="Times New Roman"/>
          <w:sz w:val="28"/>
          <w:szCs w:val="24"/>
        </w:rPr>
        <w:t>“</w:t>
      </w:r>
      <w:r w:rsidRPr="00442E1D">
        <w:rPr>
          <w:rFonts w:ascii="Times New Roman" w:hAnsi="Times New Roman" w:cs="Times New Roman"/>
          <w:sz w:val="28"/>
          <w:szCs w:val="24"/>
        </w:rPr>
        <w:t xml:space="preserve">[…] </w:t>
      </w:r>
      <w:r w:rsidRPr="00442E1D">
        <w:rPr>
          <w:rFonts w:ascii="Times New Roman" w:hAnsi="Times New Roman" w:cs="Times New Roman"/>
          <w:sz w:val="28"/>
          <w:szCs w:val="24"/>
        </w:rPr>
        <w:t xml:space="preserve">el planteamiento </w:t>
      </w:r>
      <w:r w:rsidRPr="00442E1D">
        <w:rPr>
          <w:rFonts w:ascii="Times New Roman" w:hAnsi="Times New Roman" w:cs="Times New Roman"/>
          <w:sz w:val="28"/>
          <w:szCs w:val="24"/>
        </w:rPr>
        <w:t>formulado por el actor es producto de un ejercicio hipotético y abstracto, el cual no se deduce del tenor literal de la norma atacada que permita concluir la vulneración de la Constitución Política</w:t>
      </w:r>
      <w:r w:rsidRPr="00442E1D">
        <w:rPr>
          <w:rFonts w:ascii="Times New Roman" w:hAnsi="Times New Roman" w:cs="Times New Roman"/>
          <w:sz w:val="28"/>
          <w:szCs w:val="24"/>
        </w:rPr>
        <w:t xml:space="preserve">. </w:t>
      </w:r>
      <w:r w:rsidRPr="00442E1D">
        <w:rPr>
          <w:rFonts w:ascii="Times New Roman" w:hAnsi="Times New Roman" w:cs="Times New Roman"/>
          <w:sz w:val="28"/>
          <w:szCs w:val="24"/>
        </w:rPr>
        <w:t>El aparte demandado no dice ni insinúa que en el reglamen</w:t>
      </w:r>
      <w:r w:rsidRPr="00442E1D">
        <w:rPr>
          <w:rFonts w:ascii="Times New Roman" w:hAnsi="Times New Roman" w:cs="Times New Roman"/>
          <w:sz w:val="28"/>
          <w:szCs w:val="24"/>
        </w:rPr>
        <w:t>to de propiedad horizontal se pueda eximir del pago de la expensa común a un bien privado (propietario) o implantar otra dádiva especial en perjuicio de un bien privado, copropietario, tercero o la persona jurídica en general.</w:t>
      </w:r>
      <w:r w:rsidRPr="00442E1D">
        <w:rPr>
          <w:rFonts w:ascii="Times New Roman" w:hAnsi="Times New Roman" w:cs="Times New Roman"/>
          <w:sz w:val="28"/>
          <w:szCs w:val="24"/>
        </w:rPr>
        <w:t xml:space="preserve"> Todo lo contrario, la redacci</w:t>
      </w:r>
      <w:r w:rsidRPr="00442E1D">
        <w:rPr>
          <w:rFonts w:ascii="Times New Roman" w:hAnsi="Times New Roman" w:cs="Times New Roman"/>
          <w:sz w:val="28"/>
          <w:szCs w:val="24"/>
        </w:rPr>
        <w:t>ón de la parte final del inciso 1º del artículo 29 objeto de demanda atiende la especialidad del régimen de propiedad horizontal, cuyo índice de participación en la expensa común necesaria se determina por coeficientes o módulos de contribución según la de</w:t>
      </w:r>
      <w:r w:rsidRPr="00442E1D">
        <w:rPr>
          <w:rFonts w:ascii="Times New Roman" w:hAnsi="Times New Roman" w:cs="Times New Roman"/>
          <w:sz w:val="28"/>
          <w:szCs w:val="24"/>
        </w:rPr>
        <w:t>stinación del edificio o conjunto, que puede ser residencial, comercial o mixto”</w:t>
      </w:r>
      <w:r w:rsidRPr="00442E1D">
        <w:rPr>
          <w:rStyle w:val="Refdenotaalpie"/>
          <w:rFonts w:ascii="Times New Roman" w:hAnsi="Times New Roman" w:cs="Times New Roman"/>
          <w:sz w:val="28"/>
          <w:szCs w:val="24"/>
        </w:rPr>
        <w:footnoteReference w:id="19"/>
      </w:r>
      <w:r w:rsidRPr="00442E1D">
        <w:rPr>
          <w:rFonts w:ascii="Times New Roman" w:hAnsi="Times New Roman" w:cs="Times New Roman"/>
          <w:sz w:val="28"/>
          <w:szCs w:val="24"/>
        </w:rPr>
        <w:t>.</w:t>
      </w:r>
    </w:p>
    <w:p w:rsidR="00BF7A7D" w:rsidRPr="00442E1D" w:rsidRDefault="00442E1D" w:rsidP="003F7D77">
      <w:pPr>
        <w:pStyle w:val="Prrafodelista"/>
        <w:rPr>
          <w:rFonts w:ascii="Times New Roman" w:hAnsi="Times New Roman" w:cs="Times New Roman"/>
          <w:sz w:val="28"/>
          <w:szCs w:val="28"/>
        </w:rPr>
      </w:pPr>
    </w:p>
    <w:p w:rsidR="00502456"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P</w:t>
      </w:r>
      <w:r w:rsidRPr="00442E1D">
        <w:rPr>
          <w:rFonts w:ascii="Times New Roman" w:hAnsi="Times New Roman" w:cs="Times New Roman"/>
          <w:sz w:val="28"/>
          <w:szCs w:val="28"/>
        </w:rPr>
        <w:t xml:space="preserve">ara la </w:t>
      </w:r>
      <w:r w:rsidRPr="00442E1D">
        <w:rPr>
          <w:rFonts w:ascii="Times New Roman" w:hAnsi="Times New Roman" w:cs="Times New Roman"/>
          <w:sz w:val="28"/>
          <w:szCs w:val="28"/>
        </w:rPr>
        <w:t>Universidad Pontificia Bolivariana –sede Medellín–</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lang w:val="es-ES"/>
        </w:rPr>
        <w:t xml:space="preserve">la demanda carece de certeza </w:t>
      </w:r>
      <w:r w:rsidRPr="00442E1D">
        <w:rPr>
          <w:rFonts w:ascii="Times New Roman" w:hAnsi="Times New Roman" w:cs="Times New Roman"/>
          <w:sz w:val="28"/>
          <w:szCs w:val="28"/>
          <w:lang w:val="es-ES"/>
        </w:rPr>
        <w:t xml:space="preserve">por dos razones: de un lado, </w:t>
      </w:r>
      <w:r w:rsidRPr="00442E1D">
        <w:rPr>
          <w:rFonts w:ascii="Times New Roman" w:hAnsi="Times New Roman" w:cs="Times New Roman"/>
          <w:sz w:val="28"/>
          <w:szCs w:val="28"/>
          <w:lang w:val="es-ES"/>
        </w:rPr>
        <w:t xml:space="preserve">se fundamenta en una </w:t>
      </w:r>
      <w:r w:rsidRPr="00442E1D">
        <w:rPr>
          <w:rFonts w:ascii="Times New Roman" w:hAnsi="Times New Roman" w:cs="Times New Roman"/>
          <w:sz w:val="28"/>
          <w:szCs w:val="28"/>
          <w:lang w:val="es-ES"/>
        </w:rPr>
        <w:t xml:space="preserve">interpretación incompleta y subjetiva del </w:t>
      </w:r>
      <w:r w:rsidRPr="00442E1D">
        <w:rPr>
          <w:rFonts w:ascii="Times New Roman" w:hAnsi="Times New Roman" w:cs="Times New Roman"/>
          <w:sz w:val="28"/>
          <w:szCs w:val="28"/>
          <w:lang w:val="es-ES"/>
        </w:rPr>
        <w:t xml:space="preserve">apartado que se </w:t>
      </w:r>
      <w:r w:rsidRPr="00442E1D">
        <w:rPr>
          <w:rFonts w:ascii="Times New Roman" w:hAnsi="Times New Roman" w:cs="Times New Roman"/>
          <w:sz w:val="28"/>
          <w:szCs w:val="28"/>
          <w:lang w:val="es-ES"/>
        </w:rPr>
        <w:t>cuestiona</w:t>
      </w:r>
      <w:r w:rsidRPr="00442E1D">
        <w:rPr>
          <w:rFonts w:ascii="Times New Roman" w:hAnsi="Times New Roman" w:cs="Times New Roman"/>
          <w:sz w:val="28"/>
          <w:szCs w:val="28"/>
          <w:lang w:val="es-ES"/>
        </w:rPr>
        <w:t>, por cuanto, “si la expresión acusada se interpreta de conformidad con los artículos 3, 5 y 25 de la Ley 675 de 2001, en concordancia con las normas constitucionales que se invocan como pa</w:t>
      </w:r>
      <w:r w:rsidRPr="00442E1D">
        <w:rPr>
          <w:rFonts w:ascii="Times New Roman" w:hAnsi="Times New Roman" w:cs="Times New Roman"/>
          <w:sz w:val="28"/>
          <w:szCs w:val="28"/>
          <w:lang w:val="es-ES"/>
        </w:rPr>
        <w:t>rámetro de control, es claro que el reglamento de propiedad horizontal no puede desconocer que, solo con fundamento en el coeficiente de propiedad, corresponde calcular la proporción con que cada propietario contribuirá en las expensas comunes del edificio</w:t>
      </w:r>
      <w:r w:rsidRPr="00442E1D">
        <w:rPr>
          <w:rFonts w:ascii="Times New Roman" w:hAnsi="Times New Roman" w:cs="Times New Roman"/>
          <w:sz w:val="28"/>
          <w:szCs w:val="28"/>
          <w:lang w:val="es-ES"/>
        </w:rPr>
        <w:t xml:space="preserve"> o conjunto. Toda determinación en contrario podrá ser objeto de control judicial”.</w:t>
      </w:r>
      <w:r w:rsidRPr="00442E1D">
        <w:rPr>
          <w:rFonts w:ascii="Times New Roman" w:hAnsi="Times New Roman" w:cs="Times New Roman"/>
          <w:sz w:val="28"/>
          <w:szCs w:val="28"/>
        </w:rPr>
        <w:t xml:space="preserve"> De otro lado, </w:t>
      </w:r>
      <w:r w:rsidRPr="00442E1D">
        <w:rPr>
          <w:rFonts w:ascii="Times New Roman" w:hAnsi="Times New Roman" w:cs="Times New Roman"/>
          <w:sz w:val="28"/>
          <w:szCs w:val="28"/>
          <w:lang w:val="es-ES"/>
        </w:rPr>
        <w:t xml:space="preserve">afirma </w:t>
      </w:r>
      <w:r w:rsidRPr="00442E1D">
        <w:rPr>
          <w:rFonts w:ascii="Times New Roman" w:hAnsi="Times New Roman" w:cs="Times New Roman"/>
          <w:sz w:val="28"/>
          <w:szCs w:val="28"/>
          <w:lang w:val="es-ES"/>
        </w:rPr>
        <w:t xml:space="preserve">que </w:t>
      </w:r>
      <w:r w:rsidRPr="00442E1D">
        <w:rPr>
          <w:rFonts w:ascii="Times New Roman" w:hAnsi="Times New Roman" w:cs="Times New Roman"/>
          <w:sz w:val="28"/>
          <w:szCs w:val="28"/>
          <w:lang w:val="es-ES"/>
        </w:rPr>
        <w:t>la interpretación del demandante “</w:t>
      </w:r>
      <w:r w:rsidRPr="00442E1D">
        <w:rPr>
          <w:rFonts w:ascii="Times New Roman" w:hAnsi="Times New Roman" w:cs="Times New Roman"/>
          <w:sz w:val="28"/>
          <w:szCs w:val="28"/>
        </w:rPr>
        <w:t xml:space="preserve">se deriva de escenarios hipotéticos o conjeturales, relacionados con la posibilidad de que, a través de una </w:t>
      </w:r>
      <w:r w:rsidRPr="00442E1D">
        <w:rPr>
          <w:rFonts w:ascii="Times New Roman" w:hAnsi="Times New Roman" w:cs="Times New Roman"/>
          <w:sz w:val="28"/>
          <w:szCs w:val="28"/>
        </w:rPr>
        <w:t>decisión plasmada en el reglamento de propiedad horizontal, se adopten determinaciones contrarias a la Constitución Política”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sin plantear “un verdadero juicio de oposición entre la norma acusada y los artículos 1 y 13 constitucionales”.</w:t>
      </w:r>
      <w:r w:rsidRPr="00442E1D">
        <w:rPr>
          <w:rFonts w:ascii="Times New Roman" w:hAnsi="Times New Roman" w:cs="Times New Roman"/>
          <w:sz w:val="28"/>
          <w:szCs w:val="28"/>
        </w:rPr>
        <w:t xml:space="preserve"> Según indica, “Es</w:t>
      </w:r>
      <w:r w:rsidRPr="00442E1D">
        <w:rPr>
          <w:rFonts w:ascii="Times New Roman" w:hAnsi="Times New Roman" w:cs="Times New Roman"/>
          <w:sz w:val="28"/>
          <w:szCs w:val="28"/>
        </w:rPr>
        <w:t xml:space="preserve"> verdad que, como plantea el actor y lo corroboran algunos intervinientes, la interpretación de la norma acusada ha dado lugar a prácticas abusivas por parte de quienes ostentan las mayorías en una asamblea de copropietarios. No obstante, estas prácticas c</w:t>
      </w:r>
      <w:r w:rsidRPr="00442E1D">
        <w:rPr>
          <w:rFonts w:ascii="Times New Roman" w:hAnsi="Times New Roman" w:cs="Times New Roman"/>
          <w:sz w:val="28"/>
          <w:szCs w:val="28"/>
        </w:rPr>
        <w:t>ontrarias al ordenamiento jurídico no pueden ser objeto de análisis en sede del control abstracto de constitucionalidad”.</w:t>
      </w:r>
    </w:p>
    <w:p w:rsidR="00502456" w:rsidRPr="00442E1D" w:rsidRDefault="00442E1D" w:rsidP="003F7D77">
      <w:pPr>
        <w:pStyle w:val="Prrafodelista"/>
        <w:ind w:left="0"/>
        <w:jc w:val="both"/>
        <w:rPr>
          <w:rFonts w:ascii="Times New Roman" w:hAnsi="Times New Roman" w:cs="Times New Roman"/>
          <w:sz w:val="28"/>
          <w:szCs w:val="28"/>
        </w:rPr>
      </w:pPr>
    </w:p>
    <w:p w:rsidR="00B12037" w:rsidRPr="00442E1D" w:rsidRDefault="00442E1D" w:rsidP="003F7D77">
      <w:pPr>
        <w:pStyle w:val="Estilo1"/>
        <w:numPr>
          <w:ilvl w:val="0"/>
          <w:numId w:val="3"/>
        </w:numPr>
        <w:ind w:left="0" w:firstLine="0"/>
        <w:outlineLvl w:val="0"/>
        <w:rPr>
          <w:rStyle w:val="Ttulo1Car"/>
          <w:rFonts w:ascii="Times New Roman" w:hAnsi="Times New Roman" w:cs="Times New Roman"/>
          <w:bCs/>
          <w:color w:val="auto"/>
          <w:sz w:val="28"/>
          <w:szCs w:val="28"/>
        </w:rPr>
      </w:pPr>
      <w:r w:rsidRPr="00442E1D">
        <w:rPr>
          <w:rStyle w:val="Ttulo1Car"/>
          <w:rFonts w:ascii="Times New Roman" w:hAnsi="Times New Roman" w:cs="Times New Roman"/>
          <w:bCs/>
          <w:color w:val="auto"/>
          <w:sz w:val="28"/>
          <w:szCs w:val="28"/>
        </w:rPr>
        <w:t xml:space="preserve">Argumentos de </w:t>
      </w:r>
      <w:r w:rsidRPr="00442E1D">
        <w:rPr>
          <w:rStyle w:val="Ttulo1Car"/>
          <w:rFonts w:ascii="Times New Roman" w:hAnsi="Times New Roman" w:cs="Times New Roman"/>
          <w:bCs/>
          <w:color w:val="auto"/>
          <w:sz w:val="28"/>
          <w:szCs w:val="28"/>
        </w:rPr>
        <w:t xml:space="preserve">quienes </w:t>
      </w:r>
      <w:r w:rsidRPr="00442E1D">
        <w:rPr>
          <w:rStyle w:val="Ttulo1Car"/>
          <w:rFonts w:ascii="Times New Roman" w:hAnsi="Times New Roman" w:cs="Times New Roman"/>
          <w:bCs/>
          <w:color w:val="auto"/>
          <w:sz w:val="28"/>
          <w:szCs w:val="28"/>
        </w:rPr>
        <w:t xml:space="preserve">solicitan </w:t>
      </w:r>
      <w:r w:rsidRPr="00442E1D">
        <w:rPr>
          <w:rStyle w:val="Ttulo1Car"/>
          <w:rFonts w:ascii="Times New Roman" w:hAnsi="Times New Roman" w:cs="Times New Roman"/>
          <w:bCs/>
          <w:color w:val="auto"/>
          <w:sz w:val="28"/>
          <w:szCs w:val="28"/>
        </w:rPr>
        <w:t>la</w:t>
      </w:r>
      <w:r w:rsidRPr="00442E1D">
        <w:rPr>
          <w:rStyle w:val="Ttulo1Car"/>
          <w:rFonts w:ascii="Times New Roman" w:hAnsi="Times New Roman" w:cs="Times New Roman"/>
          <w:bCs/>
          <w:color w:val="auto"/>
          <w:sz w:val="28"/>
          <w:szCs w:val="28"/>
        </w:rPr>
        <w:t xml:space="preserve"> declaratoria de exequibilidad</w:t>
      </w:r>
    </w:p>
    <w:p w:rsidR="006A5E11" w:rsidRPr="00442E1D" w:rsidRDefault="00442E1D" w:rsidP="003F7D77">
      <w:pPr>
        <w:jc w:val="both"/>
        <w:rPr>
          <w:rFonts w:ascii="Times New Roman" w:hAnsi="Times New Roman" w:cs="Times New Roman"/>
          <w:sz w:val="28"/>
          <w:szCs w:val="28"/>
        </w:rPr>
      </w:pPr>
    </w:p>
    <w:p w:rsidR="002647A2" w:rsidRPr="00442E1D" w:rsidRDefault="00442E1D" w:rsidP="002647A2">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Como se indicó, como petición principal, e</w:t>
      </w:r>
      <w:r w:rsidRPr="00442E1D">
        <w:rPr>
          <w:rFonts w:ascii="Times New Roman" w:hAnsi="Times New Roman" w:cs="Times New Roman"/>
          <w:sz w:val="28"/>
          <w:szCs w:val="28"/>
        </w:rPr>
        <w:t>l Instituto Colombiano de</w:t>
      </w:r>
      <w:r w:rsidRPr="00442E1D">
        <w:rPr>
          <w:rFonts w:ascii="Times New Roman" w:hAnsi="Times New Roman" w:cs="Times New Roman"/>
          <w:sz w:val="28"/>
          <w:szCs w:val="28"/>
        </w:rPr>
        <w:t xml:space="preserve"> Derecho Procesal</w:t>
      </w:r>
      <w:r w:rsidRPr="00442E1D">
        <w:rPr>
          <w:rFonts w:ascii="Times New Roman" w:hAnsi="Times New Roman" w:cs="Times New Roman"/>
          <w:sz w:val="28"/>
          <w:szCs w:val="28"/>
        </w:rPr>
        <w:t xml:space="preserve"> solicita que la Corte se inhiba de emitir un pronunciamiento de fondo,</w:t>
      </w:r>
      <w:r w:rsidRPr="00442E1D">
        <w:rPr>
          <w:rFonts w:ascii="Times New Roman" w:hAnsi="Times New Roman" w:cs="Times New Roman"/>
          <w:sz w:val="28"/>
          <w:szCs w:val="28"/>
        </w:rPr>
        <w:t xml:space="preserve"> y</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de realizar</w:t>
      </w:r>
      <w:r w:rsidRPr="00442E1D">
        <w:rPr>
          <w:rFonts w:ascii="Times New Roman" w:hAnsi="Times New Roman" w:cs="Times New Roman"/>
          <w:sz w:val="28"/>
          <w:szCs w:val="28"/>
        </w:rPr>
        <w:t>lo</w:t>
      </w:r>
      <w:r w:rsidRPr="00442E1D">
        <w:rPr>
          <w:rFonts w:ascii="Times New Roman" w:hAnsi="Times New Roman" w:cs="Times New Roman"/>
          <w:sz w:val="28"/>
          <w:szCs w:val="28"/>
        </w:rPr>
        <w:t>, que se declare la exequibilidad condicionada de</w:t>
      </w:r>
      <w:r w:rsidRPr="00442E1D">
        <w:rPr>
          <w:rFonts w:ascii="Times New Roman" w:hAnsi="Times New Roman" w:cs="Times New Roman"/>
          <w:sz w:val="28"/>
          <w:szCs w:val="28"/>
        </w:rPr>
        <w:t xml:space="preserve"> la expresión acusada</w:t>
      </w:r>
      <w:r w:rsidRPr="00442E1D">
        <w:rPr>
          <w:rFonts w:ascii="Times New Roman" w:hAnsi="Times New Roman" w:cs="Times New Roman"/>
          <w:sz w:val="28"/>
          <w:szCs w:val="28"/>
        </w:rPr>
        <w:t xml:space="preserve">, en el entendido de que </w:t>
      </w:r>
      <w:r w:rsidRPr="00442E1D">
        <w:rPr>
          <w:rFonts w:ascii="Times New Roman" w:hAnsi="Times New Roman" w:cs="Times New Roman"/>
          <w:sz w:val="28"/>
          <w:szCs w:val="28"/>
        </w:rPr>
        <w:t>“el contenido y alcance del reglamento de propiedad hori</w:t>
      </w:r>
      <w:r w:rsidRPr="00442E1D">
        <w:rPr>
          <w:rFonts w:ascii="Times New Roman" w:hAnsi="Times New Roman" w:cs="Times New Roman"/>
          <w:sz w:val="28"/>
          <w:szCs w:val="28"/>
        </w:rPr>
        <w:t>zontal debe coincidir con las prescripciones normativas vigentes en toda la ley [sic] 675 de 2.001 sin que los individuos puedan desatender su alcance a favor de intereses particulares, por ejemplo, exonerar el pago de expensas comunes”.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Al margen de esta </w:t>
      </w:r>
      <w:r w:rsidRPr="00442E1D">
        <w:rPr>
          <w:rFonts w:ascii="Times New Roman" w:hAnsi="Times New Roman" w:cs="Times New Roman"/>
          <w:sz w:val="28"/>
          <w:szCs w:val="28"/>
        </w:rPr>
        <w:t xml:space="preserve">solicitud, hace referencia a los siguientes aspectos que pueden ilustrar la decisión de la Corte: </w:t>
      </w:r>
    </w:p>
    <w:p w:rsidR="002647A2" w:rsidRPr="00442E1D" w:rsidRDefault="00442E1D" w:rsidP="002647A2">
      <w:pPr>
        <w:pStyle w:val="Prrafodelista"/>
        <w:ind w:left="0"/>
        <w:jc w:val="both"/>
        <w:rPr>
          <w:rFonts w:ascii="Times New Roman" w:hAnsi="Times New Roman" w:cs="Times New Roman"/>
          <w:sz w:val="28"/>
          <w:szCs w:val="28"/>
        </w:rPr>
      </w:pPr>
    </w:p>
    <w:p w:rsidR="00013DED" w:rsidRPr="00442E1D" w:rsidRDefault="00442E1D" w:rsidP="002647A2">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E</w:t>
      </w:r>
      <w:r w:rsidRPr="00442E1D">
        <w:rPr>
          <w:rFonts w:ascii="Times New Roman" w:hAnsi="Times New Roman" w:cs="Times New Roman"/>
          <w:sz w:val="28"/>
          <w:szCs w:val="28"/>
        </w:rPr>
        <w:t xml:space="preserve">n primer lugar, precisa que </w:t>
      </w:r>
      <w:r w:rsidRPr="00442E1D">
        <w:rPr>
          <w:rFonts w:ascii="Times New Roman" w:hAnsi="Times New Roman" w:cs="Times New Roman"/>
          <w:sz w:val="28"/>
          <w:szCs w:val="28"/>
          <w:lang w:val="es-ES"/>
        </w:rPr>
        <w:t xml:space="preserve">una </w:t>
      </w:r>
      <w:r w:rsidRPr="00442E1D">
        <w:rPr>
          <w:rFonts w:ascii="Times New Roman" w:hAnsi="Times New Roman" w:cs="Times New Roman"/>
          <w:sz w:val="28"/>
          <w:szCs w:val="28"/>
          <w:lang w:val="es-ES"/>
        </w:rPr>
        <w:t>interpretación correcta de</w:t>
      </w:r>
      <w:r w:rsidRPr="00442E1D">
        <w:rPr>
          <w:rFonts w:ascii="Times New Roman" w:hAnsi="Times New Roman" w:cs="Times New Roman"/>
          <w:sz w:val="28"/>
          <w:szCs w:val="28"/>
          <w:lang w:val="es-ES"/>
        </w:rPr>
        <w:t xml:space="preserve">l aparte que se demanda </w:t>
      </w:r>
      <w:r w:rsidRPr="00442E1D">
        <w:rPr>
          <w:rFonts w:ascii="Times New Roman" w:hAnsi="Times New Roman" w:cs="Times New Roman"/>
          <w:sz w:val="28"/>
          <w:szCs w:val="28"/>
          <w:lang w:val="es-ES"/>
        </w:rPr>
        <w:t xml:space="preserve">no sugiere que el reglamento de propiedad horizontal pueda eximir </w:t>
      </w:r>
      <w:r w:rsidRPr="00442E1D">
        <w:rPr>
          <w:rFonts w:ascii="Times New Roman" w:hAnsi="Times New Roman" w:cs="Times New Roman"/>
          <w:sz w:val="28"/>
          <w:szCs w:val="28"/>
          <w:lang w:val="es-ES"/>
        </w:rPr>
        <w:t>arbitrariamente del pago de expensas comunes</w:t>
      </w:r>
      <w:r w:rsidRPr="00442E1D">
        <w:rPr>
          <w:rFonts w:ascii="Times New Roman" w:hAnsi="Times New Roman" w:cs="Times New Roman"/>
          <w:sz w:val="28"/>
          <w:szCs w:val="28"/>
          <w:lang w:val="es-ES"/>
        </w:rPr>
        <w:t xml:space="preserve">. Esto sería así, por cuanto, las expensas comunes necesarias corresponden a una obligación </w:t>
      </w:r>
      <w:r w:rsidRPr="00442E1D">
        <w:rPr>
          <w:rFonts w:ascii="Times New Roman" w:hAnsi="Times New Roman" w:cs="Times New Roman"/>
          <w:i/>
          <w:iCs/>
          <w:sz w:val="28"/>
          <w:szCs w:val="28"/>
          <w:lang w:val="es-ES"/>
        </w:rPr>
        <w:t>propter rem</w:t>
      </w:r>
      <w:r w:rsidRPr="00442E1D">
        <w:rPr>
          <w:rFonts w:ascii="Times New Roman" w:hAnsi="Times New Roman" w:cs="Times New Roman"/>
          <w:sz w:val="28"/>
          <w:szCs w:val="28"/>
          <w:lang w:val="es-ES"/>
        </w:rPr>
        <w:t xml:space="preserve">, es decir, </w:t>
      </w:r>
      <w:r w:rsidRPr="00442E1D">
        <w:rPr>
          <w:rFonts w:ascii="Times New Roman" w:hAnsi="Times New Roman" w:cs="Times New Roman"/>
          <w:sz w:val="28"/>
          <w:szCs w:val="28"/>
          <w:lang w:val="es-ES"/>
        </w:rPr>
        <w:t xml:space="preserve">a </w:t>
      </w:r>
      <w:r w:rsidRPr="00442E1D">
        <w:rPr>
          <w:rFonts w:ascii="Times New Roman" w:hAnsi="Times New Roman" w:cs="Times New Roman"/>
          <w:sz w:val="28"/>
          <w:szCs w:val="28"/>
          <w:lang w:val="es-ES"/>
        </w:rPr>
        <w:t>una carga que recae sobre el inmueble y no sobre la persona; de allí que este tipo de obligacio</w:t>
      </w:r>
      <w:r w:rsidRPr="00442E1D">
        <w:rPr>
          <w:rFonts w:ascii="Times New Roman" w:hAnsi="Times New Roman" w:cs="Times New Roman"/>
          <w:sz w:val="28"/>
          <w:szCs w:val="28"/>
          <w:lang w:val="es-ES"/>
        </w:rPr>
        <w:t>nes no pued</w:t>
      </w:r>
      <w:r w:rsidRPr="00442E1D">
        <w:rPr>
          <w:rFonts w:ascii="Times New Roman" w:hAnsi="Times New Roman" w:cs="Times New Roman"/>
          <w:sz w:val="28"/>
          <w:szCs w:val="28"/>
          <w:lang w:val="es-ES"/>
        </w:rPr>
        <w:t>a</w:t>
      </w:r>
      <w:r w:rsidRPr="00442E1D">
        <w:rPr>
          <w:rFonts w:ascii="Times New Roman" w:hAnsi="Times New Roman" w:cs="Times New Roman"/>
          <w:sz w:val="28"/>
          <w:szCs w:val="28"/>
          <w:lang w:val="es-ES"/>
        </w:rPr>
        <w:t xml:space="preserve"> ser eludido por los propietarios, ya que son inherentes a la propiedad y garantizan la convivencia pacífica y la función social de la propiedad dentro del régimen de propiedad horizontal. </w:t>
      </w:r>
    </w:p>
    <w:p w:rsidR="00013DED" w:rsidRPr="00442E1D" w:rsidRDefault="00442E1D" w:rsidP="00013DED">
      <w:pPr>
        <w:pStyle w:val="Prrafodelista"/>
        <w:rPr>
          <w:rFonts w:ascii="Times New Roman" w:hAnsi="Times New Roman" w:cs="Times New Roman"/>
          <w:sz w:val="28"/>
          <w:szCs w:val="28"/>
          <w:lang w:val="es-ES"/>
        </w:rPr>
      </w:pPr>
    </w:p>
    <w:p w:rsidR="00F67313" w:rsidRPr="00442E1D" w:rsidRDefault="00442E1D" w:rsidP="002647A2">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lang w:val="es-ES"/>
        </w:rPr>
        <w:t>E</w:t>
      </w:r>
      <w:r w:rsidRPr="00442E1D">
        <w:rPr>
          <w:rFonts w:ascii="Times New Roman" w:hAnsi="Times New Roman" w:cs="Times New Roman"/>
          <w:sz w:val="28"/>
          <w:szCs w:val="28"/>
          <w:lang w:val="es-ES"/>
        </w:rPr>
        <w:t xml:space="preserve">n segundo lugar, </w:t>
      </w:r>
      <w:r w:rsidRPr="00442E1D">
        <w:rPr>
          <w:rFonts w:ascii="Times New Roman" w:hAnsi="Times New Roman" w:cs="Times New Roman"/>
          <w:sz w:val="28"/>
          <w:szCs w:val="28"/>
          <w:lang w:val="es-ES"/>
        </w:rPr>
        <w:t xml:space="preserve">el aparte </w:t>
      </w:r>
      <w:r w:rsidRPr="00442E1D">
        <w:rPr>
          <w:rFonts w:ascii="Times New Roman" w:hAnsi="Times New Roman" w:cs="Times New Roman"/>
          <w:sz w:val="28"/>
          <w:szCs w:val="28"/>
          <w:lang w:val="es-ES"/>
        </w:rPr>
        <w:t xml:space="preserve">que se cuestiona </w:t>
      </w:r>
      <w:r w:rsidRPr="00442E1D">
        <w:rPr>
          <w:rFonts w:ascii="Times New Roman" w:hAnsi="Times New Roman" w:cs="Times New Roman"/>
          <w:sz w:val="28"/>
          <w:szCs w:val="28"/>
          <w:lang w:val="es-ES"/>
        </w:rPr>
        <w:t xml:space="preserve">se </w:t>
      </w:r>
      <w:r w:rsidRPr="00442E1D">
        <w:rPr>
          <w:rFonts w:ascii="Times New Roman" w:hAnsi="Times New Roman" w:cs="Times New Roman"/>
          <w:sz w:val="28"/>
          <w:szCs w:val="28"/>
          <w:lang w:val="es-ES"/>
        </w:rPr>
        <w:t xml:space="preserve">debe </w:t>
      </w:r>
      <w:r w:rsidRPr="00442E1D">
        <w:rPr>
          <w:rFonts w:ascii="Times New Roman" w:hAnsi="Times New Roman" w:cs="Times New Roman"/>
          <w:sz w:val="28"/>
          <w:szCs w:val="28"/>
          <w:lang w:val="es-ES"/>
        </w:rPr>
        <w:t>interpreta</w:t>
      </w:r>
      <w:r w:rsidRPr="00442E1D">
        <w:rPr>
          <w:rFonts w:ascii="Times New Roman" w:hAnsi="Times New Roman" w:cs="Times New Roman"/>
          <w:sz w:val="28"/>
          <w:szCs w:val="28"/>
          <w:lang w:val="es-ES"/>
        </w:rPr>
        <w:t>r</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de manera sistemática</w:t>
      </w:r>
      <w:r w:rsidRPr="00442E1D">
        <w:rPr>
          <w:rFonts w:ascii="Times New Roman" w:hAnsi="Times New Roman" w:cs="Times New Roman"/>
          <w:sz w:val="28"/>
          <w:szCs w:val="28"/>
          <w:lang w:val="es-ES"/>
        </w:rPr>
        <w:t xml:space="preserve"> con </w:t>
      </w:r>
      <w:r w:rsidRPr="00442E1D">
        <w:rPr>
          <w:rFonts w:ascii="Times New Roman" w:hAnsi="Times New Roman" w:cs="Times New Roman"/>
          <w:sz w:val="28"/>
          <w:szCs w:val="28"/>
          <w:lang w:val="es-ES"/>
        </w:rPr>
        <w:t xml:space="preserve">los artículos </w:t>
      </w:r>
      <w:r w:rsidRPr="00442E1D">
        <w:rPr>
          <w:rFonts w:ascii="Times New Roman" w:hAnsi="Times New Roman" w:cs="Times New Roman"/>
          <w:sz w:val="28"/>
          <w:szCs w:val="28"/>
        </w:rPr>
        <w:t>2, 3, 5 inciso final, 25, 26, 27, 28, 29 parágrafo 1º, 31 y 32 de la Ley 675 de 2001</w:t>
      </w:r>
      <w:r w:rsidRPr="00442E1D">
        <w:rPr>
          <w:rFonts w:ascii="Times New Roman" w:hAnsi="Times New Roman" w:cs="Times New Roman"/>
          <w:sz w:val="28"/>
          <w:szCs w:val="28"/>
          <w:lang w:val="es-ES"/>
        </w:rPr>
        <w:t xml:space="preserve">, de conformidad con las cuales, </w:t>
      </w:r>
      <w:r w:rsidRPr="00442E1D">
        <w:rPr>
          <w:rFonts w:ascii="Times New Roman" w:hAnsi="Times New Roman" w:cs="Times New Roman"/>
          <w:sz w:val="28"/>
          <w:szCs w:val="28"/>
          <w:lang w:val="es-ES"/>
        </w:rPr>
        <w:t xml:space="preserve">los coeficientes y módulos de contribución se establecen </w:t>
      </w:r>
      <w:r w:rsidRPr="00442E1D">
        <w:rPr>
          <w:rFonts w:ascii="Times New Roman" w:hAnsi="Times New Roman" w:cs="Times New Roman"/>
          <w:sz w:val="28"/>
          <w:szCs w:val="28"/>
          <w:lang w:val="es-ES"/>
        </w:rPr>
        <w:t xml:space="preserve">de acuerdo con </w:t>
      </w:r>
      <w:r w:rsidRPr="00442E1D">
        <w:rPr>
          <w:rFonts w:ascii="Times New Roman" w:hAnsi="Times New Roman" w:cs="Times New Roman"/>
          <w:sz w:val="28"/>
          <w:szCs w:val="28"/>
          <w:lang w:val="es-ES"/>
        </w:rPr>
        <w:t xml:space="preserve">la destinación </w:t>
      </w:r>
      <w:r w:rsidRPr="00442E1D">
        <w:rPr>
          <w:rFonts w:ascii="Times New Roman" w:hAnsi="Times New Roman" w:cs="Times New Roman"/>
          <w:sz w:val="28"/>
          <w:szCs w:val="28"/>
          <w:lang w:val="es-ES"/>
        </w:rPr>
        <w:t>del edificio (residencial, comercial o mixto)</w:t>
      </w:r>
      <w:r w:rsidRPr="00442E1D">
        <w:rPr>
          <w:rFonts w:ascii="Times New Roman" w:hAnsi="Times New Roman" w:cs="Times New Roman"/>
          <w:sz w:val="28"/>
          <w:szCs w:val="28"/>
          <w:lang w:val="es-ES"/>
        </w:rPr>
        <w:t xml:space="preserve">, y es a partir de estos que se determina la contribución </w:t>
      </w:r>
      <w:r w:rsidRPr="00442E1D">
        <w:rPr>
          <w:rFonts w:ascii="Times New Roman" w:hAnsi="Times New Roman" w:cs="Times New Roman"/>
          <w:sz w:val="28"/>
          <w:szCs w:val="28"/>
          <w:lang w:val="es-ES"/>
        </w:rPr>
        <w:t>de cada copropietario en las expensas comunes necesarias</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 xml:space="preserve">Si esto </w:t>
      </w:r>
      <w:r w:rsidRPr="00442E1D">
        <w:rPr>
          <w:rFonts w:ascii="Times New Roman" w:hAnsi="Times New Roman" w:cs="Times New Roman"/>
          <w:sz w:val="28"/>
          <w:szCs w:val="28"/>
          <w:lang w:val="es-ES"/>
        </w:rPr>
        <w:t>es así</w:t>
      </w:r>
      <w:r w:rsidRPr="00442E1D">
        <w:rPr>
          <w:rFonts w:ascii="Times New Roman" w:hAnsi="Times New Roman" w:cs="Times New Roman"/>
          <w:sz w:val="28"/>
          <w:szCs w:val="28"/>
          <w:lang w:val="es-ES"/>
        </w:rPr>
        <w:t xml:space="preserve">, el legislador no abrió la puerta para </w:t>
      </w:r>
      <w:r w:rsidRPr="00442E1D">
        <w:rPr>
          <w:rFonts w:ascii="Times New Roman" w:hAnsi="Times New Roman" w:cs="Times New Roman"/>
          <w:sz w:val="28"/>
          <w:szCs w:val="28"/>
          <w:lang w:val="es-ES"/>
        </w:rPr>
        <w:t xml:space="preserve">celebrar </w:t>
      </w:r>
      <w:r w:rsidRPr="00442E1D">
        <w:rPr>
          <w:rFonts w:ascii="Times New Roman" w:hAnsi="Times New Roman" w:cs="Times New Roman"/>
          <w:sz w:val="28"/>
          <w:szCs w:val="28"/>
          <w:lang w:val="es-ES"/>
        </w:rPr>
        <w:t xml:space="preserve">pactos en contra del recaudo de </w:t>
      </w:r>
      <w:r w:rsidRPr="00442E1D">
        <w:rPr>
          <w:rFonts w:ascii="Times New Roman" w:hAnsi="Times New Roman" w:cs="Times New Roman"/>
          <w:sz w:val="28"/>
          <w:szCs w:val="28"/>
          <w:lang w:val="es-ES"/>
        </w:rPr>
        <w:t>expensas comunes, sino que estableció un marco legal que el reglamento debe respetar</w:t>
      </w:r>
      <w:r w:rsidRPr="00442E1D">
        <w:rPr>
          <w:rFonts w:ascii="Times New Roman" w:hAnsi="Times New Roman" w:cs="Times New Roman"/>
          <w:sz w:val="28"/>
          <w:szCs w:val="28"/>
          <w:lang w:val="es-ES"/>
        </w:rPr>
        <w:t>; en consecuencia, “E</w:t>
      </w:r>
      <w:r w:rsidRPr="00442E1D">
        <w:rPr>
          <w:rFonts w:ascii="Times New Roman" w:hAnsi="Times New Roman" w:cs="Times New Roman"/>
          <w:sz w:val="28"/>
          <w:szCs w:val="28"/>
        </w:rPr>
        <w:t>l reglamento se debe hacer consultando los mandatos de la ley respecto a los coeficientes, módulos de contribución, sectorización, y cualquier otra exc</w:t>
      </w:r>
      <w:r w:rsidRPr="00442E1D">
        <w:rPr>
          <w:rFonts w:ascii="Times New Roman" w:hAnsi="Times New Roman" w:cs="Times New Roman"/>
          <w:sz w:val="28"/>
          <w:szCs w:val="28"/>
        </w:rPr>
        <w:t>epción vigente en ella”</w:t>
      </w:r>
      <w:r w:rsidRPr="00442E1D">
        <w:rPr>
          <w:rStyle w:val="Refdenotaalpie"/>
          <w:rFonts w:ascii="Times New Roman" w:hAnsi="Times New Roman" w:cs="Times New Roman"/>
          <w:sz w:val="28"/>
          <w:szCs w:val="28"/>
        </w:rPr>
        <w:footnoteReference w:id="20"/>
      </w:r>
      <w:r w:rsidRPr="00442E1D">
        <w:rPr>
          <w:rFonts w:ascii="Times New Roman" w:hAnsi="Times New Roman" w:cs="Times New Roman"/>
          <w:sz w:val="28"/>
          <w:szCs w:val="28"/>
        </w:rPr>
        <w:t>.</w:t>
      </w:r>
    </w:p>
    <w:p w:rsidR="00F67313" w:rsidRPr="00442E1D" w:rsidRDefault="00442E1D" w:rsidP="003F7D77">
      <w:pPr>
        <w:pStyle w:val="Prrafodelista"/>
        <w:ind w:left="0"/>
        <w:jc w:val="both"/>
        <w:rPr>
          <w:rFonts w:ascii="Times New Roman" w:hAnsi="Times New Roman" w:cs="Times New Roman"/>
          <w:sz w:val="28"/>
          <w:szCs w:val="28"/>
        </w:rPr>
      </w:pPr>
    </w:p>
    <w:p w:rsidR="00B5512C"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James Rincón Castaño (Instituto Distrital de la Participación y Acción Comunal</w:t>
      </w:r>
      <w:r w:rsidRPr="00442E1D">
        <w:rPr>
          <w:rFonts w:ascii="Times New Roman" w:hAnsi="Times New Roman" w:cs="Times New Roman"/>
          <w:sz w:val="28"/>
          <w:szCs w:val="28"/>
        </w:rPr>
        <w:t xml:space="preserve"> de Bogotá</w:t>
      </w:r>
      <w:r w:rsidRPr="00442E1D">
        <w:rPr>
          <w:rFonts w:ascii="Times New Roman" w:hAnsi="Times New Roman" w:cs="Times New Roman"/>
          <w:sz w:val="28"/>
          <w:szCs w:val="28"/>
        </w:rPr>
        <w:t>) solicita la declaratoria de exequibilidad de la disposición</w:t>
      </w:r>
      <w:r w:rsidRPr="00442E1D">
        <w:rPr>
          <w:rFonts w:ascii="Times New Roman" w:hAnsi="Times New Roman" w:cs="Times New Roman"/>
          <w:sz w:val="28"/>
          <w:szCs w:val="28"/>
        </w:rPr>
        <w:t xml:space="preserve">. Según señala, </w:t>
      </w:r>
      <w:r w:rsidRPr="00442E1D">
        <w:rPr>
          <w:rFonts w:ascii="Times New Roman" w:hAnsi="Times New Roman" w:cs="Times New Roman"/>
          <w:sz w:val="28"/>
          <w:szCs w:val="28"/>
        </w:rPr>
        <w:t xml:space="preserve">la </w:t>
      </w:r>
      <w:r w:rsidRPr="00442E1D">
        <w:rPr>
          <w:rFonts w:ascii="Times New Roman" w:hAnsi="Times New Roman" w:cs="Times New Roman"/>
          <w:sz w:val="28"/>
          <w:szCs w:val="28"/>
          <w:lang w:val="es-ES"/>
        </w:rPr>
        <w:t xml:space="preserve">Ley 675 de 2001 establece los lineamientos y límites para la elaboración de los reglamentos de propiedad horizontal, </w:t>
      </w:r>
      <w:r w:rsidRPr="00442E1D">
        <w:rPr>
          <w:rFonts w:ascii="Times New Roman" w:hAnsi="Times New Roman" w:cs="Times New Roman"/>
          <w:sz w:val="28"/>
          <w:szCs w:val="28"/>
          <w:lang w:val="es-ES"/>
        </w:rPr>
        <w:t>los cuales no pueden ser diseñados de manera arbitraria, que</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 xml:space="preserve">además, </w:t>
      </w:r>
      <w:r w:rsidRPr="00442E1D">
        <w:rPr>
          <w:rFonts w:ascii="Times New Roman" w:hAnsi="Times New Roman" w:cs="Times New Roman"/>
          <w:sz w:val="28"/>
          <w:szCs w:val="28"/>
          <w:lang w:val="es-ES"/>
        </w:rPr>
        <w:t>ent</w:t>
      </w:r>
      <w:r w:rsidRPr="00442E1D">
        <w:rPr>
          <w:rFonts w:ascii="Times New Roman" w:hAnsi="Times New Roman" w:cs="Times New Roman"/>
          <w:sz w:val="28"/>
          <w:szCs w:val="28"/>
          <w:lang w:val="es-ES"/>
        </w:rPr>
        <w:t>re otras</w:t>
      </w:r>
      <w:r w:rsidRPr="00442E1D">
        <w:rPr>
          <w:rFonts w:ascii="Times New Roman" w:hAnsi="Times New Roman" w:cs="Times New Roman"/>
          <w:sz w:val="28"/>
          <w:szCs w:val="28"/>
          <w:lang w:val="es-ES"/>
        </w:rPr>
        <w:t>,</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debe</w:t>
      </w:r>
      <w:r w:rsidRPr="00442E1D">
        <w:rPr>
          <w:rFonts w:ascii="Times New Roman" w:hAnsi="Times New Roman" w:cs="Times New Roman"/>
          <w:sz w:val="28"/>
          <w:szCs w:val="28"/>
          <w:lang w:val="es-ES"/>
        </w:rPr>
        <w:t>n</w:t>
      </w:r>
      <w:r w:rsidRPr="00442E1D">
        <w:rPr>
          <w:rFonts w:ascii="Times New Roman" w:hAnsi="Times New Roman" w:cs="Times New Roman"/>
          <w:sz w:val="28"/>
          <w:szCs w:val="28"/>
          <w:lang w:val="es-ES"/>
        </w:rPr>
        <w:t xml:space="preserve"> contener </w:t>
      </w:r>
      <w:r w:rsidRPr="00442E1D">
        <w:rPr>
          <w:rFonts w:ascii="Times New Roman" w:hAnsi="Times New Roman" w:cs="Times New Roman"/>
          <w:sz w:val="28"/>
          <w:szCs w:val="28"/>
        </w:rPr>
        <w:t>“</w:t>
      </w:r>
      <w:r w:rsidRPr="00442E1D">
        <w:rPr>
          <w:rFonts w:ascii="Times New Roman" w:hAnsi="Times New Roman" w:cs="Times New Roman"/>
          <w:sz w:val="28"/>
          <w:szCs w:val="28"/>
        </w:rPr>
        <w:t>los coeficientes de copropiedad de los b</w:t>
      </w:r>
      <w:r w:rsidRPr="00442E1D">
        <w:rPr>
          <w:rFonts w:ascii="Times New Roman" w:hAnsi="Times New Roman" w:cs="Times New Roman"/>
          <w:sz w:val="28"/>
          <w:szCs w:val="28"/>
        </w:rPr>
        <w:t>ienes de dominio particular que integran la propiedad horizontal</w:t>
      </w:r>
      <w:r w:rsidRPr="00442E1D">
        <w:rPr>
          <w:rFonts w:ascii="Times New Roman" w:hAnsi="Times New Roman" w:cs="Times New Roman"/>
          <w:sz w:val="28"/>
          <w:szCs w:val="28"/>
        </w:rPr>
        <w:t xml:space="preserve">” (artículo 3), </w:t>
      </w:r>
      <w:r w:rsidRPr="00442E1D">
        <w:rPr>
          <w:rFonts w:ascii="Times New Roman" w:hAnsi="Times New Roman" w:cs="Times New Roman"/>
          <w:sz w:val="28"/>
          <w:szCs w:val="28"/>
        </w:rPr>
        <w:t>los cuales se calculan de conformidad con su artículo 26</w:t>
      </w:r>
      <w:r w:rsidRPr="00442E1D">
        <w:rPr>
          <w:rFonts w:ascii="Times New Roman" w:hAnsi="Times New Roman" w:cs="Times New Roman"/>
          <w:sz w:val="28"/>
          <w:szCs w:val="28"/>
        </w:rPr>
        <w:t xml:space="preserve">, al igual que su artículo 28 regula </w:t>
      </w:r>
      <w:r w:rsidRPr="00442E1D">
        <w:rPr>
          <w:rFonts w:ascii="Times New Roman" w:hAnsi="Times New Roman" w:cs="Times New Roman"/>
          <w:sz w:val="28"/>
          <w:szCs w:val="28"/>
          <w:lang w:val="es-ES"/>
        </w:rPr>
        <w:t>“</w:t>
      </w:r>
      <w:r w:rsidRPr="00442E1D">
        <w:rPr>
          <w:rFonts w:ascii="Times New Roman" w:hAnsi="Times New Roman" w:cs="Times New Roman"/>
          <w:sz w:val="28"/>
          <w:szCs w:val="28"/>
          <w:lang w:val="es-ES"/>
        </w:rPr>
        <w:t xml:space="preserve">los casos por los cuales resulta procedente la modificación del reglamento de </w:t>
      </w:r>
      <w:r w:rsidRPr="00442E1D">
        <w:rPr>
          <w:rFonts w:ascii="Times New Roman" w:hAnsi="Times New Roman" w:cs="Times New Roman"/>
          <w:sz w:val="28"/>
          <w:szCs w:val="28"/>
          <w:lang w:val="es-ES"/>
        </w:rPr>
        <w:t>propiedad horizontal cuando esta sea sustentada en los coeficientes de copropiedad inicialmente establecidos</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 xml:space="preserve">Además, precisa que </w:t>
      </w:r>
      <w:r w:rsidRPr="00442E1D">
        <w:rPr>
          <w:rFonts w:ascii="Times New Roman" w:hAnsi="Times New Roman" w:cs="Times New Roman"/>
          <w:sz w:val="28"/>
          <w:szCs w:val="28"/>
        </w:rPr>
        <w:t>el reglamento de propiedad horizontal y las decisiones de la asamblea de copropietarios pueden ser impugnad</w:t>
      </w:r>
      <w:r w:rsidRPr="00442E1D">
        <w:rPr>
          <w:rFonts w:ascii="Times New Roman" w:hAnsi="Times New Roman" w:cs="Times New Roman"/>
          <w:sz w:val="28"/>
          <w:szCs w:val="28"/>
        </w:rPr>
        <w:t>a</w:t>
      </w:r>
      <w:r w:rsidRPr="00442E1D">
        <w:rPr>
          <w:rFonts w:ascii="Times New Roman" w:hAnsi="Times New Roman" w:cs="Times New Roman"/>
          <w:sz w:val="28"/>
          <w:szCs w:val="28"/>
        </w:rPr>
        <w:t>s ante la jurisdi</w:t>
      </w:r>
      <w:r w:rsidRPr="00442E1D">
        <w:rPr>
          <w:rFonts w:ascii="Times New Roman" w:hAnsi="Times New Roman" w:cs="Times New Roman"/>
          <w:sz w:val="28"/>
          <w:szCs w:val="28"/>
        </w:rPr>
        <w:t xml:space="preserve">cción ordinaria, </w:t>
      </w:r>
      <w:r w:rsidRPr="00442E1D">
        <w:rPr>
          <w:rFonts w:ascii="Times New Roman" w:hAnsi="Times New Roman" w:cs="Times New Roman"/>
          <w:sz w:val="28"/>
          <w:szCs w:val="28"/>
        </w:rPr>
        <w:t>de conformidad con lo dispuesto por el artículo 382 del Código General del Proceso, en caso de que “</w:t>
      </w:r>
      <w:r w:rsidRPr="00442E1D">
        <w:rPr>
          <w:rFonts w:ascii="Times New Roman" w:hAnsi="Times New Roman" w:cs="Times New Roman"/>
          <w:sz w:val="28"/>
          <w:szCs w:val="28"/>
        </w:rPr>
        <w:t>las directrices impartidas vulneran la constitución [sic], la ley o reglamentos”.</w:t>
      </w:r>
    </w:p>
    <w:p w:rsidR="00A514EA" w:rsidRPr="00442E1D" w:rsidRDefault="00442E1D" w:rsidP="003F7D77">
      <w:pPr>
        <w:pStyle w:val="Prrafodelista"/>
        <w:ind w:left="0"/>
        <w:jc w:val="both"/>
        <w:rPr>
          <w:rFonts w:ascii="Times New Roman" w:hAnsi="Times New Roman" w:cs="Times New Roman"/>
          <w:sz w:val="28"/>
          <w:szCs w:val="28"/>
        </w:rPr>
      </w:pPr>
    </w:p>
    <w:p w:rsidR="00694440"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E</w:t>
      </w:r>
      <w:r w:rsidRPr="00442E1D">
        <w:rPr>
          <w:rFonts w:ascii="Times New Roman" w:hAnsi="Times New Roman" w:cs="Times New Roman"/>
          <w:sz w:val="28"/>
          <w:szCs w:val="28"/>
        </w:rPr>
        <w:t xml:space="preserve">l Ministerio de Vivienda Ciudad y Territorio </w:t>
      </w:r>
      <w:r w:rsidRPr="00442E1D">
        <w:rPr>
          <w:rFonts w:ascii="Times New Roman" w:hAnsi="Times New Roman" w:cs="Times New Roman"/>
          <w:sz w:val="28"/>
          <w:szCs w:val="28"/>
        </w:rPr>
        <w:t xml:space="preserve">defiende </w:t>
      </w:r>
      <w:r w:rsidRPr="00442E1D">
        <w:rPr>
          <w:rFonts w:ascii="Times New Roman" w:hAnsi="Times New Roman" w:cs="Times New Roman"/>
          <w:sz w:val="28"/>
          <w:szCs w:val="28"/>
        </w:rPr>
        <w:t xml:space="preserve">la </w:t>
      </w:r>
      <w:r w:rsidRPr="00442E1D">
        <w:rPr>
          <w:rFonts w:ascii="Times New Roman" w:hAnsi="Times New Roman" w:cs="Times New Roman"/>
          <w:sz w:val="28"/>
          <w:szCs w:val="28"/>
        </w:rPr>
        <w:t xml:space="preserve">constitucionalidad del aparte demandado. </w:t>
      </w:r>
      <w:r w:rsidRPr="00442E1D">
        <w:rPr>
          <w:rFonts w:ascii="Times New Roman" w:hAnsi="Times New Roman" w:cs="Times New Roman"/>
          <w:sz w:val="28"/>
          <w:szCs w:val="28"/>
        </w:rPr>
        <w:t xml:space="preserve">Según indica, </w:t>
      </w:r>
      <w:r w:rsidRPr="00442E1D">
        <w:rPr>
          <w:rFonts w:ascii="Times New Roman" w:hAnsi="Times New Roman" w:cs="Times New Roman"/>
          <w:sz w:val="28"/>
          <w:szCs w:val="28"/>
        </w:rPr>
        <w:t>“</w:t>
      </w:r>
      <w:r w:rsidRPr="00442E1D">
        <w:rPr>
          <w:rFonts w:ascii="Times New Roman" w:hAnsi="Times New Roman" w:cs="Times New Roman"/>
          <w:sz w:val="28"/>
          <w:szCs w:val="28"/>
          <w:lang w:val="es-ES"/>
        </w:rPr>
        <w:t>el accionante realiza una interpretación errónea del artículo 29 de la Ley 675 de 2001, al analizarlo de manera individual, sin el alcance sistemático que tiene respecto a la ley en general y la to</w:t>
      </w:r>
      <w:r w:rsidRPr="00442E1D">
        <w:rPr>
          <w:rFonts w:ascii="Times New Roman" w:hAnsi="Times New Roman" w:cs="Times New Roman"/>
          <w:sz w:val="28"/>
          <w:szCs w:val="28"/>
          <w:lang w:val="es-ES"/>
        </w:rPr>
        <w:t>talidad de sus disposiciones</w:t>
      </w:r>
      <w:r w:rsidRPr="00442E1D">
        <w:rPr>
          <w:rFonts w:ascii="Times New Roman" w:hAnsi="Times New Roman" w:cs="Times New Roman"/>
          <w:sz w:val="28"/>
          <w:szCs w:val="28"/>
          <w:lang w:val="es-ES"/>
        </w:rPr>
        <w:t xml:space="preserve">”. De conformidad con esta, </w:t>
      </w:r>
      <w:r w:rsidRPr="00442E1D">
        <w:rPr>
          <w:rFonts w:ascii="Times New Roman" w:hAnsi="Times New Roman" w:cs="Times New Roman"/>
          <w:sz w:val="28"/>
          <w:szCs w:val="28"/>
          <w:lang w:val="es-ES"/>
        </w:rPr>
        <w:t xml:space="preserve">la disposición impugnada </w:t>
      </w:r>
      <w:r w:rsidRPr="00442E1D">
        <w:rPr>
          <w:rFonts w:ascii="Times New Roman" w:hAnsi="Times New Roman" w:cs="Times New Roman"/>
          <w:sz w:val="28"/>
          <w:szCs w:val="28"/>
          <w:lang w:val="es-ES"/>
        </w:rPr>
        <w:t xml:space="preserve">se </w:t>
      </w:r>
      <w:r w:rsidRPr="00442E1D">
        <w:rPr>
          <w:rFonts w:ascii="Times New Roman" w:hAnsi="Times New Roman" w:cs="Times New Roman"/>
          <w:sz w:val="28"/>
          <w:szCs w:val="28"/>
          <w:lang w:val="es-ES"/>
        </w:rPr>
        <w:t xml:space="preserve">debe </w:t>
      </w:r>
      <w:r w:rsidRPr="00442E1D">
        <w:rPr>
          <w:rFonts w:ascii="Times New Roman" w:hAnsi="Times New Roman" w:cs="Times New Roman"/>
          <w:sz w:val="28"/>
          <w:szCs w:val="28"/>
          <w:lang w:val="es-ES"/>
        </w:rPr>
        <w:t xml:space="preserve">interpretar </w:t>
      </w:r>
      <w:r w:rsidRPr="00442E1D">
        <w:rPr>
          <w:rFonts w:ascii="Times New Roman" w:hAnsi="Times New Roman" w:cs="Times New Roman"/>
          <w:sz w:val="28"/>
          <w:szCs w:val="28"/>
          <w:lang w:val="es-ES"/>
        </w:rPr>
        <w:t xml:space="preserve">de manera </w:t>
      </w:r>
      <w:r w:rsidRPr="00442E1D">
        <w:rPr>
          <w:rFonts w:ascii="Times New Roman" w:hAnsi="Times New Roman" w:cs="Times New Roman"/>
          <w:sz w:val="28"/>
          <w:szCs w:val="28"/>
          <w:lang w:val="es-ES"/>
        </w:rPr>
        <w:t xml:space="preserve">sistemática </w:t>
      </w:r>
      <w:r w:rsidRPr="00442E1D">
        <w:rPr>
          <w:rFonts w:ascii="Times New Roman" w:hAnsi="Times New Roman" w:cs="Times New Roman"/>
          <w:sz w:val="28"/>
          <w:szCs w:val="28"/>
          <w:lang w:val="es-ES"/>
        </w:rPr>
        <w:t xml:space="preserve">con los </w:t>
      </w:r>
      <w:r w:rsidRPr="00442E1D">
        <w:rPr>
          <w:rFonts w:ascii="Times New Roman" w:hAnsi="Times New Roman" w:cs="Times New Roman"/>
          <w:sz w:val="28"/>
          <w:szCs w:val="28"/>
          <w:lang w:val="es-ES"/>
        </w:rPr>
        <w:t xml:space="preserve">artículos </w:t>
      </w:r>
      <w:r w:rsidRPr="00442E1D">
        <w:rPr>
          <w:rFonts w:ascii="Times New Roman" w:hAnsi="Times New Roman" w:cs="Times New Roman"/>
          <w:sz w:val="28"/>
          <w:szCs w:val="28"/>
          <w:lang w:val="es-ES"/>
        </w:rPr>
        <w:t xml:space="preserve">2, 3, 5.6, </w:t>
      </w:r>
      <w:r w:rsidRPr="00442E1D">
        <w:rPr>
          <w:rFonts w:ascii="Times New Roman" w:hAnsi="Times New Roman" w:cs="Times New Roman"/>
          <w:sz w:val="28"/>
          <w:szCs w:val="28"/>
          <w:lang w:val="es-ES"/>
        </w:rPr>
        <w:t xml:space="preserve">y </w:t>
      </w:r>
      <w:r w:rsidRPr="00442E1D">
        <w:rPr>
          <w:rFonts w:ascii="Times New Roman" w:hAnsi="Times New Roman" w:cs="Times New Roman"/>
          <w:sz w:val="28"/>
          <w:szCs w:val="28"/>
          <w:lang w:val="es-ES"/>
        </w:rPr>
        <w:t xml:space="preserve">25 </w:t>
      </w:r>
      <w:r w:rsidRPr="00442E1D">
        <w:rPr>
          <w:rFonts w:ascii="Times New Roman" w:hAnsi="Times New Roman" w:cs="Times New Roman"/>
          <w:sz w:val="28"/>
          <w:szCs w:val="28"/>
          <w:lang w:val="es-ES"/>
        </w:rPr>
        <w:t>a 28</w:t>
      </w:r>
      <w:r w:rsidRPr="00442E1D">
        <w:rPr>
          <w:rFonts w:ascii="Times New Roman" w:hAnsi="Times New Roman" w:cs="Times New Roman"/>
          <w:sz w:val="28"/>
          <w:szCs w:val="28"/>
          <w:lang w:val="es-ES"/>
        </w:rPr>
        <w:t xml:space="preserve"> de la ley en cita</w:t>
      </w:r>
      <w:r w:rsidRPr="00442E1D">
        <w:rPr>
          <w:rFonts w:ascii="Times New Roman" w:hAnsi="Times New Roman" w:cs="Times New Roman"/>
          <w:sz w:val="28"/>
          <w:szCs w:val="28"/>
          <w:lang w:val="es-ES"/>
        </w:rPr>
        <w:t>. E</w:t>
      </w:r>
      <w:r w:rsidRPr="00442E1D">
        <w:rPr>
          <w:rFonts w:ascii="Times New Roman" w:hAnsi="Times New Roman" w:cs="Times New Roman"/>
          <w:sz w:val="28"/>
          <w:szCs w:val="28"/>
          <w:lang w:val="es-ES"/>
        </w:rPr>
        <w:t xml:space="preserve">n particular, los artículos 25 y 26 </w:t>
      </w:r>
      <w:r w:rsidRPr="00442E1D">
        <w:rPr>
          <w:rFonts w:ascii="Times New Roman" w:hAnsi="Times New Roman" w:cs="Times New Roman"/>
          <w:sz w:val="28"/>
          <w:szCs w:val="28"/>
          <w:lang w:val="es-ES"/>
        </w:rPr>
        <w:t xml:space="preserve">regulan los coeficientes de </w:t>
      </w:r>
      <w:r w:rsidRPr="00442E1D">
        <w:rPr>
          <w:rFonts w:ascii="Times New Roman" w:hAnsi="Times New Roman" w:cs="Times New Roman"/>
          <w:sz w:val="28"/>
          <w:szCs w:val="28"/>
          <w:lang w:val="es-ES"/>
        </w:rPr>
        <w:t>copropiedad</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los cuales “se calculan con base en el área privada construida de cada bien de dominio particular, con respecto al área total privada del edificio o conjunto”</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 xml:space="preserve">que </w:t>
      </w:r>
      <w:r w:rsidRPr="00442E1D">
        <w:rPr>
          <w:rFonts w:ascii="Times New Roman" w:hAnsi="Times New Roman" w:cs="Times New Roman"/>
          <w:sz w:val="28"/>
          <w:szCs w:val="28"/>
          <w:lang w:val="es-ES"/>
        </w:rPr>
        <w:t>son fundamentales para entender que la participación en el pago de expensas com</w:t>
      </w:r>
      <w:r w:rsidRPr="00442E1D">
        <w:rPr>
          <w:rFonts w:ascii="Times New Roman" w:hAnsi="Times New Roman" w:cs="Times New Roman"/>
          <w:sz w:val="28"/>
          <w:szCs w:val="28"/>
          <w:lang w:val="es-ES"/>
        </w:rPr>
        <w:t>unes no depende de la discrecionalidad del reglamento de propiedad horizontal, sino que está sujeta a reglas objetivas y equitativas.</w:t>
      </w:r>
    </w:p>
    <w:p w:rsidR="0020544B" w:rsidRPr="00442E1D" w:rsidRDefault="00442E1D" w:rsidP="003F7D77">
      <w:pPr>
        <w:pStyle w:val="Prrafodelista"/>
        <w:ind w:left="0"/>
        <w:jc w:val="both"/>
        <w:rPr>
          <w:rFonts w:ascii="Times New Roman" w:hAnsi="Times New Roman" w:cs="Times New Roman"/>
          <w:sz w:val="28"/>
          <w:szCs w:val="28"/>
        </w:rPr>
      </w:pPr>
    </w:p>
    <w:p w:rsidR="00B52CAA"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Según se indicó, como petición principal, el ciudadano Santiago Cardozo Correcha solicita que la Corte se inhiba de emiti</w:t>
      </w:r>
      <w:r w:rsidRPr="00442E1D">
        <w:rPr>
          <w:rFonts w:ascii="Times New Roman" w:hAnsi="Times New Roman" w:cs="Times New Roman"/>
          <w:sz w:val="28"/>
          <w:szCs w:val="28"/>
        </w:rPr>
        <w:t>r un pronunciamiento de fond</w:t>
      </w:r>
      <w:r w:rsidRPr="00442E1D">
        <w:rPr>
          <w:rFonts w:ascii="Times New Roman" w:hAnsi="Times New Roman" w:cs="Times New Roman"/>
          <w:sz w:val="28"/>
          <w:szCs w:val="28"/>
        </w:rPr>
        <w:t xml:space="preserve">o y de manera subsidiaria </w:t>
      </w:r>
      <w:r w:rsidRPr="00442E1D">
        <w:rPr>
          <w:rFonts w:ascii="Times New Roman" w:hAnsi="Times New Roman" w:cs="Times New Roman"/>
          <w:sz w:val="28"/>
          <w:szCs w:val="28"/>
        </w:rPr>
        <w:t xml:space="preserve">solicita que se declare la exequibilidad </w:t>
      </w:r>
      <w:r w:rsidRPr="00442E1D">
        <w:rPr>
          <w:rFonts w:ascii="Times New Roman" w:hAnsi="Times New Roman" w:cs="Times New Roman"/>
          <w:sz w:val="28"/>
          <w:szCs w:val="28"/>
        </w:rPr>
        <w:t>simple del aparte acusado.</w:t>
      </w:r>
      <w:r w:rsidRPr="00442E1D">
        <w:rPr>
          <w:rFonts w:ascii="Times New Roman" w:hAnsi="Times New Roman" w:cs="Times New Roman"/>
          <w:sz w:val="28"/>
          <w:szCs w:val="28"/>
        </w:rPr>
        <w:t xml:space="preserve"> En relación con la petición subsidiaria, señala que, aunque existen riesgos de abuso por parte de quienes elaboran los reglamentos de </w:t>
      </w:r>
      <w:r w:rsidRPr="00442E1D">
        <w:rPr>
          <w:rFonts w:ascii="Times New Roman" w:hAnsi="Times New Roman" w:cs="Times New Roman"/>
          <w:sz w:val="28"/>
          <w:szCs w:val="28"/>
        </w:rPr>
        <w:t xml:space="preserve">propiedad horizontal (como constructoras o sociedades con </w:t>
      </w:r>
      <w:r w:rsidRPr="00442E1D">
        <w:rPr>
          <w:rFonts w:ascii="Times New Roman" w:hAnsi="Times New Roman" w:cs="Times New Roman"/>
          <w:sz w:val="28"/>
          <w:szCs w:val="28"/>
        </w:rPr>
        <w:t xml:space="preserve">una </w:t>
      </w:r>
      <w:r w:rsidRPr="00442E1D">
        <w:rPr>
          <w:rFonts w:ascii="Times New Roman" w:hAnsi="Times New Roman" w:cs="Times New Roman"/>
          <w:sz w:val="28"/>
          <w:szCs w:val="28"/>
        </w:rPr>
        <w:t>posici</w:t>
      </w:r>
      <w:r w:rsidRPr="00442E1D">
        <w:rPr>
          <w:rFonts w:ascii="Times New Roman" w:hAnsi="Times New Roman" w:cs="Times New Roman"/>
          <w:sz w:val="28"/>
          <w:szCs w:val="28"/>
        </w:rPr>
        <w:t>ón</w:t>
      </w:r>
      <w:r w:rsidRPr="00442E1D">
        <w:rPr>
          <w:rFonts w:ascii="Times New Roman" w:hAnsi="Times New Roman" w:cs="Times New Roman"/>
          <w:sz w:val="28"/>
          <w:szCs w:val="28"/>
        </w:rPr>
        <w:t xml:space="preserve"> dominante), estos riesgos están mitigados por mecanismos de control interno, como la asamblea general de copropietarios y el proceso declarativo verbal de impugnación de actos, </w:t>
      </w:r>
      <w:r w:rsidRPr="00442E1D">
        <w:rPr>
          <w:rFonts w:ascii="Times New Roman" w:hAnsi="Times New Roman" w:cs="Times New Roman"/>
          <w:sz w:val="28"/>
          <w:szCs w:val="28"/>
        </w:rPr>
        <w:t>de que t</w:t>
      </w:r>
      <w:r w:rsidRPr="00442E1D">
        <w:rPr>
          <w:rFonts w:ascii="Times New Roman" w:hAnsi="Times New Roman" w:cs="Times New Roman"/>
          <w:sz w:val="28"/>
          <w:szCs w:val="28"/>
        </w:rPr>
        <w:t xml:space="preserve">rata </w:t>
      </w:r>
      <w:r w:rsidRPr="00442E1D">
        <w:rPr>
          <w:rFonts w:ascii="Times New Roman" w:hAnsi="Times New Roman" w:cs="Times New Roman"/>
          <w:sz w:val="28"/>
          <w:szCs w:val="28"/>
        </w:rPr>
        <w:t>el artículo 382 de</w:t>
      </w:r>
      <w:r w:rsidRPr="00442E1D">
        <w:rPr>
          <w:rFonts w:ascii="Times New Roman" w:hAnsi="Times New Roman" w:cs="Times New Roman"/>
          <w:sz w:val="28"/>
          <w:szCs w:val="28"/>
        </w:rPr>
        <w:t>l Código General del Proceso</w:t>
      </w:r>
      <w:r w:rsidRPr="00442E1D">
        <w:rPr>
          <w:rStyle w:val="Refdenotaalpie"/>
          <w:rFonts w:ascii="Times New Roman" w:hAnsi="Times New Roman" w:cs="Times New Roman"/>
          <w:sz w:val="28"/>
          <w:szCs w:val="28"/>
        </w:rPr>
        <w:footnoteReference w:id="21"/>
      </w:r>
      <w:r w:rsidRPr="00442E1D">
        <w:rPr>
          <w:rFonts w:ascii="Times New Roman" w:hAnsi="Times New Roman" w:cs="Times New Roman"/>
          <w:sz w:val="28"/>
          <w:szCs w:val="28"/>
        </w:rPr>
        <w:t>.</w:t>
      </w:r>
    </w:p>
    <w:p w:rsidR="00B52CAA" w:rsidRPr="00442E1D" w:rsidRDefault="00442E1D" w:rsidP="003F7D77">
      <w:pPr>
        <w:rPr>
          <w:rFonts w:ascii="Times New Roman" w:hAnsi="Times New Roman" w:cs="Times New Roman"/>
          <w:sz w:val="28"/>
          <w:szCs w:val="28"/>
        </w:rPr>
      </w:pPr>
    </w:p>
    <w:p w:rsidR="00AC4274"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La Secretaría Distrital del Hábitat</w:t>
      </w:r>
      <w:r w:rsidRPr="00442E1D">
        <w:rPr>
          <w:rFonts w:ascii="Times New Roman" w:hAnsi="Times New Roman" w:cs="Times New Roman"/>
          <w:sz w:val="28"/>
          <w:szCs w:val="28"/>
        </w:rPr>
        <w:t xml:space="preserve"> de Bogotá</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defiende la constitucionalidad de</w:t>
      </w:r>
      <w:r w:rsidRPr="00442E1D">
        <w:rPr>
          <w:rFonts w:ascii="Times New Roman" w:hAnsi="Times New Roman" w:cs="Times New Roman"/>
          <w:sz w:val="28"/>
          <w:szCs w:val="28"/>
        </w:rPr>
        <w:t>l aparte acusado</w:t>
      </w:r>
      <w:r w:rsidRPr="00442E1D">
        <w:rPr>
          <w:rFonts w:ascii="Times New Roman" w:hAnsi="Times New Roman" w:cs="Times New Roman"/>
          <w:sz w:val="28"/>
          <w:szCs w:val="28"/>
        </w:rPr>
        <w:t xml:space="preserve">. Luego de hacer referencia a las disposiciones que regulan el régimen de propiedad horizontal, precisa que </w:t>
      </w:r>
      <w:r w:rsidRPr="00442E1D">
        <w:rPr>
          <w:rFonts w:ascii="Times New Roman" w:hAnsi="Times New Roman" w:cs="Times New Roman"/>
          <w:sz w:val="28"/>
          <w:szCs w:val="28"/>
          <w:lang w:val="es-ES"/>
        </w:rPr>
        <w:t xml:space="preserve">la correcta interpretación del artículo 29 debe entenderse en armonía con los principios de la Ley 675 de 2001, </w:t>
      </w:r>
      <w:r w:rsidRPr="00442E1D">
        <w:rPr>
          <w:rFonts w:ascii="Times New Roman" w:hAnsi="Times New Roman" w:cs="Times New Roman"/>
          <w:sz w:val="28"/>
          <w:szCs w:val="28"/>
          <w:lang w:val="es-ES"/>
        </w:rPr>
        <w:t xml:space="preserve">de </w:t>
      </w:r>
      <w:r w:rsidRPr="00442E1D">
        <w:rPr>
          <w:rFonts w:ascii="Times New Roman" w:hAnsi="Times New Roman" w:cs="Times New Roman"/>
          <w:sz w:val="28"/>
          <w:szCs w:val="28"/>
          <w:lang w:val="es-ES"/>
        </w:rPr>
        <w:t>conformidad con los cuales</w:t>
      </w:r>
      <w:r w:rsidRPr="00442E1D">
        <w:rPr>
          <w:rFonts w:ascii="Times New Roman" w:hAnsi="Times New Roman" w:cs="Times New Roman"/>
          <w:sz w:val="28"/>
          <w:szCs w:val="28"/>
          <w:lang w:val="es-ES"/>
        </w:rPr>
        <w:t>,</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ning</w:t>
      </w:r>
      <w:r w:rsidRPr="00442E1D">
        <w:rPr>
          <w:rFonts w:ascii="Times New Roman" w:hAnsi="Times New Roman" w:cs="Times New Roman"/>
          <w:sz w:val="28"/>
          <w:szCs w:val="28"/>
          <w:lang w:val="es-ES"/>
        </w:rPr>
        <w:t>una d</w:t>
      </w:r>
      <w:r w:rsidRPr="00442E1D">
        <w:rPr>
          <w:rFonts w:ascii="Times New Roman" w:hAnsi="Times New Roman" w:cs="Times New Roman"/>
          <w:sz w:val="28"/>
          <w:szCs w:val="28"/>
          <w:lang w:val="es-ES"/>
        </w:rPr>
        <w:t xml:space="preserve">e </w:t>
      </w:r>
      <w:r w:rsidRPr="00442E1D">
        <w:rPr>
          <w:rFonts w:ascii="Times New Roman" w:hAnsi="Times New Roman" w:cs="Times New Roman"/>
          <w:sz w:val="28"/>
          <w:szCs w:val="28"/>
          <w:lang w:val="es-ES"/>
        </w:rPr>
        <w:t>las disposiciones de los Estatutos pueden</w:t>
      </w:r>
      <w:r w:rsidRPr="00442E1D">
        <w:rPr>
          <w:rFonts w:ascii="Times New Roman" w:hAnsi="Times New Roman" w:cs="Times New Roman"/>
          <w:sz w:val="28"/>
          <w:szCs w:val="28"/>
          <w:lang w:val="es-ES"/>
        </w:rPr>
        <w:t xml:space="preserve"> [sic]</w:t>
      </w:r>
      <w:r w:rsidRPr="00442E1D">
        <w:rPr>
          <w:rFonts w:ascii="Times New Roman" w:hAnsi="Times New Roman" w:cs="Times New Roman"/>
          <w:sz w:val="28"/>
          <w:szCs w:val="28"/>
          <w:lang w:val="es-ES"/>
        </w:rPr>
        <w:t xml:space="preserve"> vulnerar las normas imperativas de la Ley 675 de 2001, son</w:t>
      </w:r>
      <w:r w:rsidRPr="00442E1D">
        <w:rPr>
          <w:rFonts w:ascii="Times New Roman" w:hAnsi="Times New Roman" w:cs="Times New Roman"/>
          <w:sz w:val="28"/>
          <w:szCs w:val="28"/>
          <w:lang w:val="es-ES"/>
        </w:rPr>
        <w:t xml:space="preserve"> [sic] pena de ser tenidas como NO escritas”</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 xml:space="preserve">En caso de que </w:t>
      </w:r>
      <w:r w:rsidRPr="00442E1D">
        <w:rPr>
          <w:rFonts w:ascii="Times New Roman" w:hAnsi="Times New Roman" w:cs="Times New Roman"/>
          <w:sz w:val="28"/>
          <w:szCs w:val="28"/>
          <w:lang w:val="es-ES"/>
        </w:rPr>
        <w:t xml:space="preserve">tales disposiciones se vulneren, el interesado puede acudir al “proceso verbal </w:t>
      </w:r>
      <w:r w:rsidRPr="00442E1D">
        <w:rPr>
          <w:rFonts w:ascii="Times New Roman" w:hAnsi="Times New Roman" w:cs="Times New Roman"/>
          <w:sz w:val="28"/>
          <w:szCs w:val="28"/>
          <w:lang w:val="es-ES"/>
        </w:rPr>
        <w:t>especial de impugnación de Actas de Asamblea reglado por el artículo 382 del Código General del Proceso”</w:t>
      </w:r>
      <w:r w:rsidRPr="00442E1D">
        <w:rPr>
          <w:rFonts w:ascii="Times New Roman" w:hAnsi="Times New Roman" w:cs="Times New Roman"/>
          <w:sz w:val="28"/>
          <w:szCs w:val="28"/>
          <w:lang w:val="es-ES"/>
        </w:rPr>
        <w:t xml:space="preserve">. </w:t>
      </w:r>
      <w:r w:rsidRPr="00442E1D">
        <w:rPr>
          <w:rFonts w:ascii="Times New Roman" w:hAnsi="Times New Roman" w:cs="Times New Roman"/>
          <w:sz w:val="28"/>
          <w:szCs w:val="28"/>
          <w:lang w:val="es-ES"/>
        </w:rPr>
        <w:t>De allí que afirme que en los casos que refiere el demandante, “</w:t>
      </w:r>
      <w:r w:rsidRPr="00442E1D">
        <w:rPr>
          <w:rFonts w:ascii="Times New Roman" w:hAnsi="Times New Roman" w:cs="Times New Roman"/>
          <w:sz w:val="28"/>
          <w:szCs w:val="28"/>
          <w:lang w:val="es-ES"/>
        </w:rPr>
        <w:t>el actuar inconstitucional no se da como consecuencia de lo establecido por la norma s</w:t>
      </w:r>
      <w:r w:rsidRPr="00442E1D">
        <w:rPr>
          <w:rFonts w:ascii="Times New Roman" w:hAnsi="Times New Roman" w:cs="Times New Roman"/>
          <w:sz w:val="28"/>
          <w:szCs w:val="28"/>
          <w:lang w:val="es-ES"/>
        </w:rPr>
        <w:t>ino por el erróneo ejercicio interpretativo que se realiza por parte de los copropietarios o funcionarios judiciales”.</w:t>
      </w:r>
    </w:p>
    <w:p w:rsidR="008B06B5" w:rsidRPr="00442E1D" w:rsidRDefault="00442E1D" w:rsidP="00034A78">
      <w:pPr>
        <w:rPr>
          <w:rFonts w:ascii="Times New Roman" w:hAnsi="Times New Roman" w:cs="Times New Roman"/>
          <w:sz w:val="28"/>
          <w:szCs w:val="28"/>
        </w:rPr>
      </w:pPr>
    </w:p>
    <w:p w:rsidR="00676583"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Rubén Darío Gómez Franco, Juan David Retrepo Cardona, Marco Alberto Pérez Jácome y Milena Ramírez Díaz (Universidad de Antioquia)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defien</w:t>
      </w:r>
      <w:r w:rsidRPr="00442E1D">
        <w:rPr>
          <w:rFonts w:ascii="Times New Roman" w:hAnsi="Times New Roman" w:cs="Times New Roman"/>
          <w:sz w:val="28"/>
          <w:szCs w:val="28"/>
        </w:rPr>
        <w:t xml:space="preserve">den la constitucionalidad de la disposición. </w:t>
      </w:r>
      <w:r w:rsidRPr="00442E1D">
        <w:rPr>
          <w:rFonts w:ascii="Times New Roman" w:hAnsi="Times New Roman" w:cs="Times New Roman"/>
          <w:sz w:val="28"/>
          <w:szCs w:val="28"/>
        </w:rPr>
        <w:t>De un lado, señalan</w:t>
      </w:r>
      <w:r w:rsidRPr="00442E1D">
        <w:rPr>
          <w:rFonts w:ascii="Times New Roman" w:hAnsi="Times New Roman" w:cs="Times New Roman"/>
          <w:sz w:val="28"/>
          <w:szCs w:val="28"/>
        </w:rPr>
        <w:t xml:space="preserve"> que </w:t>
      </w:r>
      <w:r w:rsidRPr="00442E1D">
        <w:rPr>
          <w:rFonts w:ascii="Times New Roman" w:hAnsi="Times New Roman" w:cs="Times New Roman"/>
          <w:sz w:val="28"/>
          <w:szCs w:val="28"/>
        </w:rPr>
        <w:t xml:space="preserve">la obligación de pagar expensas comunes, basada en los coeficientes de copropiedad, respeta </w:t>
      </w:r>
      <w:r w:rsidRPr="00442E1D">
        <w:rPr>
          <w:rFonts w:ascii="Times New Roman" w:hAnsi="Times New Roman" w:cs="Times New Roman"/>
          <w:sz w:val="28"/>
          <w:szCs w:val="28"/>
        </w:rPr>
        <w:t xml:space="preserve">los principios de solidaridad e </w:t>
      </w:r>
      <w:r w:rsidRPr="00442E1D">
        <w:rPr>
          <w:rFonts w:ascii="Times New Roman" w:hAnsi="Times New Roman" w:cs="Times New Roman"/>
          <w:sz w:val="28"/>
          <w:szCs w:val="28"/>
        </w:rPr>
        <w:t xml:space="preserve">igualdad, lo que permite una administración eficiente y </w:t>
      </w:r>
      <w:r w:rsidRPr="00442E1D">
        <w:rPr>
          <w:rFonts w:ascii="Times New Roman" w:hAnsi="Times New Roman" w:cs="Times New Roman"/>
          <w:sz w:val="28"/>
          <w:szCs w:val="28"/>
        </w:rPr>
        <w:t>equitativa de la copropiedad</w:t>
      </w:r>
      <w:r w:rsidRPr="00442E1D">
        <w:rPr>
          <w:rFonts w:ascii="Times New Roman" w:hAnsi="Times New Roman" w:cs="Times New Roman"/>
          <w:sz w:val="28"/>
          <w:szCs w:val="28"/>
        </w:rPr>
        <w:t xml:space="preserve">, sin que su fijación se pueda utilizar “con el propósito de que los copropietarios se </w:t>
      </w:r>
      <w:r w:rsidRPr="00442E1D">
        <w:rPr>
          <w:rFonts w:ascii="Times New Roman" w:hAnsi="Times New Roman" w:cs="Times New Roman"/>
          <w:sz w:val="28"/>
          <w:szCs w:val="28"/>
        </w:rPr>
        <w:t>eximan a través de él, de efectuar este pago, disposición, además, contraria a la ley, según los artículos 5, par. 1 y 25 de la Ley de propie</w:t>
      </w:r>
      <w:r w:rsidRPr="00442E1D">
        <w:rPr>
          <w:rFonts w:ascii="Times New Roman" w:hAnsi="Times New Roman" w:cs="Times New Roman"/>
          <w:sz w:val="28"/>
          <w:szCs w:val="28"/>
        </w:rPr>
        <w:t>dad horizontal”</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De otro lado, indican que </w:t>
      </w:r>
      <w:r w:rsidRPr="00442E1D">
        <w:rPr>
          <w:rFonts w:ascii="Times New Roman" w:hAnsi="Times New Roman" w:cs="Times New Roman"/>
          <w:sz w:val="28"/>
          <w:szCs w:val="28"/>
        </w:rPr>
        <w:t xml:space="preserve">los argumentos del demandante no demuestran que la norma sea inconstitucional en abstracto, sino que reflejan problemas de aplicación </w:t>
      </w:r>
      <w:r w:rsidRPr="00442E1D">
        <w:rPr>
          <w:rFonts w:ascii="Times New Roman" w:hAnsi="Times New Roman" w:cs="Times New Roman"/>
          <w:sz w:val="28"/>
          <w:szCs w:val="28"/>
        </w:rPr>
        <w:t xml:space="preserve">práctica </w:t>
      </w:r>
      <w:r w:rsidRPr="00442E1D">
        <w:rPr>
          <w:rFonts w:ascii="Times New Roman" w:hAnsi="Times New Roman" w:cs="Times New Roman"/>
          <w:sz w:val="28"/>
          <w:szCs w:val="28"/>
        </w:rPr>
        <w:t xml:space="preserve">que pueden ser abordados </w:t>
      </w:r>
      <w:r w:rsidRPr="00442E1D">
        <w:rPr>
          <w:rFonts w:ascii="Times New Roman" w:hAnsi="Times New Roman" w:cs="Times New Roman"/>
          <w:sz w:val="28"/>
          <w:szCs w:val="28"/>
        </w:rPr>
        <w:t xml:space="preserve">mediante </w:t>
      </w:r>
      <w:r w:rsidRPr="00442E1D">
        <w:rPr>
          <w:rFonts w:ascii="Times New Roman" w:hAnsi="Times New Roman" w:cs="Times New Roman"/>
          <w:sz w:val="28"/>
          <w:szCs w:val="28"/>
        </w:rPr>
        <w:t>“los mecanismos de control interno y</w:t>
      </w:r>
      <w:r w:rsidRPr="00442E1D">
        <w:rPr>
          <w:rFonts w:ascii="Times New Roman" w:hAnsi="Times New Roman" w:cs="Times New Roman"/>
          <w:sz w:val="28"/>
          <w:szCs w:val="28"/>
        </w:rPr>
        <w:t xml:space="preserve"> judicial previstos por la ley”</w:t>
      </w:r>
      <w:r w:rsidRPr="00442E1D">
        <w:rPr>
          <w:rFonts w:ascii="Times New Roman" w:hAnsi="Times New Roman" w:cs="Times New Roman"/>
          <w:sz w:val="28"/>
          <w:szCs w:val="28"/>
        </w:rPr>
        <w:t>.</w:t>
      </w:r>
    </w:p>
    <w:p w:rsidR="00026A3E" w:rsidRPr="00442E1D" w:rsidRDefault="00442E1D" w:rsidP="003F7D77">
      <w:pPr>
        <w:rPr>
          <w:rFonts w:ascii="Times New Roman" w:hAnsi="Times New Roman" w:cs="Times New Roman"/>
          <w:sz w:val="28"/>
          <w:szCs w:val="28"/>
        </w:rPr>
      </w:pPr>
    </w:p>
    <w:p w:rsidR="00600DD6" w:rsidRPr="00442E1D" w:rsidRDefault="00442E1D" w:rsidP="007471E9">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Finalmente, la Universidad </w:t>
      </w:r>
      <w:r w:rsidRPr="00442E1D">
        <w:rPr>
          <w:rFonts w:ascii="Times New Roman" w:hAnsi="Times New Roman" w:cs="Times New Roman"/>
          <w:sz w:val="28"/>
          <w:szCs w:val="28"/>
        </w:rPr>
        <w:t xml:space="preserve">Javeriana </w:t>
      </w:r>
      <w:r w:rsidRPr="00442E1D">
        <w:rPr>
          <w:rFonts w:ascii="Times New Roman" w:hAnsi="Times New Roman" w:cs="Times New Roman"/>
          <w:sz w:val="28"/>
          <w:szCs w:val="28"/>
        </w:rPr>
        <w:t>solicita la declaratoria de exequibilidad condicionada de</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l</w:t>
      </w:r>
      <w:r w:rsidRPr="00442E1D">
        <w:rPr>
          <w:rFonts w:ascii="Times New Roman" w:hAnsi="Times New Roman" w:cs="Times New Roman"/>
          <w:sz w:val="28"/>
          <w:szCs w:val="28"/>
        </w:rPr>
        <w:t>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expresión </w:t>
      </w:r>
      <w:r w:rsidRPr="00442E1D">
        <w:rPr>
          <w:rFonts w:ascii="Times New Roman" w:hAnsi="Times New Roman" w:cs="Times New Roman"/>
          <w:sz w:val="28"/>
          <w:szCs w:val="28"/>
        </w:rPr>
        <w:t>demandad</w:t>
      </w:r>
      <w:r w:rsidRPr="00442E1D">
        <w:rPr>
          <w:rFonts w:ascii="Times New Roman" w:hAnsi="Times New Roman" w:cs="Times New Roman"/>
          <w:sz w:val="28"/>
          <w:szCs w:val="28"/>
        </w:rPr>
        <w:t>a</w:t>
      </w:r>
      <w:r w:rsidRPr="00442E1D">
        <w:rPr>
          <w:rFonts w:ascii="Times New Roman" w:hAnsi="Times New Roman" w:cs="Times New Roman"/>
          <w:sz w:val="28"/>
          <w:szCs w:val="28"/>
        </w:rPr>
        <w:t xml:space="preserve">. Según señala, “Dejar abierta la posibilidad de que se interprete la expresión demandada, para generar </w:t>
      </w:r>
      <w:r w:rsidRPr="00442E1D">
        <w:rPr>
          <w:rFonts w:ascii="Times New Roman" w:hAnsi="Times New Roman" w:cs="Times New Roman"/>
          <w:sz w:val="28"/>
          <w:szCs w:val="28"/>
        </w:rPr>
        <w:t>restricciones o excepciones de pago de las expensas comunes, más allá de las previstas en la ley, no es ni proporcional ni razonable, en la medida en que permiten el abuso, la violación al principio de solidaridad y el derecho de igualdad</w:t>
      </w:r>
      <w:r w:rsidRPr="00442E1D">
        <w:rPr>
          <w:rFonts w:ascii="Times New Roman" w:hAnsi="Times New Roman" w:cs="Times New Roman"/>
          <w:sz w:val="28"/>
          <w:szCs w:val="28"/>
        </w:rPr>
        <w:t>”. A partir de est</w:t>
      </w:r>
      <w:r w:rsidRPr="00442E1D">
        <w:rPr>
          <w:rFonts w:ascii="Times New Roman" w:hAnsi="Times New Roman" w:cs="Times New Roman"/>
          <w:sz w:val="28"/>
          <w:szCs w:val="28"/>
        </w:rPr>
        <w:t>e razonamiento, solicita a la Corte que se declare la “</w:t>
      </w:r>
      <w:r w:rsidRPr="00442E1D">
        <w:rPr>
          <w:rFonts w:ascii="Times New Roman" w:hAnsi="Times New Roman" w:cs="Times New Roman"/>
          <w:sz w:val="28"/>
          <w:szCs w:val="28"/>
        </w:rPr>
        <w:t>constitucionalidad condicionada de la norma, en el sentido en que no se puedan violar los mínimos previstos en la primera parte de la misma, esto es, que todo propietario de unidades privadas está en l</w:t>
      </w:r>
      <w:r w:rsidRPr="00442E1D">
        <w:rPr>
          <w:rFonts w:ascii="Times New Roman" w:hAnsi="Times New Roman" w:cs="Times New Roman"/>
          <w:sz w:val="28"/>
          <w:szCs w:val="28"/>
        </w:rPr>
        <w:t>a obligación de pagar expensas comunes</w:t>
      </w:r>
      <w:r w:rsidRPr="00442E1D">
        <w:rPr>
          <w:rFonts w:ascii="Times New Roman" w:hAnsi="Times New Roman" w:cs="Times New Roman"/>
          <w:sz w:val="28"/>
          <w:szCs w:val="28"/>
        </w:rPr>
        <w:t>”</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Según precisa, </w:t>
      </w:r>
      <w:r w:rsidRPr="00442E1D">
        <w:rPr>
          <w:rFonts w:ascii="Times New Roman" w:hAnsi="Times New Roman" w:cs="Times New Roman"/>
          <w:sz w:val="28"/>
          <w:szCs w:val="28"/>
        </w:rPr>
        <w:t xml:space="preserve">la expresión demandada </w:t>
      </w:r>
      <w:r w:rsidRPr="00442E1D">
        <w:rPr>
          <w:rFonts w:ascii="Times New Roman" w:hAnsi="Times New Roman" w:cs="Times New Roman"/>
          <w:sz w:val="28"/>
          <w:szCs w:val="28"/>
        </w:rPr>
        <w:t>“</w:t>
      </w:r>
      <w:r w:rsidRPr="00442E1D">
        <w:rPr>
          <w:rFonts w:ascii="Times New Roman" w:hAnsi="Times New Roman" w:cs="Times New Roman"/>
          <w:sz w:val="28"/>
          <w:szCs w:val="28"/>
        </w:rPr>
        <w:t>abre la puerta para interpretaciones en las que permita a ese propietario inicial o, posteriormente, a la Asamblea de Copropietarios, incluir reglas distintas que permitieran l</w:t>
      </w:r>
      <w:r w:rsidRPr="00442E1D">
        <w:rPr>
          <w:rFonts w:ascii="Times New Roman" w:hAnsi="Times New Roman" w:cs="Times New Roman"/>
          <w:sz w:val="28"/>
          <w:szCs w:val="28"/>
        </w:rPr>
        <w:t>a exoneración o condiciones especiales, frente al pago de expensas comunes para determinados grupos de propietarios</w:t>
      </w:r>
      <w:r w:rsidRPr="00442E1D">
        <w:rPr>
          <w:rFonts w:ascii="Times New Roman" w:hAnsi="Times New Roman" w:cs="Times New Roman"/>
          <w:sz w:val="28"/>
          <w:szCs w:val="28"/>
        </w:rPr>
        <w:t>”</w:t>
      </w:r>
      <w:r w:rsidRPr="00442E1D">
        <w:rPr>
          <w:rStyle w:val="Refdenotaalpie"/>
          <w:rFonts w:ascii="Times New Roman" w:hAnsi="Times New Roman" w:cs="Times New Roman"/>
          <w:sz w:val="28"/>
          <w:szCs w:val="28"/>
        </w:rPr>
        <w:footnoteReference w:id="22"/>
      </w:r>
      <w:r w:rsidRPr="00442E1D">
        <w:rPr>
          <w:rFonts w:ascii="Times New Roman" w:hAnsi="Times New Roman" w:cs="Times New Roman"/>
          <w:sz w:val="28"/>
          <w:szCs w:val="28"/>
        </w:rPr>
        <w:t>.</w:t>
      </w:r>
    </w:p>
    <w:p w:rsidR="00CA3B0D" w:rsidRPr="00442E1D" w:rsidRDefault="00442E1D" w:rsidP="003F7D77">
      <w:pPr>
        <w:pStyle w:val="Prrafodelista"/>
        <w:ind w:left="0"/>
        <w:jc w:val="both"/>
        <w:rPr>
          <w:rFonts w:ascii="Times New Roman" w:hAnsi="Times New Roman" w:cs="Times New Roman"/>
          <w:sz w:val="28"/>
          <w:szCs w:val="28"/>
        </w:rPr>
      </w:pPr>
    </w:p>
    <w:p w:rsidR="00DF544C" w:rsidRPr="00442E1D" w:rsidRDefault="00442E1D" w:rsidP="003F7D77">
      <w:pPr>
        <w:pStyle w:val="Estilo1"/>
        <w:numPr>
          <w:ilvl w:val="0"/>
          <w:numId w:val="3"/>
        </w:numPr>
        <w:ind w:left="0" w:firstLine="0"/>
        <w:outlineLvl w:val="0"/>
        <w:rPr>
          <w:rStyle w:val="Ttulo1Car"/>
          <w:rFonts w:ascii="Times New Roman" w:hAnsi="Times New Roman" w:cs="Times New Roman"/>
          <w:bCs/>
          <w:color w:val="auto"/>
          <w:sz w:val="28"/>
          <w:szCs w:val="28"/>
        </w:rPr>
      </w:pPr>
      <w:r w:rsidRPr="00442E1D">
        <w:rPr>
          <w:rStyle w:val="Ttulo1Car"/>
          <w:rFonts w:ascii="Times New Roman" w:hAnsi="Times New Roman" w:cs="Times New Roman"/>
          <w:bCs/>
          <w:color w:val="auto"/>
          <w:sz w:val="28"/>
          <w:szCs w:val="28"/>
        </w:rPr>
        <w:t xml:space="preserve">Argumentos de quienes solicitan </w:t>
      </w:r>
      <w:r w:rsidRPr="00442E1D">
        <w:rPr>
          <w:rStyle w:val="Ttulo1Car"/>
          <w:rFonts w:ascii="Times New Roman" w:hAnsi="Times New Roman" w:cs="Times New Roman"/>
          <w:bCs/>
          <w:color w:val="auto"/>
          <w:sz w:val="28"/>
          <w:szCs w:val="28"/>
        </w:rPr>
        <w:t>la</w:t>
      </w:r>
      <w:r w:rsidRPr="00442E1D">
        <w:rPr>
          <w:rStyle w:val="Ttulo1Car"/>
          <w:rFonts w:ascii="Times New Roman" w:hAnsi="Times New Roman" w:cs="Times New Roman"/>
          <w:bCs/>
          <w:color w:val="auto"/>
          <w:sz w:val="28"/>
          <w:szCs w:val="28"/>
        </w:rPr>
        <w:t xml:space="preserve"> declaratoria de </w:t>
      </w:r>
      <w:r w:rsidRPr="00442E1D">
        <w:rPr>
          <w:rStyle w:val="Ttulo1Car"/>
          <w:rFonts w:ascii="Times New Roman" w:hAnsi="Times New Roman" w:cs="Times New Roman"/>
          <w:bCs/>
          <w:color w:val="auto"/>
          <w:sz w:val="28"/>
          <w:szCs w:val="28"/>
        </w:rPr>
        <w:t>in</w:t>
      </w:r>
      <w:r w:rsidRPr="00442E1D">
        <w:rPr>
          <w:rStyle w:val="Ttulo1Car"/>
          <w:rFonts w:ascii="Times New Roman" w:hAnsi="Times New Roman" w:cs="Times New Roman"/>
          <w:bCs/>
          <w:color w:val="auto"/>
          <w:sz w:val="28"/>
          <w:szCs w:val="28"/>
        </w:rPr>
        <w:t>exequibilidad</w:t>
      </w:r>
    </w:p>
    <w:p w:rsidR="00DF544C" w:rsidRPr="00442E1D" w:rsidRDefault="00442E1D" w:rsidP="003F7D77">
      <w:pPr>
        <w:jc w:val="both"/>
        <w:rPr>
          <w:rFonts w:ascii="Times New Roman" w:hAnsi="Times New Roman" w:cs="Times New Roman"/>
          <w:b/>
          <w:sz w:val="28"/>
          <w:szCs w:val="28"/>
        </w:rPr>
      </w:pPr>
    </w:p>
    <w:p w:rsidR="001C2CE2" w:rsidRPr="00442E1D" w:rsidRDefault="00442E1D" w:rsidP="003F7D77">
      <w:pPr>
        <w:pStyle w:val="Prrafodelista"/>
        <w:numPr>
          <w:ilvl w:val="0"/>
          <w:numId w:val="2"/>
        </w:numPr>
        <w:ind w:left="0" w:firstLine="0"/>
        <w:jc w:val="both"/>
        <w:rPr>
          <w:rFonts w:ascii="Times New Roman" w:hAnsi="Times New Roman" w:cs="Times New Roman"/>
          <w:sz w:val="28"/>
          <w:szCs w:val="28"/>
          <w:lang w:val="es-ES_tradnl"/>
        </w:rPr>
      </w:pPr>
      <w:r w:rsidRPr="00442E1D">
        <w:rPr>
          <w:rFonts w:ascii="Times New Roman" w:hAnsi="Times New Roman" w:cs="Times New Roman"/>
          <w:bCs/>
          <w:sz w:val="28"/>
          <w:szCs w:val="28"/>
        </w:rPr>
        <w:t xml:space="preserve">El Colegio de Administradores de Propiedad Horizontal de Bogotá solicita </w:t>
      </w:r>
      <w:r w:rsidRPr="00442E1D">
        <w:rPr>
          <w:rFonts w:ascii="Times New Roman" w:hAnsi="Times New Roman" w:cs="Times New Roman"/>
          <w:bCs/>
          <w:sz w:val="28"/>
          <w:szCs w:val="28"/>
        </w:rPr>
        <w:t>la declaratoria de inexequibilidad de</w:t>
      </w:r>
      <w:r w:rsidRPr="00442E1D">
        <w:rPr>
          <w:rFonts w:ascii="Times New Roman" w:hAnsi="Times New Roman" w:cs="Times New Roman"/>
          <w:bCs/>
          <w:sz w:val="28"/>
          <w:szCs w:val="28"/>
        </w:rPr>
        <w:t>l aparte demandado</w:t>
      </w:r>
      <w:r w:rsidRPr="00442E1D">
        <w:rPr>
          <w:rFonts w:ascii="Times New Roman" w:hAnsi="Times New Roman" w:cs="Times New Roman"/>
          <w:bCs/>
          <w:sz w:val="28"/>
          <w:szCs w:val="28"/>
        </w:rPr>
        <w:t xml:space="preserve">, </w:t>
      </w:r>
      <w:r w:rsidRPr="00442E1D">
        <w:rPr>
          <w:rFonts w:ascii="Times New Roman" w:hAnsi="Times New Roman" w:cs="Times New Roman"/>
          <w:bCs/>
          <w:sz w:val="28"/>
          <w:szCs w:val="28"/>
        </w:rPr>
        <w:t xml:space="preserve">y </w:t>
      </w:r>
      <w:r w:rsidRPr="00442E1D">
        <w:rPr>
          <w:rFonts w:ascii="Times New Roman" w:hAnsi="Times New Roman" w:cs="Times New Roman"/>
          <w:bCs/>
          <w:sz w:val="28"/>
          <w:szCs w:val="28"/>
        </w:rPr>
        <w:t>“si la inexeq</w:t>
      </w:r>
      <w:r w:rsidRPr="00442E1D">
        <w:rPr>
          <w:rFonts w:ascii="Times New Roman" w:hAnsi="Times New Roman" w:cs="Times New Roman"/>
          <w:sz w:val="28"/>
          <w:szCs w:val="28"/>
        </w:rPr>
        <w:t>uibilidad no es viable, se condicione a que esa expresión ‘de acuerdo con el reglamento de propiedad horizontal</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sea igual al cumplimiento de lo ordenado en la ley para los coeficientes de copropiedad y módulos de contribución, según el caso</w:t>
      </w:r>
      <w:r w:rsidRPr="00442E1D">
        <w:rPr>
          <w:rFonts w:ascii="Times New Roman" w:hAnsi="Times New Roman" w:cs="Times New Roman"/>
          <w:sz w:val="28"/>
          <w:szCs w:val="28"/>
        </w:rPr>
        <w:t>”</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Para fundamentar su solicitud, precisa que</w:t>
      </w:r>
      <w:r w:rsidRPr="00442E1D">
        <w:rPr>
          <w:rFonts w:ascii="Times New Roman" w:hAnsi="Times New Roman" w:cs="Times New Roman"/>
          <w:sz w:val="28"/>
          <w:szCs w:val="28"/>
        </w:rPr>
        <w:t xml:space="preserve"> la expresión demandada se ha sido utilizado para evadir responsabilidades, </w:t>
      </w:r>
      <w:r w:rsidRPr="00442E1D">
        <w:rPr>
          <w:rFonts w:ascii="Times New Roman" w:hAnsi="Times New Roman" w:cs="Times New Roman"/>
          <w:sz w:val="28"/>
          <w:szCs w:val="28"/>
        </w:rPr>
        <w:t>al cr</w:t>
      </w:r>
      <w:r w:rsidRPr="00442E1D">
        <w:rPr>
          <w:rFonts w:ascii="Times New Roman" w:hAnsi="Times New Roman" w:cs="Times New Roman"/>
          <w:sz w:val="28"/>
          <w:szCs w:val="28"/>
        </w:rPr>
        <w:t xml:space="preserve">ear </w:t>
      </w:r>
      <w:r w:rsidRPr="00442E1D">
        <w:rPr>
          <w:rFonts w:ascii="Times New Roman" w:hAnsi="Times New Roman" w:cs="Times New Roman"/>
          <w:sz w:val="28"/>
          <w:szCs w:val="28"/>
        </w:rPr>
        <w:t>desigualdades en las contribuciones económicas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que favorecen de manera injustificada a ciertos propietarios, particularmente al propietario inicial, mediante la exoneración del pago de expensas comunes</w:t>
      </w:r>
      <w:r w:rsidRPr="00442E1D">
        <w:rPr>
          <w:rStyle w:val="Refdenotaalpie"/>
          <w:rFonts w:ascii="Times New Roman" w:hAnsi="Times New Roman" w:cs="Times New Roman"/>
          <w:sz w:val="28"/>
          <w:szCs w:val="28"/>
        </w:rPr>
        <w:footnoteReference w:id="23"/>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p>
    <w:p w:rsidR="001C2CE2" w:rsidRPr="00442E1D" w:rsidRDefault="00442E1D" w:rsidP="001C2CE2">
      <w:pPr>
        <w:pStyle w:val="Prrafodelista"/>
        <w:ind w:left="0"/>
        <w:jc w:val="both"/>
        <w:rPr>
          <w:rFonts w:ascii="Times New Roman" w:hAnsi="Times New Roman" w:cs="Times New Roman"/>
          <w:sz w:val="28"/>
          <w:szCs w:val="28"/>
          <w:lang w:val="es-ES_tradnl"/>
        </w:rPr>
      </w:pPr>
    </w:p>
    <w:p w:rsidR="00626C63" w:rsidRPr="00442E1D" w:rsidRDefault="00442E1D" w:rsidP="003F7D77">
      <w:pPr>
        <w:pStyle w:val="Prrafodelista"/>
        <w:numPr>
          <w:ilvl w:val="0"/>
          <w:numId w:val="2"/>
        </w:numPr>
        <w:ind w:left="0" w:firstLine="0"/>
        <w:jc w:val="both"/>
        <w:rPr>
          <w:rFonts w:ascii="Times New Roman" w:hAnsi="Times New Roman" w:cs="Times New Roman"/>
          <w:sz w:val="28"/>
          <w:szCs w:val="28"/>
          <w:lang w:val="es-ES_tradnl"/>
        </w:rPr>
      </w:pPr>
      <w:r w:rsidRPr="00442E1D">
        <w:rPr>
          <w:rFonts w:ascii="Times New Roman" w:hAnsi="Times New Roman" w:cs="Times New Roman"/>
          <w:sz w:val="28"/>
          <w:szCs w:val="28"/>
        </w:rPr>
        <w:t xml:space="preserve">Además, </w:t>
      </w:r>
      <w:r w:rsidRPr="00442E1D">
        <w:rPr>
          <w:rFonts w:ascii="Times New Roman" w:hAnsi="Times New Roman" w:cs="Times New Roman"/>
          <w:sz w:val="28"/>
          <w:szCs w:val="28"/>
        </w:rPr>
        <w:t xml:space="preserve">indica que, </w:t>
      </w:r>
      <w:r w:rsidRPr="00442E1D">
        <w:rPr>
          <w:rFonts w:ascii="Times New Roman" w:hAnsi="Times New Roman" w:cs="Times New Roman"/>
          <w:sz w:val="28"/>
          <w:szCs w:val="28"/>
        </w:rPr>
        <w:t xml:space="preserve">por cuanto </w:t>
      </w:r>
      <w:r w:rsidRPr="00442E1D">
        <w:rPr>
          <w:rFonts w:ascii="Times New Roman" w:hAnsi="Times New Roman" w:cs="Times New Roman"/>
          <w:sz w:val="28"/>
          <w:szCs w:val="28"/>
        </w:rPr>
        <w:t xml:space="preserve">las </w:t>
      </w:r>
      <w:r w:rsidRPr="00442E1D">
        <w:rPr>
          <w:rFonts w:ascii="Times New Roman" w:hAnsi="Times New Roman" w:cs="Times New Roman"/>
          <w:sz w:val="28"/>
          <w:szCs w:val="28"/>
        </w:rPr>
        <w:t>modificaciones de los reglamentos son difíciles de realizar debido a la falta de quórum en las asambleas, se perpetúan las irregularidades iniciales</w:t>
      </w:r>
      <w:r w:rsidRPr="00442E1D">
        <w:rPr>
          <w:rFonts w:ascii="Times New Roman" w:hAnsi="Times New Roman" w:cs="Times New Roman"/>
          <w:sz w:val="28"/>
          <w:szCs w:val="28"/>
        </w:rPr>
        <w:t xml:space="preserve">, lo que </w:t>
      </w:r>
      <w:r w:rsidRPr="00442E1D">
        <w:rPr>
          <w:rFonts w:ascii="Times New Roman" w:hAnsi="Times New Roman" w:cs="Times New Roman"/>
          <w:sz w:val="28"/>
          <w:szCs w:val="28"/>
        </w:rPr>
        <w:t>afecta la equidad entre los propietarios</w:t>
      </w:r>
      <w:r w:rsidRPr="00442E1D">
        <w:rPr>
          <w:rStyle w:val="Refdenotaalpie"/>
          <w:rFonts w:ascii="Times New Roman" w:hAnsi="Times New Roman" w:cs="Times New Roman"/>
          <w:sz w:val="28"/>
          <w:szCs w:val="28"/>
        </w:rPr>
        <w:footnoteReference w:id="24"/>
      </w:r>
      <w:r w:rsidRPr="00442E1D">
        <w:rPr>
          <w:rFonts w:ascii="Times New Roman" w:hAnsi="Times New Roman" w:cs="Times New Roman"/>
          <w:sz w:val="28"/>
          <w:szCs w:val="28"/>
        </w:rPr>
        <w:t>.</w:t>
      </w:r>
    </w:p>
    <w:p w:rsidR="00626C63" w:rsidRPr="00442E1D" w:rsidRDefault="00442E1D" w:rsidP="00626C63">
      <w:pPr>
        <w:rPr>
          <w:rFonts w:ascii="Times New Roman" w:hAnsi="Times New Roman" w:cs="Times New Roman"/>
          <w:sz w:val="28"/>
          <w:szCs w:val="28"/>
        </w:rPr>
      </w:pPr>
    </w:p>
    <w:p w:rsidR="00101281" w:rsidRPr="00442E1D" w:rsidRDefault="00442E1D" w:rsidP="003F7D77">
      <w:pPr>
        <w:pStyle w:val="Prrafodelista"/>
        <w:numPr>
          <w:ilvl w:val="0"/>
          <w:numId w:val="2"/>
        </w:numPr>
        <w:ind w:left="0" w:firstLine="0"/>
        <w:jc w:val="both"/>
        <w:rPr>
          <w:rFonts w:ascii="Times New Roman" w:hAnsi="Times New Roman" w:cs="Times New Roman"/>
          <w:sz w:val="28"/>
          <w:szCs w:val="28"/>
          <w:lang w:val="es-ES_tradnl"/>
        </w:rPr>
      </w:pPr>
      <w:r w:rsidRPr="00442E1D">
        <w:rPr>
          <w:rFonts w:ascii="Times New Roman" w:hAnsi="Times New Roman" w:cs="Times New Roman"/>
          <w:sz w:val="28"/>
          <w:szCs w:val="28"/>
        </w:rPr>
        <w:t xml:space="preserve">Finalmente, precisa que </w:t>
      </w:r>
      <w:r w:rsidRPr="00442E1D">
        <w:rPr>
          <w:rFonts w:ascii="Times New Roman" w:hAnsi="Times New Roman" w:cs="Times New Roman"/>
          <w:sz w:val="28"/>
          <w:szCs w:val="28"/>
          <w:lang w:val="es-ES_tradnl"/>
        </w:rPr>
        <w:t xml:space="preserve">la sanción civil </w:t>
      </w:r>
      <w:r w:rsidRPr="00442E1D">
        <w:rPr>
          <w:rFonts w:ascii="Times New Roman" w:hAnsi="Times New Roman" w:cs="Times New Roman"/>
          <w:sz w:val="28"/>
          <w:szCs w:val="28"/>
          <w:lang w:val="es-ES_tradnl"/>
        </w:rPr>
        <w:t xml:space="preserve">que prevé </w:t>
      </w:r>
      <w:r w:rsidRPr="00442E1D">
        <w:rPr>
          <w:rFonts w:ascii="Times New Roman" w:hAnsi="Times New Roman" w:cs="Times New Roman"/>
          <w:sz w:val="28"/>
          <w:szCs w:val="28"/>
          <w:lang w:val="es-ES_tradnl"/>
        </w:rPr>
        <w:t>el p</w:t>
      </w:r>
      <w:r w:rsidRPr="00442E1D">
        <w:rPr>
          <w:rFonts w:ascii="Times New Roman" w:hAnsi="Times New Roman" w:cs="Times New Roman"/>
          <w:sz w:val="28"/>
          <w:szCs w:val="28"/>
          <w:lang w:val="es-ES_tradnl"/>
        </w:rPr>
        <w:t>arágrafo primero de</w:t>
      </w:r>
      <w:r w:rsidRPr="00442E1D">
        <w:rPr>
          <w:rFonts w:ascii="Times New Roman" w:hAnsi="Times New Roman" w:cs="Times New Roman"/>
          <w:sz w:val="28"/>
          <w:szCs w:val="28"/>
          <w:lang w:val="es-ES_tradnl"/>
        </w:rPr>
        <w:t>l</w:t>
      </w:r>
      <w:r w:rsidRPr="00442E1D">
        <w:rPr>
          <w:rFonts w:ascii="Times New Roman" w:hAnsi="Times New Roman" w:cs="Times New Roman"/>
          <w:sz w:val="28"/>
          <w:szCs w:val="28"/>
          <w:lang w:val="es-ES_tradnl"/>
        </w:rPr>
        <w:t xml:space="preserve"> artículo 5</w:t>
      </w:r>
      <w:r w:rsidRPr="00442E1D">
        <w:rPr>
          <w:rFonts w:ascii="Times New Roman" w:hAnsi="Times New Roman" w:cs="Times New Roman"/>
          <w:sz w:val="28"/>
          <w:szCs w:val="28"/>
          <w:lang w:val="es-ES_tradnl"/>
        </w:rPr>
        <w:t xml:space="preserve"> de la Ley 675 de 2001 es insuficiente para evitar la inclusión de regulaciones que en el reglamento de propiedad horizontal contraríen las disposiciones imperativas de esta ley</w:t>
      </w:r>
      <w:r w:rsidRPr="00442E1D">
        <w:rPr>
          <w:rStyle w:val="Refdenotaalpie"/>
          <w:rFonts w:ascii="Times New Roman" w:hAnsi="Times New Roman" w:cs="Times New Roman"/>
          <w:sz w:val="28"/>
          <w:szCs w:val="28"/>
          <w:lang w:val="es-ES_tradnl"/>
        </w:rPr>
        <w:footnoteReference w:id="25"/>
      </w:r>
      <w:r w:rsidRPr="00442E1D">
        <w:rPr>
          <w:rFonts w:ascii="Times New Roman" w:hAnsi="Times New Roman" w:cs="Times New Roman"/>
          <w:sz w:val="28"/>
          <w:szCs w:val="28"/>
          <w:lang w:val="es-ES_tradnl"/>
        </w:rPr>
        <w:t>.</w:t>
      </w:r>
    </w:p>
    <w:p w:rsidR="00E97E8A" w:rsidRPr="00442E1D" w:rsidRDefault="00442E1D" w:rsidP="003F7D77">
      <w:pPr>
        <w:jc w:val="both"/>
        <w:rPr>
          <w:rFonts w:ascii="Times New Roman" w:hAnsi="Times New Roman" w:cs="Times New Roman"/>
          <w:sz w:val="28"/>
          <w:szCs w:val="28"/>
          <w:lang w:val="es-ES_tradnl"/>
        </w:rPr>
      </w:pPr>
    </w:p>
    <w:p w:rsidR="008278C2" w:rsidRPr="00442E1D" w:rsidRDefault="00442E1D" w:rsidP="003F7D77">
      <w:pPr>
        <w:pStyle w:val="Estilo1"/>
        <w:numPr>
          <w:ilvl w:val="0"/>
          <w:numId w:val="1"/>
        </w:numPr>
        <w:ind w:left="0" w:firstLine="0"/>
        <w:outlineLvl w:val="0"/>
        <w:rPr>
          <w:rStyle w:val="Ttulo1Car"/>
          <w:rFonts w:ascii="Times New Roman" w:hAnsi="Times New Roman" w:cs="Times New Roman"/>
          <w:bCs/>
          <w:color w:val="auto"/>
          <w:sz w:val="28"/>
          <w:szCs w:val="28"/>
        </w:rPr>
      </w:pPr>
      <w:r w:rsidRPr="00442E1D">
        <w:rPr>
          <w:rStyle w:val="Ttulo1Car"/>
          <w:rFonts w:ascii="Times New Roman" w:hAnsi="Times New Roman" w:cs="Times New Roman"/>
          <w:bCs/>
          <w:color w:val="auto"/>
          <w:sz w:val="28"/>
          <w:szCs w:val="28"/>
        </w:rPr>
        <w:t>CONCEPTO DE</w:t>
      </w:r>
      <w:r w:rsidRPr="00442E1D">
        <w:rPr>
          <w:rStyle w:val="Ttulo1Car"/>
          <w:rFonts w:ascii="Times New Roman" w:hAnsi="Times New Roman" w:cs="Times New Roman"/>
          <w:bCs/>
          <w:color w:val="auto"/>
          <w:sz w:val="28"/>
          <w:szCs w:val="28"/>
        </w:rPr>
        <w:t>L</w:t>
      </w:r>
      <w:r w:rsidRPr="00442E1D">
        <w:rPr>
          <w:rStyle w:val="Ttulo1Car"/>
          <w:rFonts w:ascii="Times New Roman" w:hAnsi="Times New Roman" w:cs="Times New Roman"/>
          <w:bCs/>
          <w:color w:val="auto"/>
          <w:sz w:val="28"/>
          <w:szCs w:val="28"/>
        </w:rPr>
        <w:t xml:space="preserve"> </w:t>
      </w:r>
      <w:r w:rsidRPr="00442E1D">
        <w:rPr>
          <w:rStyle w:val="Ttulo1Car"/>
          <w:rFonts w:ascii="Times New Roman" w:hAnsi="Times New Roman" w:cs="Times New Roman"/>
          <w:bCs/>
          <w:color w:val="auto"/>
          <w:sz w:val="28"/>
          <w:szCs w:val="28"/>
        </w:rPr>
        <w:t>VICE</w:t>
      </w:r>
      <w:r w:rsidRPr="00442E1D">
        <w:rPr>
          <w:rStyle w:val="Ttulo1Car"/>
          <w:rFonts w:ascii="Times New Roman" w:hAnsi="Times New Roman" w:cs="Times New Roman"/>
          <w:bCs/>
          <w:color w:val="auto"/>
          <w:sz w:val="28"/>
          <w:szCs w:val="28"/>
        </w:rPr>
        <w:t xml:space="preserve">PROCURADOR GENERAL DE LA </w:t>
      </w:r>
      <w:r w:rsidRPr="00442E1D">
        <w:rPr>
          <w:rStyle w:val="Ttulo1Car"/>
          <w:rFonts w:ascii="Times New Roman" w:hAnsi="Times New Roman" w:cs="Times New Roman"/>
          <w:bCs/>
          <w:color w:val="auto"/>
          <w:sz w:val="28"/>
          <w:szCs w:val="28"/>
        </w:rPr>
        <w:t>NACIÓN</w:t>
      </w:r>
    </w:p>
    <w:p w:rsidR="009D02BA" w:rsidRPr="00442E1D" w:rsidRDefault="00442E1D" w:rsidP="003F7D77">
      <w:pPr>
        <w:pStyle w:val="Prrafodelista"/>
        <w:rPr>
          <w:rFonts w:ascii="Times New Roman" w:hAnsi="Times New Roman" w:cs="Times New Roman"/>
          <w:bCs/>
          <w:sz w:val="28"/>
          <w:szCs w:val="28"/>
        </w:rPr>
      </w:pPr>
    </w:p>
    <w:p w:rsidR="00EB1ED6" w:rsidRPr="00442E1D" w:rsidRDefault="00442E1D" w:rsidP="003F7D77">
      <w:pPr>
        <w:pStyle w:val="Prrafodelista"/>
        <w:numPr>
          <w:ilvl w:val="0"/>
          <w:numId w:val="2"/>
        </w:numPr>
        <w:ind w:left="0" w:firstLine="0"/>
        <w:jc w:val="both"/>
        <w:rPr>
          <w:rFonts w:ascii="Times New Roman" w:hAnsi="Times New Roman" w:cs="Times New Roman"/>
          <w:bCs/>
          <w:sz w:val="28"/>
          <w:szCs w:val="28"/>
          <w:lang w:val="es-ES"/>
        </w:rPr>
      </w:pPr>
      <w:r w:rsidRPr="00442E1D">
        <w:rPr>
          <w:rFonts w:ascii="Times New Roman" w:hAnsi="Times New Roman" w:cs="Times New Roman"/>
          <w:bCs/>
          <w:sz w:val="28"/>
          <w:szCs w:val="28"/>
        </w:rPr>
        <w:t xml:space="preserve">Mediante el concepto n.° </w:t>
      </w:r>
      <w:r w:rsidRPr="00442E1D">
        <w:rPr>
          <w:rFonts w:ascii="Times New Roman" w:hAnsi="Times New Roman" w:cs="Times New Roman"/>
          <w:bCs/>
          <w:sz w:val="28"/>
          <w:szCs w:val="28"/>
        </w:rPr>
        <w:t>73</w:t>
      </w:r>
      <w:r w:rsidRPr="00442E1D">
        <w:rPr>
          <w:rFonts w:ascii="Times New Roman" w:hAnsi="Times New Roman" w:cs="Times New Roman"/>
          <w:bCs/>
          <w:sz w:val="28"/>
          <w:szCs w:val="28"/>
        </w:rPr>
        <w:t>62</w:t>
      </w:r>
      <w:r w:rsidRPr="00442E1D">
        <w:rPr>
          <w:rFonts w:ascii="Times New Roman" w:hAnsi="Times New Roman" w:cs="Times New Roman"/>
          <w:bCs/>
          <w:sz w:val="28"/>
          <w:szCs w:val="28"/>
        </w:rPr>
        <w:t xml:space="preserve">, de </w:t>
      </w:r>
      <w:r w:rsidRPr="00442E1D">
        <w:rPr>
          <w:rFonts w:ascii="Times New Roman" w:hAnsi="Times New Roman" w:cs="Times New Roman"/>
          <w:bCs/>
          <w:sz w:val="28"/>
          <w:szCs w:val="28"/>
        </w:rPr>
        <w:t xml:space="preserve">julio </w:t>
      </w:r>
      <w:r w:rsidRPr="00442E1D">
        <w:rPr>
          <w:rFonts w:ascii="Times New Roman" w:hAnsi="Times New Roman" w:cs="Times New Roman"/>
          <w:bCs/>
          <w:sz w:val="28"/>
          <w:szCs w:val="28"/>
        </w:rPr>
        <w:t>2 de 2024</w:t>
      </w:r>
      <w:r w:rsidRPr="00442E1D">
        <w:rPr>
          <w:rFonts w:ascii="Times New Roman" w:hAnsi="Times New Roman" w:cs="Times New Roman"/>
          <w:bCs/>
          <w:sz w:val="28"/>
          <w:szCs w:val="28"/>
        </w:rPr>
        <w:t xml:space="preserve">, </w:t>
      </w:r>
      <w:r w:rsidRPr="00442E1D">
        <w:rPr>
          <w:rFonts w:ascii="Times New Roman" w:hAnsi="Times New Roman" w:cs="Times New Roman"/>
          <w:bCs/>
          <w:sz w:val="28"/>
          <w:szCs w:val="28"/>
        </w:rPr>
        <w:t xml:space="preserve">el Viceprocurador General </w:t>
      </w:r>
      <w:r w:rsidRPr="00442E1D">
        <w:rPr>
          <w:rFonts w:ascii="Times New Roman" w:hAnsi="Times New Roman" w:cs="Times New Roman"/>
          <w:bCs/>
          <w:sz w:val="28"/>
          <w:szCs w:val="28"/>
        </w:rPr>
        <w:t>de la Nación solicit</w:t>
      </w:r>
      <w:r w:rsidRPr="00442E1D">
        <w:rPr>
          <w:rFonts w:ascii="Times New Roman" w:hAnsi="Times New Roman" w:cs="Times New Roman"/>
          <w:bCs/>
          <w:sz w:val="28"/>
          <w:szCs w:val="28"/>
        </w:rPr>
        <w:t>a</w:t>
      </w:r>
      <w:r w:rsidRPr="00442E1D">
        <w:rPr>
          <w:rFonts w:ascii="Times New Roman" w:hAnsi="Times New Roman" w:cs="Times New Roman"/>
          <w:bCs/>
          <w:sz w:val="28"/>
          <w:szCs w:val="28"/>
        </w:rPr>
        <w:t xml:space="preserve"> </w:t>
      </w:r>
      <w:r w:rsidRPr="00442E1D">
        <w:rPr>
          <w:rFonts w:ascii="Times New Roman" w:hAnsi="Times New Roman" w:cs="Times New Roman"/>
          <w:bCs/>
          <w:sz w:val="28"/>
          <w:szCs w:val="28"/>
        </w:rPr>
        <w:t>que la Corte emita una decisión inhibitoria</w:t>
      </w:r>
      <w:r w:rsidRPr="00442E1D">
        <w:rPr>
          <w:rFonts w:ascii="Times New Roman" w:hAnsi="Times New Roman" w:cs="Times New Roman"/>
          <w:bCs/>
          <w:sz w:val="28"/>
          <w:szCs w:val="28"/>
        </w:rPr>
        <w:t xml:space="preserve">, ya que la demanda </w:t>
      </w:r>
      <w:r w:rsidRPr="00442E1D">
        <w:rPr>
          <w:rFonts w:ascii="Times New Roman" w:hAnsi="Times New Roman" w:cs="Times New Roman"/>
          <w:bCs/>
          <w:sz w:val="28"/>
          <w:szCs w:val="28"/>
        </w:rPr>
        <w:t>no cumple con los criterios de certeza</w:t>
      </w:r>
      <w:r w:rsidRPr="00442E1D">
        <w:rPr>
          <w:rFonts w:ascii="Times New Roman" w:hAnsi="Times New Roman" w:cs="Times New Roman"/>
          <w:bCs/>
          <w:sz w:val="28"/>
          <w:szCs w:val="28"/>
        </w:rPr>
        <w:t xml:space="preserve"> y </w:t>
      </w:r>
      <w:r w:rsidRPr="00442E1D">
        <w:rPr>
          <w:rFonts w:ascii="Times New Roman" w:hAnsi="Times New Roman" w:cs="Times New Roman"/>
          <w:bCs/>
          <w:sz w:val="28"/>
          <w:szCs w:val="28"/>
        </w:rPr>
        <w:t>suficiencia.</w:t>
      </w:r>
      <w:r w:rsidRPr="00442E1D">
        <w:rPr>
          <w:rFonts w:ascii="Times New Roman" w:hAnsi="Times New Roman" w:cs="Times New Roman"/>
          <w:bCs/>
          <w:sz w:val="28"/>
          <w:szCs w:val="28"/>
        </w:rPr>
        <w:t xml:space="preserve"> </w:t>
      </w:r>
    </w:p>
    <w:p w:rsidR="00EB1ED6" w:rsidRPr="00442E1D" w:rsidRDefault="00442E1D" w:rsidP="00EB1ED6">
      <w:pPr>
        <w:pStyle w:val="Prrafodelista"/>
        <w:ind w:left="0"/>
        <w:jc w:val="both"/>
        <w:rPr>
          <w:rFonts w:ascii="Times New Roman" w:hAnsi="Times New Roman" w:cs="Times New Roman"/>
          <w:bCs/>
          <w:sz w:val="28"/>
          <w:szCs w:val="28"/>
          <w:lang w:val="es-ES"/>
        </w:rPr>
      </w:pPr>
    </w:p>
    <w:p w:rsidR="0083666B" w:rsidRPr="00442E1D" w:rsidRDefault="00442E1D" w:rsidP="003F7D77">
      <w:pPr>
        <w:pStyle w:val="Prrafodelista"/>
        <w:numPr>
          <w:ilvl w:val="0"/>
          <w:numId w:val="2"/>
        </w:numPr>
        <w:ind w:left="0" w:firstLine="0"/>
        <w:jc w:val="both"/>
        <w:rPr>
          <w:rFonts w:ascii="Times New Roman" w:hAnsi="Times New Roman" w:cs="Times New Roman"/>
          <w:bCs/>
          <w:sz w:val="28"/>
          <w:szCs w:val="28"/>
          <w:lang w:val="es-ES"/>
        </w:rPr>
      </w:pPr>
      <w:r w:rsidRPr="00442E1D">
        <w:rPr>
          <w:rFonts w:ascii="Times New Roman" w:hAnsi="Times New Roman" w:cs="Times New Roman"/>
          <w:bCs/>
          <w:sz w:val="28"/>
          <w:szCs w:val="28"/>
        </w:rPr>
        <w:t>En primer lugar</w:t>
      </w:r>
      <w:r w:rsidRPr="00442E1D">
        <w:rPr>
          <w:rFonts w:ascii="Times New Roman" w:hAnsi="Times New Roman" w:cs="Times New Roman"/>
          <w:bCs/>
          <w:sz w:val="28"/>
          <w:szCs w:val="28"/>
        </w:rPr>
        <w:t xml:space="preserve">, señala que </w:t>
      </w:r>
      <w:r w:rsidRPr="00442E1D">
        <w:rPr>
          <w:rFonts w:ascii="Times New Roman" w:hAnsi="Times New Roman" w:cs="Times New Roman"/>
          <w:bCs/>
          <w:sz w:val="28"/>
          <w:szCs w:val="28"/>
        </w:rPr>
        <w:t>“</w:t>
      </w:r>
      <w:r w:rsidRPr="00442E1D">
        <w:rPr>
          <w:rFonts w:ascii="Times New Roman" w:hAnsi="Times New Roman" w:cs="Times New Roman"/>
          <w:bCs/>
          <w:sz w:val="28"/>
          <w:szCs w:val="28"/>
        </w:rPr>
        <w:t xml:space="preserve">la potestad </w:t>
      </w:r>
      <w:r w:rsidRPr="00442E1D">
        <w:rPr>
          <w:rFonts w:ascii="Times New Roman" w:hAnsi="Times New Roman" w:cs="Times New Roman"/>
          <w:bCs/>
          <w:sz w:val="28"/>
          <w:szCs w:val="28"/>
          <w:lang w:val="es-ES"/>
        </w:rPr>
        <w:t xml:space="preserve">reglamentaria en las </w:t>
      </w:r>
      <w:r w:rsidRPr="00442E1D">
        <w:rPr>
          <w:rFonts w:ascii="Times New Roman" w:hAnsi="Times New Roman" w:cs="Times New Roman"/>
          <w:bCs/>
          <w:sz w:val="28"/>
          <w:szCs w:val="28"/>
          <w:lang w:val="es-ES"/>
        </w:rPr>
        <w:t>a</w:t>
      </w:r>
      <w:r w:rsidRPr="00442E1D">
        <w:rPr>
          <w:rFonts w:ascii="Times New Roman" w:hAnsi="Times New Roman" w:cs="Times New Roman"/>
          <w:bCs/>
          <w:sz w:val="28"/>
          <w:szCs w:val="28"/>
          <w:lang w:val="es-ES"/>
        </w:rPr>
        <w:t>sambleas de propietarios</w:t>
      </w:r>
      <w:r w:rsidRPr="00442E1D">
        <w:rPr>
          <w:rFonts w:ascii="Times New Roman" w:hAnsi="Times New Roman" w:cs="Times New Roman"/>
          <w:bCs/>
          <w:sz w:val="28"/>
          <w:szCs w:val="28"/>
          <w:lang w:val="es-ES"/>
        </w:rPr>
        <w:t xml:space="preserve"> para </w:t>
      </w:r>
      <w:r w:rsidRPr="00442E1D">
        <w:rPr>
          <w:rFonts w:ascii="Times New Roman" w:hAnsi="Times New Roman" w:cs="Times New Roman"/>
          <w:bCs/>
          <w:sz w:val="28"/>
          <w:szCs w:val="28"/>
          <w:lang w:val="es-ES"/>
        </w:rPr>
        <w:t xml:space="preserve">ordenar las contribuciones destinadas al pago de las expensas comunes no incluye la capacidad para determinar los montos que </w:t>
      </w:r>
      <w:r w:rsidRPr="00442E1D">
        <w:rPr>
          <w:rFonts w:ascii="Times New Roman" w:hAnsi="Times New Roman" w:cs="Times New Roman"/>
          <w:bCs/>
          <w:sz w:val="28"/>
          <w:szCs w:val="28"/>
          <w:lang w:val="es-ES"/>
        </w:rPr>
        <w:t xml:space="preserve">deben </w:t>
      </w:r>
      <w:r w:rsidRPr="00442E1D">
        <w:rPr>
          <w:rFonts w:ascii="Times New Roman" w:hAnsi="Times New Roman" w:cs="Times New Roman"/>
          <w:bCs/>
          <w:sz w:val="28"/>
          <w:szCs w:val="28"/>
          <w:lang w:val="es-ES"/>
        </w:rPr>
        <w:t>asumir los comuneros</w:t>
      </w:r>
      <w:r w:rsidRPr="00442E1D">
        <w:rPr>
          <w:rFonts w:ascii="Times New Roman" w:hAnsi="Times New Roman" w:cs="Times New Roman"/>
          <w:bCs/>
          <w:sz w:val="28"/>
          <w:szCs w:val="28"/>
          <w:lang w:val="es-ES"/>
        </w:rPr>
        <w:t>. Ello, dado que los mismos fueron pr</w:t>
      </w:r>
      <w:r w:rsidRPr="00442E1D">
        <w:rPr>
          <w:rFonts w:ascii="Times New Roman" w:hAnsi="Times New Roman" w:cs="Times New Roman"/>
          <w:bCs/>
          <w:sz w:val="28"/>
          <w:szCs w:val="28"/>
          <w:lang w:val="es-ES"/>
        </w:rPr>
        <w:t>e</w:t>
      </w:r>
      <w:r w:rsidRPr="00442E1D">
        <w:rPr>
          <w:rFonts w:ascii="Times New Roman" w:hAnsi="Times New Roman" w:cs="Times New Roman"/>
          <w:bCs/>
          <w:sz w:val="28"/>
          <w:szCs w:val="28"/>
          <w:lang w:val="es-ES"/>
        </w:rPr>
        <w:t xml:space="preserve">establecidos por el Congreso de la </w:t>
      </w:r>
      <w:r w:rsidRPr="00442E1D">
        <w:rPr>
          <w:rFonts w:ascii="Times New Roman" w:hAnsi="Times New Roman" w:cs="Times New Roman"/>
          <w:bCs/>
          <w:sz w:val="28"/>
          <w:szCs w:val="28"/>
          <w:lang w:val="es-ES"/>
        </w:rPr>
        <w:t>República en los artículos 3º, 5º, 25 y 31 de la Ley 675 de 2001”. S</w:t>
      </w:r>
      <w:r w:rsidRPr="00442E1D">
        <w:rPr>
          <w:rFonts w:ascii="Times New Roman" w:hAnsi="Times New Roman" w:cs="Times New Roman"/>
          <w:bCs/>
          <w:sz w:val="28"/>
          <w:szCs w:val="28"/>
          <w:lang w:val="es-ES"/>
        </w:rPr>
        <w:t xml:space="preserve">egún indica, la citada competencia </w:t>
      </w:r>
      <w:r w:rsidRPr="00442E1D">
        <w:rPr>
          <w:rFonts w:ascii="Times New Roman" w:hAnsi="Times New Roman" w:cs="Times New Roman"/>
          <w:bCs/>
          <w:sz w:val="28"/>
          <w:szCs w:val="28"/>
          <w:lang w:val="es-ES"/>
        </w:rPr>
        <w:t>que se reconoce en la expresión demandada “se circunscribe a los aspectos no ordenados por el legislador, por ejemplo,</w:t>
      </w:r>
      <w:r w:rsidRPr="00442E1D">
        <w:rPr>
          <w:rFonts w:ascii="Times New Roman" w:hAnsi="Times New Roman" w:cs="Times New Roman"/>
          <w:bCs/>
          <w:sz w:val="28"/>
          <w:szCs w:val="28"/>
          <w:lang w:val="es-ES"/>
        </w:rPr>
        <w:t xml:space="preserve"> los [sic] fechas para el pago oportuno de las contribuciones o los incrementos anuales de las cuotas de administración”, pero </w:t>
      </w:r>
      <w:r w:rsidRPr="00442E1D">
        <w:rPr>
          <w:rFonts w:ascii="Times New Roman" w:hAnsi="Times New Roman" w:cs="Times New Roman"/>
          <w:bCs/>
          <w:sz w:val="28"/>
          <w:szCs w:val="28"/>
          <w:lang w:val="es-ES"/>
        </w:rPr>
        <w:t>“</w:t>
      </w:r>
      <w:r w:rsidRPr="00442E1D">
        <w:rPr>
          <w:rFonts w:ascii="Times New Roman" w:hAnsi="Times New Roman" w:cs="Times New Roman"/>
          <w:bCs/>
          <w:sz w:val="28"/>
          <w:szCs w:val="28"/>
          <w:lang w:val="es-ES"/>
        </w:rPr>
        <w:t>no se extiende a la fi</w:t>
      </w:r>
      <w:r w:rsidRPr="00442E1D">
        <w:rPr>
          <w:rFonts w:ascii="Times New Roman" w:hAnsi="Times New Roman" w:cs="Times New Roman"/>
          <w:bCs/>
          <w:sz w:val="28"/>
          <w:szCs w:val="28"/>
          <w:lang w:val="es-ES"/>
        </w:rPr>
        <w:t>j</w:t>
      </w:r>
      <w:r w:rsidRPr="00442E1D">
        <w:rPr>
          <w:rFonts w:ascii="Times New Roman" w:hAnsi="Times New Roman" w:cs="Times New Roman"/>
          <w:bCs/>
          <w:sz w:val="28"/>
          <w:szCs w:val="28"/>
          <w:lang w:val="es-ES"/>
        </w:rPr>
        <w:t xml:space="preserve">ación de los factores que determinan la proporción de los aportes, porque los criterios respectivos </w:t>
      </w:r>
      <w:r w:rsidRPr="00442E1D">
        <w:rPr>
          <w:rFonts w:ascii="Times New Roman" w:hAnsi="Times New Roman" w:cs="Times New Roman"/>
          <w:bCs/>
          <w:sz w:val="28"/>
          <w:szCs w:val="28"/>
          <w:lang w:val="es-ES"/>
        </w:rPr>
        <w:t>(</w:t>
      </w:r>
      <w:r w:rsidRPr="00442E1D">
        <w:rPr>
          <w:rFonts w:ascii="Times New Roman" w:hAnsi="Times New Roman" w:cs="Times New Roman"/>
          <w:bCs/>
          <w:sz w:val="28"/>
          <w:szCs w:val="28"/>
          <w:lang w:val="es-ES"/>
        </w:rPr>
        <w:t>coef</w:t>
      </w:r>
      <w:r w:rsidRPr="00442E1D">
        <w:rPr>
          <w:rFonts w:ascii="Times New Roman" w:hAnsi="Times New Roman" w:cs="Times New Roman"/>
          <w:bCs/>
          <w:sz w:val="28"/>
          <w:szCs w:val="28"/>
          <w:lang w:val="es-ES"/>
        </w:rPr>
        <w:t>icientes de copropiedad y módulos de contribución</w:t>
      </w:r>
      <w:r w:rsidRPr="00442E1D">
        <w:rPr>
          <w:rFonts w:ascii="Times New Roman" w:hAnsi="Times New Roman" w:cs="Times New Roman"/>
          <w:bCs/>
          <w:sz w:val="28"/>
          <w:szCs w:val="28"/>
          <w:lang w:val="es-ES"/>
        </w:rPr>
        <w:t>)</w:t>
      </w:r>
      <w:r w:rsidRPr="00442E1D">
        <w:rPr>
          <w:rFonts w:ascii="Times New Roman" w:hAnsi="Times New Roman" w:cs="Times New Roman"/>
          <w:bCs/>
          <w:sz w:val="28"/>
          <w:szCs w:val="28"/>
          <w:lang w:val="es-ES"/>
        </w:rPr>
        <w:t xml:space="preserve"> fueron directamente definidos por el Congreso de la República</w:t>
      </w:r>
      <w:r w:rsidRPr="00442E1D">
        <w:rPr>
          <w:rFonts w:ascii="Times New Roman" w:hAnsi="Times New Roman" w:cs="Times New Roman"/>
          <w:bCs/>
          <w:sz w:val="28"/>
          <w:szCs w:val="28"/>
          <w:lang w:val="es-ES"/>
        </w:rPr>
        <w:t xml:space="preserve"> y, por ende, resultan imperativos para los órganos de representación de los comuneros”. </w:t>
      </w:r>
      <w:r w:rsidRPr="00442E1D">
        <w:rPr>
          <w:rFonts w:ascii="Times New Roman" w:hAnsi="Times New Roman" w:cs="Times New Roman"/>
          <w:bCs/>
          <w:sz w:val="28"/>
          <w:szCs w:val="28"/>
          <w:lang w:val="es-ES"/>
        </w:rPr>
        <w:t>En consecuencia, “la argumentación de la demanda carece</w:t>
      </w:r>
      <w:r w:rsidRPr="00442E1D">
        <w:rPr>
          <w:rFonts w:ascii="Times New Roman" w:hAnsi="Times New Roman" w:cs="Times New Roman"/>
          <w:bCs/>
          <w:sz w:val="28"/>
          <w:szCs w:val="28"/>
          <w:lang w:val="es-ES"/>
        </w:rPr>
        <w:t xml:space="preserve"> de certeza, dado que ‘no es cierto que con el aparte </w:t>
      </w:r>
      <w:r w:rsidRPr="00442E1D">
        <w:rPr>
          <w:rFonts w:ascii="Times New Roman" w:hAnsi="Times New Roman" w:cs="Times New Roman"/>
          <w:bCs/>
          <w:sz w:val="28"/>
          <w:szCs w:val="28"/>
          <w:lang w:val="es-ES"/>
        </w:rPr>
        <w:t>demandado el legislador abrió la puerta para celebrar pactos en contra del recaudo proporcional de las expensas comunes’.”</w:t>
      </w:r>
      <w:r w:rsidRPr="00442E1D">
        <w:rPr>
          <w:rStyle w:val="Refdenotaalpie"/>
          <w:rFonts w:ascii="Times New Roman" w:hAnsi="Times New Roman" w:cs="Times New Roman"/>
          <w:bCs/>
          <w:sz w:val="28"/>
          <w:szCs w:val="28"/>
          <w:lang w:val="es-ES"/>
        </w:rPr>
        <w:footnoteReference w:id="26"/>
      </w:r>
      <w:r w:rsidRPr="00442E1D">
        <w:rPr>
          <w:rFonts w:ascii="Times New Roman" w:hAnsi="Times New Roman" w:cs="Times New Roman"/>
          <w:bCs/>
          <w:sz w:val="28"/>
          <w:szCs w:val="28"/>
          <w:lang w:val="es-ES"/>
        </w:rPr>
        <w:t>.</w:t>
      </w:r>
    </w:p>
    <w:p w:rsidR="0083666B" w:rsidRPr="00442E1D" w:rsidRDefault="00442E1D" w:rsidP="003F7D77">
      <w:pPr>
        <w:pStyle w:val="Prrafodelista"/>
        <w:rPr>
          <w:rFonts w:ascii="Times New Roman" w:hAnsi="Times New Roman" w:cs="Times New Roman"/>
          <w:bCs/>
          <w:sz w:val="28"/>
          <w:szCs w:val="28"/>
          <w:lang w:val="es-ES"/>
        </w:rPr>
      </w:pPr>
    </w:p>
    <w:p w:rsidR="002B6C8F" w:rsidRPr="00442E1D" w:rsidRDefault="00442E1D" w:rsidP="003F7D77">
      <w:pPr>
        <w:pStyle w:val="Prrafodelista"/>
        <w:numPr>
          <w:ilvl w:val="0"/>
          <w:numId w:val="2"/>
        </w:numPr>
        <w:ind w:left="0" w:firstLine="0"/>
        <w:jc w:val="both"/>
        <w:rPr>
          <w:rFonts w:ascii="Times New Roman" w:hAnsi="Times New Roman" w:cs="Times New Roman"/>
          <w:bCs/>
          <w:sz w:val="28"/>
          <w:szCs w:val="28"/>
          <w:lang w:val="es-ES"/>
        </w:rPr>
      </w:pPr>
      <w:r w:rsidRPr="00442E1D">
        <w:rPr>
          <w:rFonts w:ascii="Times New Roman" w:hAnsi="Times New Roman" w:cs="Times New Roman"/>
          <w:bCs/>
          <w:sz w:val="28"/>
          <w:szCs w:val="28"/>
          <w:lang w:val="es-ES"/>
        </w:rPr>
        <w:t>En segundo lugar</w:t>
      </w:r>
      <w:r w:rsidRPr="00442E1D">
        <w:rPr>
          <w:rFonts w:ascii="Times New Roman" w:hAnsi="Times New Roman" w:cs="Times New Roman"/>
          <w:bCs/>
          <w:sz w:val="28"/>
          <w:szCs w:val="28"/>
          <w:lang w:val="es-ES"/>
        </w:rPr>
        <w:t xml:space="preserve">, </w:t>
      </w:r>
      <w:r w:rsidRPr="00442E1D">
        <w:rPr>
          <w:rFonts w:ascii="Times New Roman" w:hAnsi="Times New Roman" w:cs="Times New Roman"/>
          <w:bCs/>
          <w:sz w:val="28"/>
          <w:szCs w:val="28"/>
          <w:lang w:val="es-ES"/>
        </w:rPr>
        <w:t xml:space="preserve">dado que el demandante “llevó a cabo una lectura </w:t>
      </w:r>
      <w:r w:rsidRPr="00442E1D">
        <w:rPr>
          <w:rFonts w:ascii="Times New Roman" w:hAnsi="Times New Roman" w:cs="Times New Roman"/>
          <w:bCs/>
          <w:sz w:val="28"/>
          <w:szCs w:val="28"/>
          <w:lang w:val="es-ES"/>
        </w:rPr>
        <w:t>parcializada de la norma acusada</w:t>
      </w:r>
      <w:r w:rsidRPr="00442E1D">
        <w:rPr>
          <w:rFonts w:ascii="Times New Roman" w:hAnsi="Times New Roman" w:cs="Times New Roman"/>
          <w:bCs/>
          <w:sz w:val="28"/>
          <w:szCs w:val="28"/>
          <w:lang w:val="es-ES"/>
        </w:rPr>
        <w:t xml:space="preserve"> referente a la reglamentación del pago de las expensas comunes, los reproches de inconstitucionalidad pierden el poder de disuasión”, de allí que </w:t>
      </w:r>
      <w:r w:rsidRPr="00442E1D">
        <w:rPr>
          <w:rFonts w:ascii="Times New Roman" w:hAnsi="Times New Roman" w:cs="Times New Roman"/>
          <w:bCs/>
          <w:sz w:val="28"/>
          <w:szCs w:val="28"/>
          <w:lang w:val="es-ES"/>
        </w:rPr>
        <w:t xml:space="preserve">la demanda </w:t>
      </w:r>
      <w:r w:rsidRPr="00442E1D">
        <w:rPr>
          <w:rFonts w:ascii="Times New Roman" w:hAnsi="Times New Roman" w:cs="Times New Roman"/>
          <w:bCs/>
          <w:sz w:val="28"/>
          <w:szCs w:val="28"/>
          <w:lang w:val="es-ES"/>
        </w:rPr>
        <w:t>no acredite la exigencia de suficiencia.</w:t>
      </w:r>
    </w:p>
    <w:p w:rsidR="00666C43" w:rsidRPr="00442E1D" w:rsidRDefault="00442E1D" w:rsidP="003F7D77">
      <w:pPr>
        <w:jc w:val="both"/>
        <w:rPr>
          <w:rFonts w:ascii="Times New Roman" w:hAnsi="Times New Roman" w:cs="Times New Roman"/>
          <w:b/>
          <w:sz w:val="28"/>
          <w:szCs w:val="28"/>
        </w:rPr>
      </w:pPr>
    </w:p>
    <w:p w:rsidR="0080756E" w:rsidRPr="00442E1D" w:rsidRDefault="00442E1D" w:rsidP="003F7D77">
      <w:pPr>
        <w:pStyle w:val="Estilo1"/>
        <w:numPr>
          <w:ilvl w:val="0"/>
          <w:numId w:val="1"/>
        </w:numPr>
        <w:ind w:left="0" w:firstLine="0"/>
        <w:outlineLvl w:val="0"/>
        <w:rPr>
          <w:rStyle w:val="Ttulo1Car"/>
          <w:rFonts w:ascii="Times New Roman" w:hAnsi="Times New Roman" w:cs="Times New Roman"/>
          <w:bCs/>
          <w:color w:val="auto"/>
          <w:sz w:val="28"/>
          <w:szCs w:val="28"/>
        </w:rPr>
      </w:pPr>
      <w:r w:rsidRPr="00442E1D">
        <w:rPr>
          <w:rStyle w:val="Ttulo1Car"/>
          <w:rFonts w:ascii="Times New Roman" w:hAnsi="Times New Roman" w:cs="Times New Roman"/>
          <w:bCs/>
          <w:color w:val="auto"/>
          <w:sz w:val="28"/>
          <w:szCs w:val="28"/>
        </w:rPr>
        <w:t>CONSIDERACIONES</w:t>
      </w:r>
    </w:p>
    <w:p w:rsidR="0080756E" w:rsidRPr="00442E1D" w:rsidRDefault="00442E1D" w:rsidP="003F7D77">
      <w:pPr>
        <w:jc w:val="both"/>
        <w:rPr>
          <w:rFonts w:ascii="Times New Roman" w:hAnsi="Times New Roman" w:cs="Times New Roman"/>
          <w:b/>
          <w:sz w:val="28"/>
          <w:szCs w:val="28"/>
        </w:rPr>
      </w:pPr>
    </w:p>
    <w:p w:rsidR="0080756E" w:rsidRPr="00442E1D" w:rsidRDefault="00442E1D" w:rsidP="003F7D77">
      <w:pPr>
        <w:pStyle w:val="Estilo1"/>
        <w:numPr>
          <w:ilvl w:val="0"/>
          <w:numId w:val="4"/>
        </w:numPr>
        <w:outlineLvl w:val="0"/>
        <w:rPr>
          <w:rStyle w:val="Ttulo1Car"/>
          <w:rFonts w:ascii="Times New Roman" w:hAnsi="Times New Roman" w:cs="Times New Roman"/>
          <w:color w:val="auto"/>
          <w:sz w:val="28"/>
          <w:szCs w:val="28"/>
        </w:rPr>
      </w:pPr>
      <w:bookmarkStart w:id="2" w:name="_Hlk63325080"/>
      <w:r w:rsidRPr="00442E1D">
        <w:rPr>
          <w:rStyle w:val="Ttulo1Car"/>
          <w:rFonts w:ascii="Times New Roman" w:hAnsi="Times New Roman" w:cs="Times New Roman"/>
          <w:color w:val="auto"/>
          <w:sz w:val="28"/>
          <w:szCs w:val="28"/>
        </w:rPr>
        <w:t>Competencia</w:t>
      </w:r>
    </w:p>
    <w:bookmarkEnd w:id="2"/>
    <w:p w:rsidR="0080756E" w:rsidRPr="00442E1D" w:rsidRDefault="00442E1D" w:rsidP="003F7D77">
      <w:pPr>
        <w:jc w:val="both"/>
        <w:rPr>
          <w:rFonts w:ascii="Times New Roman" w:hAnsi="Times New Roman" w:cs="Times New Roman"/>
          <w:b/>
          <w:sz w:val="28"/>
          <w:szCs w:val="28"/>
        </w:rPr>
      </w:pPr>
    </w:p>
    <w:p w:rsidR="008D65F5" w:rsidRPr="00442E1D" w:rsidRDefault="00442E1D" w:rsidP="003F7D77">
      <w:pPr>
        <w:pStyle w:val="Prrafodelista"/>
        <w:numPr>
          <w:ilvl w:val="0"/>
          <w:numId w:val="2"/>
        </w:numPr>
        <w:ind w:left="0" w:firstLine="0"/>
        <w:jc w:val="both"/>
        <w:rPr>
          <w:rFonts w:ascii="Times New Roman" w:hAnsi="Times New Roman" w:cs="Times New Roman"/>
          <w:bCs/>
          <w:sz w:val="28"/>
          <w:szCs w:val="28"/>
          <w:lang w:val="es-ES"/>
        </w:rPr>
      </w:pPr>
      <w:r w:rsidRPr="00442E1D">
        <w:rPr>
          <w:rFonts w:ascii="Times New Roman" w:hAnsi="Times New Roman" w:cs="Times New Roman"/>
          <w:sz w:val="28"/>
          <w:szCs w:val="28"/>
        </w:rPr>
        <w:t>La Corte Constitucional es competente para conocer la demanda de la referencia</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de conformidad con lo dispuesto </w:t>
      </w:r>
      <w:r w:rsidRPr="00442E1D">
        <w:rPr>
          <w:rFonts w:ascii="Times New Roman" w:hAnsi="Times New Roman" w:cs="Times New Roman"/>
          <w:sz w:val="28"/>
          <w:szCs w:val="28"/>
        </w:rPr>
        <w:t>en</w:t>
      </w:r>
      <w:r w:rsidRPr="00442E1D">
        <w:rPr>
          <w:rFonts w:ascii="Times New Roman" w:hAnsi="Times New Roman" w:cs="Times New Roman"/>
          <w:sz w:val="28"/>
          <w:szCs w:val="28"/>
        </w:rPr>
        <w:t xml:space="preserve"> el </w:t>
      </w:r>
      <w:r w:rsidRPr="00442E1D">
        <w:rPr>
          <w:rFonts w:ascii="Times New Roman" w:hAnsi="Times New Roman" w:cs="Times New Roman"/>
          <w:sz w:val="28"/>
          <w:szCs w:val="28"/>
        </w:rPr>
        <w:t>art</w:t>
      </w:r>
      <w:r w:rsidRPr="00442E1D">
        <w:rPr>
          <w:rFonts w:ascii="Times New Roman" w:hAnsi="Times New Roman" w:cs="Times New Roman"/>
          <w:sz w:val="28"/>
          <w:szCs w:val="28"/>
        </w:rPr>
        <w:t>ículo</w:t>
      </w:r>
      <w:r w:rsidRPr="00442E1D">
        <w:rPr>
          <w:rFonts w:ascii="Times New Roman" w:hAnsi="Times New Roman" w:cs="Times New Roman"/>
          <w:sz w:val="28"/>
          <w:szCs w:val="28"/>
        </w:rPr>
        <w:t xml:space="preserve"> 241.4 </w:t>
      </w:r>
      <w:r w:rsidRPr="00442E1D">
        <w:rPr>
          <w:rFonts w:ascii="Times New Roman" w:hAnsi="Times New Roman" w:cs="Times New Roman"/>
          <w:sz w:val="28"/>
          <w:szCs w:val="28"/>
        </w:rPr>
        <w:t>de la Constitución</w:t>
      </w:r>
      <w:r w:rsidRPr="00442E1D">
        <w:rPr>
          <w:rFonts w:ascii="Times New Roman" w:hAnsi="Times New Roman" w:cs="Times New Roman"/>
          <w:sz w:val="28"/>
          <w:szCs w:val="28"/>
        </w:rPr>
        <w:t>, por dirigirse contra disposici</w:t>
      </w:r>
      <w:r w:rsidRPr="00442E1D">
        <w:rPr>
          <w:rFonts w:ascii="Times New Roman" w:hAnsi="Times New Roman" w:cs="Times New Roman"/>
          <w:sz w:val="28"/>
          <w:szCs w:val="28"/>
        </w:rPr>
        <w:t>ones</w:t>
      </w:r>
      <w:r w:rsidRPr="00442E1D">
        <w:rPr>
          <w:rFonts w:ascii="Times New Roman" w:hAnsi="Times New Roman" w:cs="Times New Roman"/>
          <w:sz w:val="28"/>
          <w:szCs w:val="28"/>
        </w:rPr>
        <w:t xml:space="preserve"> contenida</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 en </w:t>
      </w:r>
      <w:r w:rsidRPr="00442E1D">
        <w:rPr>
          <w:rFonts w:ascii="Times New Roman" w:hAnsi="Times New Roman" w:cs="Times New Roman"/>
          <w:sz w:val="28"/>
          <w:szCs w:val="28"/>
        </w:rPr>
        <w:t>una ley ordinaria, esto es</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la Ley </w:t>
      </w:r>
      <w:r w:rsidRPr="00442E1D">
        <w:rPr>
          <w:rFonts w:ascii="Times New Roman" w:hAnsi="Times New Roman" w:cs="Times New Roman"/>
          <w:sz w:val="28"/>
          <w:szCs w:val="28"/>
        </w:rPr>
        <w:t>675 de</w:t>
      </w:r>
      <w:r w:rsidRPr="00442E1D">
        <w:rPr>
          <w:rFonts w:ascii="Times New Roman" w:hAnsi="Times New Roman" w:cs="Times New Roman"/>
          <w:sz w:val="28"/>
          <w:szCs w:val="28"/>
        </w:rPr>
        <w:t xml:space="preserve"> 2001, “Por medio de la cual se expide el régimen de propiedad horizontal”</w:t>
      </w:r>
      <w:r w:rsidRPr="00442E1D">
        <w:rPr>
          <w:rFonts w:ascii="Times New Roman" w:hAnsi="Times New Roman" w:cs="Times New Roman"/>
          <w:sz w:val="28"/>
          <w:szCs w:val="28"/>
        </w:rPr>
        <w:t>.</w:t>
      </w:r>
    </w:p>
    <w:p w:rsidR="00322D34" w:rsidRPr="00442E1D" w:rsidRDefault="00442E1D" w:rsidP="003F7D77">
      <w:pPr>
        <w:jc w:val="both"/>
        <w:rPr>
          <w:rFonts w:ascii="Times New Roman" w:hAnsi="Times New Roman" w:cs="Times New Roman"/>
          <w:b/>
          <w:sz w:val="28"/>
          <w:szCs w:val="28"/>
        </w:rPr>
      </w:pPr>
    </w:p>
    <w:p w:rsidR="00F229DB" w:rsidRPr="00442E1D" w:rsidRDefault="00442E1D" w:rsidP="003F7D77">
      <w:pPr>
        <w:pStyle w:val="Estilo1"/>
        <w:numPr>
          <w:ilvl w:val="0"/>
          <w:numId w:val="4"/>
        </w:numPr>
        <w:outlineLvl w:val="0"/>
        <w:rPr>
          <w:rStyle w:val="Ttulo1Car"/>
          <w:rFonts w:ascii="Times New Roman" w:hAnsi="Times New Roman" w:cs="Times New Roman"/>
          <w:color w:val="auto"/>
          <w:sz w:val="28"/>
          <w:szCs w:val="28"/>
        </w:rPr>
      </w:pPr>
      <w:r w:rsidRPr="00442E1D">
        <w:rPr>
          <w:rStyle w:val="Ttulo1Car"/>
          <w:rFonts w:ascii="Times New Roman" w:hAnsi="Times New Roman" w:cs="Times New Roman"/>
          <w:color w:val="auto"/>
          <w:sz w:val="28"/>
          <w:szCs w:val="28"/>
        </w:rPr>
        <w:t>Cuestión previa: aptitud de la demanda</w:t>
      </w:r>
      <w:r w:rsidRPr="00442E1D">
        <w:rPr>
          <w:rStyle w:val="Refdenotaalpie"/>
          <w:rFonts w:ascii="Times New Roman" w:hAnsi="Times New Roman" w:cs="Times New Roman"/>
          <w:b/>
          <w:bCs/>
        </w:rPr>
        <w:footnoteReference w:id="27"/>
      </w:r>
    </w:p>
    <w:p w:rsidR="00F229DB" w:rsidRPr="00442E1D" w:rsidRDefault="00442E1D" w:rsidP="003F7D77">
      <w:pPr>
        <w:jc w:val="both"/>
        <w:rPr>
          <w:rFonts w:ascii="Times New Roman" w:hAnsi="Times New Roman" w:cs="Times New Roman"/>
          <w:b/>
          <w:sz w:val="28"/>
          <w:szCs w:val="28"/>
        </w:rPr>
      </w:pPr>
    </w:p>
    <w:p w:rsidR="0066237B"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Dado que</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el Viceprocurador General de la Nación, </w:t>
      </w:r>
      <w:r w:rsidRPr="00442E1D">
        <w:rPr>
          <w:rFonts w:ascii="Times New Roman" w:hAnsi="Times New Roman" w:cs="Times New Roman"/>
          <w:sz w:val="28"/>
          <w:szCs w:val="28"/>
        </w:rPr>
        <w:t>el Instituto Colombiano de Derecho Procesal</w:t>
      </w:r>
      <w:r w:rsidRPr="00442E1D">
        <w:rPr>
          <w:rFonts w:ascii="Times New Roman" w:hAnsi="Times New Roman" w:cs="Times New Roman"/>
          <w:sz w:val="28"/>
          <w:szCs w:val="28"/>
        </w:rPr>
        <w:t xml:space="preserve"> y la Universidad Pontificia Bolivariana cuestionan la aptitud de la demanda, </w:t>
      </w:r>
      <w:r w:rsidRPr="00442E1D">
        <w:rPr>
          <w:rFonts w:ascii="Times New Roman" w:hAnsi="Times New Roman" w:cs="Times New Roman"/>
          <w:sz w:val="28"/>
          <w:szCs w:val="28"/>
        </w:rPr>
        <w:t>la Sala se pronunciará de manera previa respecto de esta solicitud.</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Todos ellos coincid</w:t>
      </w:r>
      <w:r w:rsidRPr="00442E1D">
        <w:rPr>
          <w:rFonts w:ascii="Times New Roman" w:hAnsi="Times New Roman" w:cs="Times New Roman"/>
          <w:sz w:val="28"/>
          <w:szCs w:val="28"/>
        </w:rPr>
        <w:t>e</w:t>
      </w:r>
      <w:r w:rsidRPr="00442E1D">
        <w:rPr>
          <w:rFonts w:ascii="Times New Roman" w:hAnsi="Times New Roman" w:cs="Times New Roman"/>
          <w:sz w:val="28"/>
          <w:szCs w:val="28"/>
        </w:rPr>
        <w:t xml:space="preserve">n en </w:t>
      </w:r>
      <w:r w:rsidRPr="00442E1D">
        <w:rPr>
          <w:rFonts w:ascii="Times New Roman" w:hAnsi="Times New Roman" w:cs="Times New Roman"/>
          <w:sz w:val="28"/>
          <w:szCs w:val="28"/>
        </w:rPr>
        <w:t>debatir</w:t>
      </w:r>
      <w:r w:rsidRPr="00442E1D">
        <w:rPr>
          <w:rFonts w:ascii="Times New Roman" w:hAnsi="Times New Roman" w:cs="Times New Roman"/>
          <w:sz w:val="28"/>
          <w:szCs w:val="28"/>
        </w:rPr>
        <w:t xml:space="preserve"> la </w:t>
      </w:r>
      <w:r w:rsidRPr="00442E1D">
        <w:rPr>
          <w:rFonts w:ascii="Times New Roman" w:hAnsi="Times New Roman" w:cs="Times New Roman"/>
          <w:i/>
          <w:iCs/>
          <w:sz w:val="28"/>
          <w:szCs w:val="28"/>
        </w:rPr>
        <w:t>certeza</w:t>
      </w:r>
      <w:r w:rsidRPr="00442E1D">
        <w:rPr>
          <w:rFonts w:ascii="Times New Roman" w:hAnsi="Times New Roman" w:cs="Times New Roman"/>
          <w:sz w:val="28"/>
          <w:szCs w:val="28"/>
        </w:rPr>
        <w:t xml:space="preserve"> de </w:t>
      </w:r>
      <w:r w:rsidRPr="00442E1D">
        <w:rPr>
          <w:rFonts w:ascii="Times New Roman" w:hAnsi="Times New Roman" w:cs="Times New Roman"/>
          <w:sz w:val="28"/>
          <w:szCs w:val="28"/>
        </w:rPr>
        <w:t>los cargos</w:t>
      </w:r>
      <w:r w:rsidRPr="00442E1D">
        <w:rPr>
          <w:rFonts w:ascii="Times New Roman" w:hAnsi="Times New Roman" w:cs="Times New Roman"/>
          <w:sz w:val="28"/>
          <w:szCs w:val="28"/>
        </w:rPr>
        <w:t>. E</w:t>
      </w:r>
      <w:r w:rsidRPr="00442E1D">
        <w:rPr>
          <w:rFonts w:ascii="Times New Roman" w:hAnsi="Times New Roman" w:cs="Times New Roman"/>
          <w:sz w:val="28"/>
          <w:szCs w:val="28"/>
        </w:rPr>
        <w:t xml:space="preserve">l segundo y el tercero, además, la </w:t>
      </w:r>
      <w:r w:rsidRPr="00442E1D">
        <w:rPr>
          <w:rFonts w:ascii="Times New Roman" w:hAnsi="Times New Roman" w:cs="Times New Roman"/>
          <w:i/>
          <w:iCs/>
          <w:sz w:val="28"/>
          <w:szCs w:val="28"/>
        </w:rPr>
        <w:t>pertinencia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Igualmente</w:t>
      </w:r>
      <w:r w:rsidRPr="00442E1D">
        <w:rPr>
          <w:rFonts w:ascii="Times New Roman" w:hAnsi="Times New Roman" w:cs="Times New Roman"/>
          <w:sz w:val="28"/>
          <w:szCs w:val="28"/>
        </w:rPr>
        <w:t xml:space="preserve">, si bien </w:t>
      </w:r>
      <w:r w:rsidRPr="00442E1D">
        <w:rPr>
          <w:rFonts w:ascii="Times New Roman" w:hAnsi="Times New Roman" w:cs="Times New Roman"/>
          <w:sz w:val="28"/>
          <w:szCs w:val="28"/>
        </w:rPr>
        <w:t>el instituto adu</w:t>
      </w:r>
      <w:r w:rsidRPr="00442E1D">
        <w:rPr>
          <w:rFonts w:ascii="Times New Roman" w:hAnsi="Times New Roman" w:cs="Times New Roman"/>
          <w:sz w:val="28"/>
          <w:szCs w:val="28"/>
        </w:rPr>
        <w:t>jo</w:t>
      </w:r>
      <w:r w:rsidRPr="00442E1D">
        <w:rPr>
          <w:rFonts w:ascii="Times New Roman" w:hAnsi="Times New Roman" w:cs="Times New Roman"/>
          <w:sz w:val="28"/>
          <w:szCs w:val="28"/>
        </w:rPr>
        <w:t xml:space="preserve"> que no se acredita</w:t>
      </w:r>
      <w:r w:rsidRPr="00442E1D">
        <w:rPr>
          <w:rFonts w:ascii="Times New Roman" w:hAnsi="Times New Roman" w:cs="Times New Roman"/>
          <w:sz w:val="28"/>
          <w:szCs w:val="28"/>
        </w:rPr>
        <w:t>ba</w:t>
      </w:r>
      <w:r w:rsidRPr="00442E1D">
        <w:rPr>
          <w:rFonts w:ascii="Times New Roman" w:hAnsi="Times New Roman" w:cs="Times New Roman"/>
          <w:sz w:val="28"/>
          <w:szCs w:val="28"/>
        </w:rPr>
        <w:t xml:space="preserve"> ninguna de las </w:t>
      </w:r>
      <w:r w:rsidRPr="00442E1D">
        <w:rPr>
          <w:rFonts w:ascii="Times New Roman" w:hAnsi="Times New Roman" w:cs="Times New Roman"/>
          <w:sz w:val="28"/>
          <w:szCs w:val="28"/>
        </w:rPr>
        <w:t xml:space="preserve">restantes </w:t>
      </w:r>
      <w:r w:rsidRPr="00442E1D">
        <w:rPr>
          <w:rFonts w:ascii="Times New Roman" w:hAnsi="Times New Roman" w:cs="Times New Roman"/>
          <w:sz w:val="28"/>
          <w:szCs w:val="28"/>
        </w:rPr>
        <w:t>cargas argumentativas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y el viceprocurador indicó que no se </w:t>
      </w:r>
      <w:r w:rsidRPr="00442E1D">
        <w:rPr>
          <w:rFonts w:ascii="Times New Roman" w:hAnsi="Times New Roman" w:cs="Times New Roman"/>
          <w:sz w:val="28"/>
          <w:szCs w:val="28"/>
        </w:rPr>
        <w:t xml:space="preserve">cumplía con </w:t>
      </w:r>
      <w:r w:rsidRPr="00442E1D">
        <w:rPr>
          <w:rFonts w:ascii="Times New Roman" w:hAnsi="Times New Roman" w:cs="Times New Roman"/>
          <w:sz w:val="28"/>
          <w:szCs w:val="28"/>
        </w:rPr>
        <w:t xml:space="preserve">la de </w:t>
      </w:r>
      <w:r w:rsidRPr="00442E1D">
        <w:rPr>
          <w:rFonts w:ascii="Times New Roman" w:hAnsi="Times New Roman" w:cs="Times New Roman"/>
          <w:i/>
          <w:iCs/>
          <w:sz w:val="28"/>
          <w:szCs w:val="28"/>
        </w:rPr>
        <w:t>suficiencia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las razones que alega</w:t>
      </w:r>
      <w:r w:rsidRPr="00442E1D">
        <w:rPr>
          <w:rFonts w:ascii="Times New Roman" w:hAnsi="Times New Roman" w:cs="Times New Roman"/>
          <w:sz w:val="28"/>
          <w:szCs w:val="28"/>
        </w:rPr>
        <w:t>n</w:t>
      </w:r>
      <w:r w:rsidRPr="00442E1D">
        <w:rPr>
          <w:rFonts w:ascii="Times New Roman" w:hAnsi="Times New Roman" w:cs="Times New Roman"/>
          <w:sz w:val="28"/>
          <w:szCs w:val="28"/>
        </w:rPr>
        <w:t xml:space="preserve"> se relacionan </w:t>
      </w:r>
      <w:r w:rsidRPr="00442E1D">
        <w:rPr>
          <w:rFonts w:ascii="Times New Roman" w:hAnsi="Times New Roman" w:cs="Times New Roman"/>
          <w:sz w:val="28"/>
          <w:szCs w:val="28"/>
        </w:rPr>
        <w:t>únicamente con aquellas dos</w:t>
      </w:r>
      <w:r w:rsidRPr="00442E1D">
        <w:rPr>
          <w:rFonts w:ascii="Times New Roman" w:hAnsi="Times New Roman" w:cs="Times New Roman"/>
          <w:sz w:val="28"/>
          <w:szCs w:val="28"/>
        </w:rPr>
        <w:t xml:space="preserve"> antes referidas</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máxime que este segundo argumento es de mera consecuencia</w:t>
      </w:r>
      <w:r w:rsidRPr="00442E1D">
        <w:rPr>
          <w:rStyle w:val="Refdenotaalpie"/>
          <w:rFonts w:ascii="Times New Roman" w:hAnsi="Times New Roman" w:cs="Times New Roman"/>
          <w:sz w:val="28"/>
          <w:szCs w:val="28"/>
        </w:rPr>
        <w:footnoteReference w:id="28"/>
      </w:r>
      <w:r w:rsidRPr="00442E1D">
        <w:rPr>
          <w:rFonts w:ascii="Times New Roman" w:hAnsi="Times New Roman" w:cs="Times New Roman"/>
          <w:sz w:val="28"/>
          <w:szCs w:val="28"/>
        </w:rPr>
        <w:t>.</w:t>
      </w:r>
    </w:p>
    <w:p w:rsidR="00807596" w:rsidRPr="00442E1D" w:rsidRDefault="00442E1D" w:rsidP="003F7D77">
      <w:pPr>
        <w:pStyle w:val="Prrafodelista"/>
        <w:rPr>
          <w:rFonts w:ascii="Times New Roman" w:hAnsi="Times New Roman" w:cs="Times New Roman"/>
          <w:sz w:val="28"/>
          <w:szCs w:val="28"/>
        </w:rPr>
      </w:pPr>
    </w:p>
    <w:p w:rsidR="00BD7301"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En cuanto a </w:t>
      </w:r>
      <w:r w:rsidRPr="00442E1D">
        <w:rPr>
          <w:rFonts w:ascii="Times New Roman" w:hAnsi="Times New Roman" w:cs="Times New Roman"/>
          <w:sz w:val="28"/>
          <w:szCs w:val="28"/>
        </w:rPr>
        <w:t xml:space="preserve">aquellas </w:t>
      </w:r>
      <w:r w:rsidRPr="00442E1D">
        <w:rPr>
          <w:rFonts w:ascii="Times New Roman" w:hAnsi="Times New Roman" w:cs="Times New Roman"/>
          <w:sz w:val="28"/>
          <w:szCs w:val="28"/>
        </w:rPr>
        <w:t>exigencia</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los intervinientes </w:t>
      </w:r>
      <w:r w:rsidRPr="00442E1D">
        <w:rPr>
          <w:rFonts w:ascii="Times New Roman" w:hAnsi="Times New Roman" w:cs="Times New Roman"/>
          <w:sz w:val="28"/>
          <w:szCs w:val="28"/>
        </w:rPr>
        <w:t>sostienen</w:t>
      </w:r>
      <w:r w:rsidRPr="00442E1D">
        <w:rPr>
          <w:rFonts w:ascii="Times New Roman" w:hAnsi="Times New Roman" w:cs="Times New Roman"/>
          <w:sz w:val="28"/>
          <w:szCs w:val="28"/>
        </w:rPr>
        <w:t>, en general,</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que </w:t>
      </w:r>
      <w:r w:rsidRPr="00442E1D">
        <w:rPr>
          <w:rFonts w:ascii="Times New Roman" w:hAnsi="Times New Roman" w:cs="Times New Roman"/>
          <w:sz w:val="28"/>
          <w:szCs w:val="28"/>
        </w:rPr>
        <w:t xml:space="preserve">el demandante parte de escenarios hipotéticos o interpretaciones subjetivas que no se derivan directamente </w:t>
      </w:r>
      <w:r w:rsidRPr="00442E1D">
        <w:rPr>
          <w:rFonts w:ascii="Times New Roman" w:hAnsi="Times New Roman" w:cs="Times New Roman"/>
          <w:sz w:val="28"/>
          <w:szCs w:val="28"/>
        </w:rPr>
        <w:t xml:space="preserve">de la expresión acusada, </w:t>
      </w:r>
      <w:r w:rsidRPr="00442E1D">
        <w:rPr>
          <w:rFonts w:ascii="Times New Roman" w:hAnsi="Times New Roman" w:cs="Times New Roman"/>
          <w:sz w:val="28"/>
          <w:szCs w:val="28"/>
        </w:rPr>
        <w:t xml:space="preserve">ya que </w:t>
      </w:r>
      <w:r w:rsidRPr="00442E1D">
        <w:rPr>
          <w:rFonts w:ascii="Times New Roman" w:hAnsi="Times New Roman" w:cs="Times New Roman"/>
          <w:sz w:val="28"/>
          <w:szCs w:val="28"/>
        </w:rPr>
        <w:t xml:space="preserve">la disposición </w:t>
      </w:r>
      <w:r w:rsidRPr="00442E1D">
        <w:rPr>
          <w:rFonts w:ascii="Times New Roman" w:hAnsi="Times New Roman" w:cs="Times New Roman"/>
          <w:sz w:val="28"/>
          <w:szCs w:val="28"/>
        </w:rPr>
        <w:t xml:space="preserve">no </w:t>
      </w:r>
      <w:r w:rsidRPr="00442E1D">
        <w:rPr>
          <w:rFonts w:ascii="Times New Roman" w:hAnsi="Times New Roman" w:cs="Times New Roman"/>
          <w:sz w:val="28"/>
          <w:szCs w:val="28"/>
        </w:rPr>
        <w:t xml:space="preserve">permite </w:t>
      </w:r>
      <w:r w:rsidRPr="00442E1D">
        <w:rPr>
          <w:rFonts w:ascii="Times New Roman" w:hAnsi="Times New Roman" w:cs="Times New Roman"/>
          <w:sz w:val="28"/>
          <w:szCs w:val="28"/>
        </w:rPr>
        <w:t xml:space="preserve">que </w:t>
      </w:r>
      <w:r w:rsidRPr="00442E1D">
        <w:rPr>
          <w:rFonts w:ascii="Times New Roman" w:hAnsi="Times New Roman" w:cs="Times New Roman"/>
          <w:sz w:val="28"/>
          <w:szCs w:val="28"/>
        </w:rPr>
        <w:t xml:space="preserve">los </w:t>
      </w:r>
      <w:r w:rsidRPr="00442E1D">
        <w:rPr>
          <w:rFonts w:ascii="Times New Roman" w:hAnsi="Times New Roman" w:cs="Times New Roman"/>
          <w:sz w:val="28"/>
          <w:szCs w:val="28"/>
        </w:rPr>
        <w:t>reglamento</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 de propiedad horizontal exonere</w:t>
      </w:r>
      <w:r w:rsidRPr="00442E1D">
        <w:rPr>
          <w:rFonts w:ascii="Times New Roman" w:hAnsi="Times New Roman" w:cs="Times New Roman"/>
          <w:sz w:val="28"/>
          <w:szCs w:val="28"/>
        </w:rPr>
        <w:t>n</w:t>
      </w:r>
      <w:r w:rsidRPr="00442E1D">
        <w:rPr>
          <w:rFonts w:ascii="Times New Roman" w:hAnsi="Times New Roman" w:cs="Times New Roman"/>
          <w:sz w:val="28"/>
          <w:szCs w:val="28"/>
        </w:rPr>
        <w:t xml:space="preserve"> a los propietarios del pago de las expensas comunes</w:t>
      </w:r>
      <w:r w:rsidRPr="00442E1D">
        <w:rPr>
          <w:rFonts w:ascii="Times New Roman" w:hAnsi="Times New Roman" w:cs="Times New Roman"/>
          <w:sz w:val="28"/>
          <w:szCs w:val="28"/>
        </w:rPr>
        <w:t xml:space="preserve"> necesarias</w:t>
      </w:r>
      <w:r w:rsidRPr="00442E1D">
        <w:rPr>
          <w:rFonts w:ascii="Times New Roman" w:hAnsi="Times New Roman" w:cs="Times New Roman"/>
          <w:sz w:val="28"/>
          <w:szCs w:val="28"/>
        </w:rPr>
        <w:t>, como lo afirma el demandante</w:t>
      </w:r>
      <w:r w:rsidRPr="00442E1D">
        <w:rPr>
          <w:rFonts w:ascii="Times New Roman" w:hAnsi="Times New Roman" w:cs="Times New Roman"/>
          <w:sz w:val="28"/>
          <w:szCs w:val="28"/>
        </w:rPr>
        <w:t>, lo cual, además</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sería contrario a</w:t>
      </w:r>
      <w:r w:rsidRPr="00442E1D">
        <w:rPr>
          <w:rFonts w:ascii="Times New Roman" w:hAnsi="Times New Roman" w:cs="Times New Roman"/>
          <w:sz w:val="28"/>
          <w:szCs w:val="28"/>
        </w:rPr>
        <w:t xml:space="preserve"> una interpretaci</w:t>
      </w:r>
      <w:r w:rsidRPr="00442E1D">
        <w:rPr>
          <w:rFonts w:ascii="Times New Roman" w:hAnsi="Times New Roman" w:cs="Times New Roman"/>
          <w:sz w:val="28"/>
          <w:szCs w:val="28"/>
        </w:rPr>
        <w:t>ón sistemática de la citada expresión con las restantes disposiciones de la Ley 675 de 2001</w:t>
      </w:r>
      <w:r w:rsidRPr="00442E1D">
        <w:rPr>
          <w:rFonts w:ascii="Times New Roman" w:hAnsi="Times New Roman" w:cs="Times New Roman"/>
          <w:sz w:val="28"/>
          <w:szCs w:val="28"/>
        </w:rPr>
        <w:t>.</w:t>
      </w:r>
    </w:p>
    <w:p w:rsidR="00353563" w:rsidRPr="00442E1D" w:rsidRDefault="00442E1D" w:rsidP="00796DB2">
      <w:pPr>
        <w:rPr>
          <w:rFonts w:ascii="Times New Roman" w:hAnsi="Times New Roman" w:cs="Times New Roman"/>
          <w:sz w:val="28"/>
          <w:szCs w:val="28"/>
        </w:rPr>
      </w:pPr>
    </w:p>
    <w:p w:rsidR="00EB2E33" w:rsidRPr="00442E1D" w:rsidRDefault="00442E1D" w:rsidP="003F7D77">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Para la Sala, al igual que lo plantearon estos intervinientes, </w:t>
      </w:r>
      <w:r w:rsidRPr="00442E1D">
        <w:rPr>
          <w:rFonts w:ascii="Times New Roman" w:hAnsi="Times New Roman" w:cs="Times New Roman"/>
          <w:sz w:val="28"/>
          <w:szCs w:val="28"/>
        </w:rPr>
        <w:t xml:space="preserve">la demanda carece de </w:t>
      </w:r>
      <w:r w:rsidRPr="00442E1D">
        <w:rPr>
          <w:rFonts w:ascii="Times New Roman" w:hAnsi="Times New Roman" w:cs="Times New Roman"/>
          <w:i/>
          <w:iCs/>
          <w:sz w:val="28"/>
          <w:szCs w:val="28"/>
        </w:rPr>
        <w:t>certeza</w:t>
      </w:r>
      <w:r w:rsidRPr="00442E1D">
        <w:rPr>
          <w:rFonts w:ascii="Times New Roman" w:hAnsi="Times New Roman" w:cs="Times New Roman"/>
          <w:sz w:val="28"/>
          <w:szCs w:val="28"/>
        </w:rPr>
        <w:t xml:space="preserve">, </w:t>
      </w:r>
      <w:r w:rsidRPr="00442E1D">
        <w:rPr>
          <w:rFonts w:ascii="Times New Roman" w:hAnsi="Times New Roman" w:cs="Times New Roman"/>
          <w:i/>
          <w:iCs/>
          <w:sz w:val="28"/>
          <w:szCs w:val="28"/>
        </w:rPr>
        <w:t>pertinencia</w:t>
      </w:r>
      <w:r w:rsidRPr="00442E1D">
        <w:rPr>
          <w:rFonts w:ascii="Times New Roman" w:hAnsi="Times New Roman" w:cs="Times New Roman"/>
          <w:sz w:val="28"/>
          <w:szCs w:val="28"/>
        </w:rPr>
        <w:t xml:space="preserve">, y, por ende, de </w:t>
      </w:r>
      <w:r w:rsidRPr="00442E1D">
        <w:rPr>
          <w:rFonts w:ascii="Times New Roman" w:hAnsi="Times New Roman" w:cs="Times New Roman"/>
          <w:i/>
          <w:iCs/>
          <w:sz w:val="28"/>
          <w:szCs w:val="28"/>
        </w:rPr>
        <w:t>suficiencia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en la medida en </w:t>
      </w:r>
      <w:r w:rsidRPr="00442E1D">
        <w:rPr>
          <w:rFonts w:ascii="Times New Roman" w:hAnsi="Times New Roman" w:cs="Times New Roman"/>
          <w:sz w:val="28"/>
          <w:szCs w:val="28"/>
        </w:rPr>
        <w:t xml:space="preserve">que el </w:t>
      </w:r>
      <w:r w:rsidRPr="00442E1D">
        <w:rPr>
          <w:rFonts w:ascii="Times New Roman" w:hAnsi="Times New Roman" w:cs="Times New Roman"/>
          <w:sz w:val="28"/>
          <w:szCs w:val="28"/>
        </w:rPr>
        <w:t>punto de partida de la acusación</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desconoce el contexto normativo en el que se inserta la disposición demandada</w:t>
      </w:r>
      <w:r w:rsidRPr="00442E1D">
        <w:rPr>
          <w:rFonts w:ascii="Times New Roman" w:hAnsi="Times New Roman" w:cs="Times New Roman"/>
          <w:sz w:val="28"/>
          <w:szCs w:val="28"/>
        </w:rPr>
        <w:t xml:space="preserve"> y </w:t>
      </w:r>
      <w:r w:rsidRPr="00442E1D">
        <w:rPr>
          <w:rFonts w:ascii="Times New Roman" w:hAnsi="Times New Roman" w:cs="Times New Roman"/>
          <w:sz w:val="28"/>
          <w:szCs w:val="28"/>
        </w:rPr>
        <w:t xml:space="preserve">parte de supuestos aplicativos de la </w:t>
      </w:r>
      <w:r w:rsidRPr="00442E1D">
        <w:rPr>
          <w:rFonts w:ascii="Times New Roman" w:hAnsi="Times New Roman" w:cs="Times New Roman"/>
          <w:sz w:val="28"/>
          <w:szCs w:val="28"/>
        </w:rPr>
        <w:t>misma</w:t>
      </w:r>
      <w:r w:rsidRPr="00442E1D">
        <w:rPr>
          <w:rFonts w:ascii="Times New Roman" w:hAnsi="Times New Roman" w:cs="Times New Roman"/>
          <w:sz w:val="28"/>
          <w:szCs w:val="28"/>
        </w:rPr>
        <w:t xml:space="preserve"> que exceden el control abstracto de constitucionalidad</w:t>
      </w:r>
      <w:r w:rsidRPr="00442E1D">
        <w:rPr>
          <w:rFonts w:ascii="Times New Roman" w:hAnsi="Times New Roman" w:cs="Times New Roman"/>
          <w:sz w:val="28"/>
          <w:szCs w:val="28"/>
        </w:rPr>
        <w:t xml:space="preserve">. En efecto, como se precisa seguidamente, </w:t>
      </w:r>
      <w:r w:rsidRPr="00442E1D">
        <w:rPr>
          <w:rFonts w:ascii="Times New Roman" w:hAnsi="Times New Roman" w:cs="Times New Roman"/>
          <w:sz w:val="28"/>
          <w:szCs w:val="28"/>
        </w:rPr>
        <w:t xml:space="preserve">la </w:t>
      </w:r>
      <w:r w:rsidRPr="00442E1D">
        <w:rPr>
          <w:rFonts w:ascii="Times New Roman" w:hAnsi="Times New Roman" w:cs="Times New Roman"/>
          <w:sz w:val="28"/>
          <w:szCs w:val="28"/>
        </w:rPr>
        <w:t>expresión que se acusa, interpretada de manera sistemática, no autoriza a los copropietarios, en particular, a los desarrolladores de proyectos inmobiliarios o propietarios iniciales, a establecer cláusulas en el reglamento que los exonere total o parcialm</w:t>
      </w:r>
      <w:r w:rsidRPr="00442E1D">
        <w:rPr>
          <w:rFonts w:ascii="Times New Roman" w:hAnsi="Times New Roman" w:cs="Times New Roman"/>
          <w:sz w:val="28"/>
          <w:szCs w:val="28"/>
        </w:rPr>
        <w:t>ente de contribuir al pago de las expensas comunes</w:t>
      </w:r>
      <w:r w:rsidRPr="00442E1D">
        <w:rPr>
          <w:rFonts w:ascii="Times New Roman" w:hAnsi="Times New Roman" w:cs="Times New Roman"/>
          <w:sz w:val="28"/>
          <w:szCs w:val="28"/>
        </w:rPr>
        <w:t>, como de manera errada lo interpreta el demandante</w:t>
      </w:r>
      <w:r w:rsidRPr="00442E1D">
        <w:rPr>
          <w:rFonts w:ascii="Times New Roman" w:hAnsi="Times New Roman" w:cs="Times New Roman"/>
          <w:bCs/>
          <w:sz w:val="28"/>
          <w:szCs w:val="28"/>
        </w:rPr>
        <w:t>.</w:t>
      </w:r>
    </w:p>
    <w:p w:rsidR="00BA3990" w:rsidRPr="00442E1D" w:rsidRDefault="00442E1D" w:rsidP="005E068F">
      <w:pPr>
        <w:rPr>
          <w:rFonts w:ascii="Times New Roman" w:hAnsi="Times New Roman" w:cs="Times New Roman"/>
          <w:sz w:val="28"/>
          <w:szCs w:val="28"/>
        </w:rPr>
      </w:pPr>
    </w:p>
    <w:p w:rsidR="006762D2" w:rsidRPr="00442E1D" w:rsidRDefault="00442E1D" w:rsidP="006762D2">
      <w:pPr>
        <w:pStyle w:val="Prrafodelista"/>
        <w:numPr>
          <w:ilvl w:val="0"/>
          <w:numId w:val="2"/>
        </w:numPr>
        <w:ind w:left="0" w:right="51" w:firstLine="0"/>
        <w:jc w:val="both"/>
        <w:rPr>
          <w:rFonts w:ascii="Times New Roman" w:hAnsi="Times New Roman" w:cs="Times New Roman"/>
          <w:iCs/>
          <w:sz w:val="28"/>
          <w:szCs w:val="28"/>
          <w:bdr w:val="none" w:sz="0" w:space="0" w:color="auto" w:frame="1"/>
          <w:shd w:val="clear" w:color="auto" w:fill="FFFFFF"/>
          <w:lang w:val="es-ES"/>
        </w:rPr>
      </w:pPr>
      <w:r w:rsidRPr="00442E1D">
        <w:rPr>
          <w:rFonts w:ascii="Times New Roman" w:hAnsi="Times New Roman" w:cs="Times New Roman"/>
          <w:iCs/>
          <w:sz w:val="28"/>
          <w:szCs w:val="28"/>
          <w:bdr w:val="none" w:sz="0" w:space="0" w:color="auto" w:frame="1"/>
          <w:shd w:val="clear" w:color="auto" w:fill="FFFFFF"/>
          <w:lang w:val="es-ES"/>
        </w:rPr>
        <w:t xml:space="preserve">El artículo 29 de la Ley 675 de 2001, en el que se contiene el apartado normativo que se demanda, reitera el deber de los propietarios de los bienes </w:t>
      </w:r>
      <w:r w:rsidRPr="00442E1D">
        <w:rPr>
          <w:rFonts w:ascii="Times New Roman" w:hAnsi="Times New Roman" w:cs="Times New Roman"/>
          <w:iCs/>
          <w:sz w:val="28"/>
          <w:szCs w:val="28"/>
          <w:bdr w:val="none" w:sz="0" w:space="0" w:color="auto" w:frame="1"/>
          <w:shd w:val="clear" w:color="auto" w:fill="FFFFFF"/>
          <w:lang w:val="es-ES"/>
        </w:rPr>
        <w:t>privados de un edificio o conjunto sometido al régimen de propiedad horizontal de contribuir al pago de las expensas necesarias que se causan por la administración y la prestación de los servicios comunes esenciales para la existencia, seguridad y conserva</w:t>
      </w:r>
      <w:r w:rsidRPr="00442E1D">
        <w:rPr>
          <w:rFonts w:ascii="Times New Roman" w:hAnsi="Times New Roman" w:cs="Times New Roman"/>
          <w:iCs/>
          <w:sz w:val="28"/>
          <w:szCs w:val="28"/>
          <w:bdr w:val="none" w:sz="0" w:space="0" w:color="auto" w:frame="1"/>
          <w:shd w:val="clear" w:color="auto" w:fill="FFFFFF"/>
          <w:lang w:val="es-ES"/>
        </w:rPr>
        <w:t>ción de los bienes comunes (expensas comunes)</w:t>
      </w:r>
      <w:r w:rsidRPr="00442E1D">
        <w:rPr>
          <w:rStyle w:val="Refdenotaalpie"/>
          <w:rFonts w:ascii="Times New Roman" w:hAnsi="Times New Roman" w:cs="Times New Roman"/>
          <w:iCs/>
          <w:sz w:val="28"/>
          <w:szCs w:val="28"/>
          <w:bdr w:val="none" w:sz="0" w:space="0" w:color="auto" w:frame="1"/>
          <w:shd w:val="clear" w:color="auto" w:fill="FFFFFF"/>
          <w:lang w:val="es-ES"/>
        </w:rPr>
        <w:footnoteReference w:id="29"/>
      </w:r>
      <w:r w:rsidRPr="00442E1D">
        <w:rPr>
          <w:rFonts w:ascii="Times New Roman" w:hAnsi="Times New Roman" w:cs="Times New Roman"/>
          <w:iCs/>
          <w:sz w:val="28"/>
          <w:szCs w:val="28"/>
          <w:bdr w:val="none" w:sz="0" w:space="0" w:color="auto" w:frame="1"/>
          <w:shd w:val="clear" w:color="auto" w:fill="FFFFFF"/>
          <w:lang w:val="es-ES"/>
        </w:rPr>
        <w:t xml:space="preserve">. </w:t>
      </w:r>
    </w:p>
    <w:p w:rsidR="006762D2" w:rsidRPr="00442E1D" w:rsidRDefault="00442E1D" w:rsidP="006762D2">
      <w:pPr>
        <w:pStyle w:val="Prrafodelista"/>
        <w:ind w:left="0" w:right="51"/>
        <w:jc w:val="both"/>
        <w:rPr>
          <w:rFonts w:ascii="Times New Roman" w:hAnsi="Times New Roman" w:cs="Times New Roman"/>
          <w:iCs/>
          <w:sz w:val="28"/>
          <w:szCs w:val="28"/>
          <w:bdr w:val="none" w:sz="0" w:space="0" w:color="auto" w:frame="1"/>
          <w:shd w:val="clear" w:color="auto" w:fill="FFFFFF"/>
          <w:lang w:val="es-ES"/>
        </w:rPr>
      </w:pPr>
    </w:p>
    <w:p w:rsidR="006762D2" w:rsidRPr="00442E1D" w:rsidRDefault="00442E1D" w:rsidP="006762D2">
      <w:pPr>
        <w:pStyle w:val="Prrafodelista"/>
        <w:numPr>
          <w:ilvl w:val="0"/>
          <w:numId w:val="2"/>
        </w:numPr>
        <w:ind w:left="0" w:right="51" w:firstLine="0"/>
        <w:jc w:val="both"/>
        <w:rPr>
          <w:rFonts w:ascii="Times New Roman" w:hAnsi="Times New Roman" w:cs="Times New Roman"/>
          <w:iCs/>
          <w:sz w:val="28"/>
          <w:szCs w:val="28"/>
          <w:bdr w:val="none" w:sz="0" w:space="0" w:color="auto" w:frame="1"/>
          <w:shd w:val="clear" w:color="auto" w:fill="FFFFFF"/>
          <w:lang w:val="es-ES"/>
        </w:rPr>
      </w:pPr>
      <w:r w:rsidRPr="00442E1D">
        <w:rPr>
          <w:rFonts w:ascii="Times New Roman" w:hAnsi="Times New Roman" w:cs="Times New Roman"/>
          <w:iCs/>
          <w:sz w:val="28"/>
          <w:szCs w:val="28"/>
          <w:bdr w:val="none" w:sz="0" w:space="0" w:color="auto" w:frame="1"/>
          <w:shd w:val="clear" w:color="auto" w:fill="FFFFFF"/>
          <w:lang w:val="es-ES"/>
        </w:rPr>
        <w:t>Se trata de una reiteración, en la medida en que este deber se contiene en los artículos 25 y 3 de la ley en cita: de conformidad con el primero, los reglamentos de propiedad horizontal deben especificar lo</w:t>
      </w:r>
      <w:r w:rsidRPr="00442E1D">
        <w:rPr>
          <w:rFonts w:ascii="Times New Roman" w:hAnsi="Times New Roman" w:cs="Times New Roman"/>
          <w:iCs/>
          <w:sz w:val="28"/>
          <w:szCs w:val="28"/>
          <w:bdr w:val="none" w:sz="0" w:space="0" w:color="auto" w:frame="1"/>
          <w:shd w:val="clear" w:color="auto" w:fill="FFFFFF"/>
          <w:lang w:val="es-ES"/>
        </w:rPr>
        <w:t xml:space="preserve">s coeficientes de copropiedad, los cuales, en atención a lo dispuesto por la segunda disposición, determinan tanto la participación de cada propietario de bienes privados o de dominio particular en los bienes comunes, como su respectiva responsabilidad (o </w:t>
      </w:r>
      <w:r w:rsidRPr="00442E1D">
        <w:rPr>
          <w:rFonts w:ascii="Times New Roman" w:hAnsi="Times New Roman" w:cs="Times New Roman"/>
          <w:iCs/>
          <w:sz w:val="28"/>
          <w:szCs w:val="28"/>
          <w:bdr w:val="none" w:sz="0" w:space="0" w:color="auto" w:frame="1"/>
          <w:shd w:val="clear" w:color="auto" w:fill="FFFFFF"/>
          <w:lang w:val="es-ES"/>
        </w:rPr>
        <w:t xml:space="preserve">proporción) en el pago de las expensas comunes, ordinarias y extraordinarias. </w:t>
      </w:r>
    </w:p>
    <w:p w:rsidR="006762D2" w:rsidRPr="00442E1D" w:rsidRDefault="00442E1D" w:rsidP="006762D2">
      <w:pPr>
        <w:pStyle w:val="Prrafodelista"/>
        <w:rPr>
          <w:rFonts w:ascii="Times New Roman" w:hAnsi="Times New Roman" w:cs="Times New Roman"/>
          <w:iCs/>
          <w:sz w:val="28"/>
          <w:szCs w:val="28"/>
          <w:bdr w:val="none" w:sz="0" w:space="0" w:color="auto" w:frame="1"/>
          <w:shd w:val="clear" w:color="auto" w:fill="FFFFFF"/>
          <w:lang w:val="es-ES"/>
        </w:rPr>
      </w:pPr>
    </w:p>
    <w:p w:rsidR="006762D2" w:rsidRPr="00442E1D" w:rsidRDefault="00442E1D" w:rsidP="006762D2">
      <w:pPr>
        <w:pStyle w:val="Prrafodelista"/>
        <w:numPr>
          <w:ilvl w:val="0"/>
          <w:numId w:val="2"/>
        </w:numPr>
        <w:ind w:left="0" w:right="51" w:firstLine="0"/>
        <w:jc w:val="both"/>
        <w:rPr>
          <w:rFonts w:ascii="Times New Roman" w:hAnsi="Times New Roman" w:cs="Times New Roman"/>
          <w:iCs/>
          <w:sz w:val="28"/>
          <w:szCs w:val="28"/>
          <w:bdr w:val="none" w:sz="0" w:space="0" w:color="auto" w:frame="1"/>
          <w:shd w:val="clear" w:color="auto" w:fill="FFFFFF"/>
          <w:lang w:val="es-ES"/>
        </w:rPr>
      </w:pPr>
      <w:r w:rsidRPr="00442E1D">
        <w:rPr>
          <w:rFonts w:ascii="Times New Roman" w:hAnsi="Times New Roman" w:cs="Times New Roman"/>
          <w:iCs/>
          <w:sz w:val="28"/>
          <w:szCs w:val="28"/>
          <w:bdr w:val="none" w:sz="0" w:space="0" w:color="auto" w:frame="1"/>
          <w:shd w:val="clear" w:color="auto" w:fill="FFFFFF"/>
          <w:lang w:val="es-ES"/>
        </w:rPr>
        <w:t>Así, el objeto del citado deber, esto es, el de contribuir al pago de estas expensas, comprende la contribución al pago de los costos necesarios para la administración, conserv</w:t>
      </w:r>
      <w:r w:rsidRPr="00442E1D">
        <w:rPr>
          <w:rFonts w:ascii="Times New Roman" w:hAnsi="Times New Roman" w:cs="Times New Roman"/>
          <w:iCs/>
          <w:sz w:val="28"/>
          <w:szCs w:val="28"/>
          <w:bdr w:val="none" w:sz="0" w:space="0" w:color="auto" w:frame="1"/>
          <w:shd w:val="clear" w:color="auto" w:fill="FFFFFF"/>
          <w:lang w:val="es-ES"/>
        </w:rPr>
        <w:t>ación y mantenimiento de las áreas comunes de los edificios o conjuntos residenciales sometidos al régimen de propiedad horizontal, en los términos del artículo 3 de la ley en cita</w:t>
      </w:r>
      <w:r w:rsidRPr="00442E1D">
        <w:rPr>
          <w:rStyle w:val="Refdenotaalpie"/>
          <w:rFonts w:ascii="Times New Roman" w:hAnsi="Times New Roman" w:cs="Times New Roman"/>
          <w:iCs/>
          <w:sz w:val="28"/>
          <w:szCs w:val="28"/>
          <w:bdr w:val="none" w:sz="0" w:space="0" w:color="auto" w:frame="1"/>
          <w:shd w:val="clear" w:color="auto" w:fill="FFFFFF"/>
          <w:lang w:val="es-ES"/>
        </w:rPr>
        <w:footnoteReference w:id="30"/>
      </w:r>
      <w:r w:rsidRPr="00442E1D">
        <w:rPr>
          <w:rFonts w:ascii="Times New Roman" w:hAnsi="Times New Roman" w:cs="Times New Roman"/>
          <w:iCs/>
          <w:sz w:val="28"/>
          <w:szCs w:val="28"/>
          <w:bdr w:val="none" w:sz="0" w:space="0" w:color="auto" w:frame="1"/>
          <w:shd w:val="clear" w:color="auto" w:fill="FFFFFF"/>
          <w:lang w:val="es-ES"/>
        </w:rPr>
        <w:t>. Estas expensas son fundamentales para el adecuado funcionamiento de la pr</w:t>
      </w:r>
      <w:r w:rsidRPr="00442E1D">
        <w:rPr>
          <w:rFonts w:ascii="Times New Roman" w:hAnsi="Times New Roman" w:cs="Times New Roman"/>
          <w:iCs/>
          <w:sz w:val="28"/>
          <w:szCs w:val="28"/>
          <w:bdr w:val="none" w:sz="0" w:space="0" w:color="auto" w:frame="1"/>
          <w:shd w:val="clear" w:color="auto" w:fill="FFFFFF"/>
          <w:lang w:val="es-ES"/>
        </w:rPr>
        <w:t>opiedad horizontal e integran el régimen jurídico especial de este tipo de propiedad, en el que coexisten estos bienes con aquellos de dominio particular.</w:t>
      </w:r>
    </w:p>
    <w:p w:rsidR="006762D2" w:rsidRPr="00442E1D" w:rsidRDefault="00442E1D" w:rsidP="006762D2">
      <w:pPr>
        <w:pStyle w:val="Prrafodelista"/>
        <w:rPr>
          <w:rFonts w:ascii="Times New Roman" w:hAnsi="Times New Roman" w:cs="Times New Roman"/>
          <w:iCs/>
          <w:sz w:val="28"/>
          <w:szCs w:val="28"/>
          <w:bdr w:val="none" w:sz="0" w:space="0" w:color="auto" w:frame="1"/>
          <w:shd w:val="clear" w:color="auto" w:fill="FFFFFF"/>
          <w:lang w:val="es-ES"/>
        </w:rPr>
      </w:pPr>
    </w:p>
    <w:p w:rsidR="006762D2" w:rsidRPr="00442E1D" w:rsidRDefault="00442E1D" w:rsidP="006762D2">
      <w:pPr>
        <w:pStyle w:val="Prrafodelista"/>
        <w:numPr>
          <w:ilvl w:val="0"/>
          <w:numId w:val="2"/>
        </w:numPr>
        <w:ind w:left="0" w:right="51" w:firstLine="0"/>
        <w:jc w:val="both"/>
        <w:rPr>
          <w:rFonts w:ascii="Times New Roman" w:hAnsi="Times New Roman" w:cs="Times New Roman"/>
          <w:iCs/>
          <w:sz w:val="28"/>
          <w:szCs w:val="28"/>
          <w:bdr w:val="none" w:sz="0" w:space="0" w:color="auto" w:frame="1"/>
          <w:shd w:val="clear" w:color="auto" w:fill="FFFFFF"/>
          <w:lang w:val="es-ES"/>
        </w:rPr>
      </w:pPr>
      <w:r w:rsidRPr="00442E1D">
        <w:rPr>
          <w:rFonts w:ascii="Times New Roman" w:hAnsi="Times New Roman" w:cs="Times New Roman"/>
          <w:iCs/>
          <w:sz w:val="28"/>
          <w:szCs w:val="28"/>
          <w:bdr w:val="none" w:sz="0" w:space="0" w:color="auto" w:frame="1"/>
          <w:shd w:val="clear" w:color="auto" w:fill="FFFFFF"/>
          <w:lang w:val="es-ES"/>
        </w:rPr>
        <w:t>El artículo 29 no regula la forma en que se debe cumplir el citado deber, de contribuir al pago de l</w:t>
      </w:r>
      <w:r w:rsidRPr="00442E1D">
        <w:rPr>
          <w:rFonts w:ascii="Times New Roman" w:hAnsi="Times New Roman" w:cs="Times New Roman"/>
          <w:iCs/>
          <w:sz w:val="28"/>
          <w:szCs w:val="28"/>
          <w:bdr w:val="none" w:sz="0" w:space="0" w:color="auto" w:frame="1"/>
          <w:shd w:val="clear" w:color="auto" w:fill="FFFFFF"/>
          <w:lang w:val="es-ES"/>
        </w:rPr>
        <w:t>as expensas comunes, ya que esta se regula en los artículos 25 y 26 de la Ley 675. De conformidad con estos, su pago se debe hacer en función de los coeficientes de copropiedad, que, “Salvo lo dispuesto en la presente ley para casos específicos […] se calc</w:t>
      </w:r>
      <w:r w:rsidRPr="00442E1D">
        <w:rPr>
          <w:rFonts w:ascii="Times New Roman" w:hAnsi="Times New Roman" w:cs="Times New Roman"/>
          <w:iCs/>
          <w:sz w:val="28"/>
          <w:szCs w:val="28"/>
          <w:bdr w:val="none" w:sz="0" w:space="0" w:color="auto" w:frame="1"/>
          <w:shd w:val="clear" w:color="auto" w:fill="FFFFFF"/>
          <w:lang w:val="es-ES"/>
        </w:rPr>
        <w:t>ularán con base en el área privada construida de cada bien de dominio particular, con respecto al área total privada del edificio o conjunto” (artículo 26), en los edificios o conjuntos residenciales, o de los módulos de contribución en los edificios o con</w:t>
      </w:r>
      <w:r w:rsidRPr="00442E1D">
        <w:rPr>
          <w:rFonts w:ascii="Times New Roman" w:hAnsi="Times New Roman" w:cs="Times New Roman"/>
          <w:iCs/>
          <w:sz w:val="28"/>
          <w:szCs w:val="28"/>
          <w:bdr w:val="none" w:sz="0" w:space="0" w:color="auto" w:frame="1"/>
          <w:shd w:val="clear" w:color="auto" w:fill="FFFFFF"/>
          <w:lang w:val="es-ES"/>
        </w:rPr>
        <w:t>juntos comerciales o mixtos</w:t>
      </w:r>
      <w:r w:rsidRPr="00442E1D">
        <w:rPr>
          <w:rStyle w:val="Refdenotaalpie"/>
          <w:rFonts w:ascii="Times New Roman" w:hAnsi="Times New Roman" w:cs="Times New Roman"/>
          <w:sz w:val="28"/>
          <w:szCs w:val="28"/>
        </w:rPr>
        <w:footnoteReference w:id="31"/>
      </w:r>
      <w:r w:rsidRPr="00442E1D">
        <w:rPr>
          <w:rFonts w:ascii="Times New Roman" w:hAnsi="Times New Roman" w:cs="Times New Roman"/>
          <w:iCs/>
          <w:sz w:val="28"/>
          <w:szCs w:val="28"/>
          <w:bdr w:val="none" w:sz="0" w:space="0" w:color="auto" w:frame="1"/>
          <w:shd w:val="clear" w:color="auto" w:fill="FFFFFF"/>
          <w:lang w:val="es-ES"/>
        </w:rPr>
        <w:t xml:space="preserve">. </w:t>
      </w:r>
    </w:p>
    <w:p w:rsidR="006762D2" w:rsidRPr="00442E1D" w:rsidRDefault="00442E1D" w:rsidP="006762D2">
      <w:pPr>
        <w:rPr>
          <w:rFonts w:ascii="Times New Roman" w:hAnsi="Times New Roman" w:cs="Times New Roman"/>
          <w:iCs/>
          <w:sz w:val="28"/>
          <w:szCs w:val="28"/>
          <w:bdr w:val="none" w:sz="0" w:space="0" w:color="auto" w:frame="1"/>
          <w:shd w:val="clear" w:color="auto" w:fill="FFFFFF"/>
          <w:lang w:val="es-ES"/>
        </w:rPr>
      </w:pPr>
    </w:p>
    <w:p w:rsidR="006762D2" w:rsidRPr="00442E1D" w:rsidRDefault="00442E1D" w:rsidP="006762D2">
      <w:pPr>
        <w:pStyle w:val="Prrafodelista"/>
        <w:numPr>
          <w:ilvl w:val="0"/>
          <w:numId w:val="2"/>
        </w:numPr>
        <w:ind w:left="0" w:right="51" w:firstLine="0"/>
        <w:jc w:val="both"/>
        <w:rPr>
          <w:rFonts w:ascii="Times New Roman" w:hAnsi="Times New Roman" w:cs="Times New Roman"/>
          <w:iCs/>
          <w:sz w:val="28"/>
          <w:szCs w:val="28"/>
          <w:bdr w:val="none" w:sz="0" w:space="0" w:color="auto" w:frame="1"/>
          <w:shd w:val="clear" w:color="auto" w:fill="FFFFFF"/>
          <w:lang w:val="es-ES"/>
        </w:rPr>
      </w:pPr>
      <w:r w:rsidRPr="00442E1D">
        <w:rPr>
          <w:rFonts w:ascii="Times New Roman" w:hAnsi="Times New Roman" w:cs="Times New Roman"/>
          <w:iCs/>
          <w:sz w:val="28"/>
          <w:szCs w:val="28"/>
          <w:bdr w:val="none" w:sz="0" w:space="0" w:color="auto" w:frame="1"/>
          <w:shd w:val="clear" w:color="auto" w:fill="FFFFFF"/>
          <w:lang w:val="es-ES"/>
        </w:rPr>
        <w:t xml:space="preserve">Esta forma de concretar el citado deber ha sido considerada compatible con la Constitución, ya que atiende a la idea de que, “quienes tienen un mayor patrimonio y perciben mayores ingresos pueden aportar una suma mayor pero </w:t>
      </w:r>
      <w:r w:rsidRPr="00442E1D">
        <w:rPr>
          <w:rFonts w:ascii="Times New Roman" w:hAnsi="Times New Roman" w:cs="Times New Roman"/>
          <w:iCs/>
          <w:sz w:val="28"/>
          <w:szCs w:val="28"/>
          <w:bdr w:val="none" w:sz="0" w:space="0" w:color="auto" w:frame="1"/>
          <w:shd w:val="clear" w:color="auto" w:fill="FFFFFF"/>
          <w:lang w:val="es-ES"/>
        </w:rPr>
        <w:t>proporcional al área de su inmueble para el financiamiento de los gastos comunitarios”; por tanto, “a mayor coeficiente de propiedad en el edificio, es razonable entender que existe mayor capacidad de pago y, por consiguiente, es posible exigir, en término</w:t>
      </w:r>
      <w:r w:rsidRPr="00442E1D">
        <w:rPr>
          <w:rFonts w:ascii="Times New Roman" w:hAnsi="Times New Roman" w:cs="Times New Roman"/>
          <w:iCs/>
          <w:sz w:val="28"/>
          <w:szCs w:val="28"/>
          <w:bdr w:val="none" w:sz="0" w:space="0" w:color="auto" w:frame="1"/>
          <w:shd w:val="clear" w:color="auto" w:fill="FFFFFF"/>
          <w:lang w:val="es-ES"/>
        </w:rPr>
        <w:t>s de equidad, una contribución proporcional en las expensas comunes” (Sentencia C-782 de 2004)</w:t>
      </w:r>
      <w:r w:rsidRPr="00442E1D">
        <w:rPr>
          <w:rStyle w:val="Refdenotaalpie"/>
          <w:rFonts w:ascii="Times New Roman" w:hAnsi="Times New Roman" w:cs="Times New Roman"/>
          <w:sz w:val="28"/>
          <w:szCs w:val="28"/>
        </w:rPr>
        <w:footnoteReference w:id="32"/>
      </w:r>
      <w:r w:rsidRPr="00442E1D">
        <w:rPr>
          <w:rFonts w:ascii="Times New Roman" w:hAnsi="Times New Roman" w:cs="Times New Roman"/>
          <w:iCs/>
          <w:sz w:val="28"/>
          <w:szCs w:val="28"/>
          <w:bdr w:val="none" w:sz="0" w:space="0" w:color="auto" w:frame="1"/>
          <w:shd w:val="clear" w:color="auto" w:fill="FFFFFF"/>
          <w:lang w:val="es-ES"/>
        </w:rPr>
        <w:t>. Según indicó la Corte en la providencia en cita, se trata de un “criterio objetivo y eficiente en el recaudo de las sumas comunes, que en modo alguno resulta c</w:t>
      </w:r>
      <w:r w:rsidRPr="00442E1D">
        <w:rPr>
          <w:rFonts w:ascii="Times New Roman" w:hAnsi="Times New Roman" w:cs="Times New Roman"/>
          <w:iCs/>
          <w:sz w:val="28"/>
          <w:szCs w:val="28"/>
          <w:bdr w:val="none" w:sz="0" w:space="0" w:color="auto" w:frame="1"/>
          <w:shd w:val="clear" w:color="auto" w:fill="FFFFFF"/>
          <w:lang w:val="es-ES"/>
        </w:rPr>
        <w:t>ontrario al principio de igualdad, pues es admisible que la ley exija, por razones de proporcionalidad, solidaridad y redistribución, que quienes gozan de inmuebles de mayor área y, por ende, mayor valor contribuyan en mayor medida a sufragar los gastos co</w:t>
      </w:r>
      <w:r w:rsidRPr="00442E1D">
        <w:rPr>
          <w:rFonts w:ascii="Times New Roman" w:hAnsi="Times New Roman" w:cs="Times New Roman"/>
          <w:iCs/>
          <w:sz w:val="28"/>
          <w:szCs w:val="28"/>
          <w:bdr w:val="none" w:sz="0" w:space="0" w:color="auto" w:frame="1"/>
          <w:shd w:val="clear" w:color="auto" w:fill="FFFFFF"/>
          <w:lang w:val="es-ES"/>
        </w:rPr>
        <w:t>munes que quienes son propietarios de inmuebles con menor área, que se entiende que tienden a ser de menor valor”</w:t>
      </w:r>
      <w:r w:rsidRPr="00442E1D">
        <w:rPr>
          <w:rStyle w:val="Refdenotaalpie"/>
          <w:rFonts w:ascii="Times New Roman" w:hAnsi="Times New Roman" w:cs="Times New Roman"/>
          <w:iCs/>
          <w:sz w:val="28"/>
          <w:szCs w:val="28"/>
          <w:bdr w:val="none" w:sz="0" w:space="0" w:color="auto" w:frame="1"/>
          <w:shd w:val="clear" w:color="auto" w:fill="FFFFFF"/>
          <w:lang w:val="es-ES"/>
        </w:rPr>
        <w:footnoteReference w:id="33"/>
      </w:r>
      <w:r w:rsidRPr="00442E1D">
        <w:rPr>
          <w:rFonts w:ascii="Times New Roman" w:hAnsi="Times New Roman" w:cs="Times New Roman"/>
          <w:iCs/>
          <w:sz w:val="28"/>
          <w:szCs w:val="28"/>
          <w:bdr w:val="none" w:sz="0" w:space="0" w:color="auto" w:frame="1"/>
          <w:shd w:val="clear" w:color="auto" w:fill="FFFFFF"/>
          <w:lang w:val="es-ES"/>
        </w:rPr>
        <w:t>.</w:t>
      </w:r>
    </w:p>
    <w:p w:rsidR="003570EF" w:rsidRPr="00442E1D" w:rsidRDefault="00442E1D" w:rsidP="003570EF">
      <w:pPr>
        <w:pStyle w:val="Prrafodelista"/>
        <w:ind w:left="0" w:right="51"/>
        <w:jc w:val="both"/>
        <w:rPr>
          <w:rFonts w:ascii="Times New Roman" w:hAnsi="Times New Roman" w:cs="Times New Roman"/>
          <w:iCs/>
          <w:sz w:val="28"/>
          <w:szCs w:val="28"/>
          <w:bdr w:val="none" w:sz="0" w:space="0" w:color="auto" w:frame="1"/>
          <w:shd w:val="clear" w:color="auto" w:fill="FFFFFF"/>
          <w:lang w:val="es-ES"/>
        </w:rPr>
      </w:pPr>
    </w:p>
    <w:p w:rsidR="0068475E" w:rsidRPr="00442E1D" w:rsidRDefault="00442E1D" w:rsidP="00844A38">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E</w:t>
      </w:r>
      <w:r w:rsidRPr="00442E1D">
        <w:rPr>
          <w:rFonts w:ascii="Times New Roman" w:hAnsi="Times New Roman" w:cs="Times New Roman"/>
          <w:sz w:val="28"/>
          <w:szCs w:val="28"/>
        </w:rPr>
        <w:t xml:space="preserve">n atención a </w:t>
      </w:r>
      <w:r w:rsidRPr="00442E1D">
        <w:rPr>
          <w:rFonts w:ascii="Times New Roman" w:hAnsi="Times New Roman" w:cs="Times New Roman"/>
          <w:sz w:val="28"/>
          <w:szCs w:val="28"/>
        </w:rPr>
        <w:t xml:space="preserve">lo expuesto, </w:t>
      </w:r>
      <w:r w:rsidRPr="00442E1D">
        <w:rPr>
          <w:rFonts w:ascii="Times New Roman" w:hAnsi="Times New Roman" w:cs="Times New Roman"/>
          <w:sz w:val="28"/>
          <w:szCs w:val="28"/>
        </w:rPr>
        <w:t xml:space="preserve">la interpretación </w:t>
      </w:r>
      <w:r w:rsidRPr="00442E1D">
        <w:rPr>
          <w:rFonts w:ascii="Times New Roman" w:hAnsi="Times New Roman" w:cs="Times New Roman"/>
          <w:sz w:val="28"/>
          <w:szCs w:val="28"/>
        </w:rPr>
        <w:t xml:space="preserve">que el </w:t>
      </w:r>
      <w:r w:rsidRPr="00442E1D">
        <w:rPr>
          <w:rFonts w:ascii="Times New Roman" w:hAnsi="Times New Roman" w:cs="Times New Roman"/>
          <w:sz w:val="28"/>
          <w:szCs w:val="28"/>
        </w:rPr>
        <w:t xml:space="preserve">demandante </w:t>
      </w:r>
      <w:r w:rsidRPr="00442E1D">
        <w:rPr>
          <w:rFonts w:ascii="Times New Roman" w:hAnsi="Times New Roman" w:cs="Times New Roman"/>
          <w:sz w:val="28"/>
          <w:szCs w:val="28"/>
        </w:rPr>
        <w:t>le adscri</w:t>
      </w:r>
      <w:r w:rsidRPr="00442E1D">
        <w:rPr>
          <w:rFonts w:ascii="Times New Roman" w:hAnsi="Times New Roman" w:cs="Times New Roman"/>
          <w:sz w:val="28"/>
          <w:szCs w:val="28"/>
        </w:rPr>
        <w:t>b</w:t>
      </w:r>
      <w:r w:rsidRPr="00442E1D">
        <w:rPr>
          <w:rFonts w:ascii="Times New Roman" w:hAnsi="Times New Roman" w:cs="Times New Roman"/>
          <w:sz w:val="28"/>
          <w:szCs w:val="28"/>
        </w:rPr>
        <w:t>e al apartado que acusa</w:t>
      </w:r>
      <w:r w:rsidRPr="00442E1D">
        <w:rPr>
          <w:rFonts w:ascii="Times New Roman" w:hAnsi="Times New Roman" w:cs="Times New Roman"/>
          <w:sz w:val="28"/>
          <w:szCs w:val="28"/>
        </w:rPr>
        <w:t xml:space="preserve"> no es </w:t>
      </w:r>
      <w:r w:rsidRPr="00442E1D">
        <w:rPr>
          <w:rFonts w:ascii="Times New Roman" w:hAnsi="Times New Roman" w:cs="Times New Roman"/>
          <w:i/>
          <w:iCs/>
          <w:sz w:val="28"/>
          <w:szCs w:val="28"/>
        </w:rPr>
        <w:t>cierta</w:t>
      </w:r>
      <w:r w:rsidRPr="00442E1D">
        <w:rPr>
          <w:rFonts w:ascii="Times New Roman" w:hAnsi="Times New Roman" w:cs="Times New Roman"/>
          <w:sz w:val="28"/>
          <w:szCs w:val="28"/>
        </w:rPr>
        <w:t xml:space="preserve">, ya </w:t>
      </w:r>
      <w:r w:rsidRPr="00442E1D">
        <w:rPr>
          <w:rFonts w:ascii="Times New Roman" w:hAnsi="Times New Roman" w:cs="Times New Roman"/>
          <w:sz w:val="28"/>
          <w:szCs w:val="28"/>
        </w:rPr>
        <w:t xml:space="preserve">no es posible inferir que </w:t>
      </w:r>
      <w:r w:rsidRPr="00442E1D">
        <w:rPr>
          <w:rFonts w:ascii="Times New Roman" w:hAnsi="Times New Roman" w:cs="Times New Roman"/>
          <w:sz w:val="28"/>
          <w:szCs w:val="28"/>
        </w:rPr>
        <w:t xml:space="preserve">autorice </w:t>
      </w:r>
      <w:r w:rsidRPr="00442E1D">
        <w:rPr>
          <w:rFonts w:ascii="Times New Roman" w:hAnsi="Times New Roman" w:cs="Times New Roman"/>
          <w:sz w:val="28"/>
          <w:szCs w:val="28"/>
        </w:rPr>
        <w:t xml:space="preserve">que </w:t>
      </w:r>
      <w:r w:rsidRPr="00442E1D">
        <w:rPr>
          <w:rFonts w:ascii="Times New Roman" w:hAnsi="Times New Roman" w:cs="Times New Roman"/>
          <w:sz w:val="28"/>
          <w:szCs w:val="28"/>
        </w:rPr>
        <w:t xml:space="preserve">los </w:t>
      </w:r>
      <w:r w:rsidRPr="00442E1D">
        <w:rPr>
          <w:rFonts w:ascii="Times New Roman" w:hAnsi="Times New Roman" w:cs="Times New Roman"/>
          <w:sz w:val="28"/>
          <w:szCs w:val="28"/>
        </w:rPr>
        <w:t>reglamento</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 de propiedad horizontal exonere</w:t>
      </w:r>
      <w:r w:rsidRPr="00442E1D">
        <w:rPr>
          <w:rFonts w:ascii="Times New Roman" w:hAnsi="Times New Roman" w:cs="Times New Roman"/>
          <w:sz w:val="28"/>
          <w:szCs w:val="28"/>
        </w:rPr>
        <w:t>n</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total o parcialmente </w:t>
      </w:r>
      <w:r w:rsidRPr="00442E1D">
        <w:rPr>
          <w:rFonts w:ascii="Times New Roman" w:hAnsi="Times New Roman" w:cs="Times New Roman"/>
          <w:sz w:val="28"/>
          <w:szCs w:val="28"/>
        </w:rPr>
        <w:t>a los propietarios de los bienes privados de un edificio o conjunto sometido a este régimen especial del pago de las expensas comunes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Una cuestión</w:t>
      </w:r>
      <w:r w:rsidRPr="00442E1D">
        <w:rPr>
          <w:rFonts w:ascii="Times New Roman" w:hAnsi="Times New Roman" w:cs="Times New Roman"/>
          <w:sz w:val="28"/>
          <w:szCs w:val="28"/>
        </w:rPr>
        <w:t xml:space="preserve"> distinta, que</w:t>
      </w:r>
      <w:r w:rsidRPr="00442E1D">
        <w:rPr>
          <w:rFonts w:ascii="Times New Roman" w:hAnsi="Times New Roman" w:cs="Times New Roman"/>
          <w:sz w:val="28"/>
          <w:szCs w:val="28"/>
        </w:rPr>
        <w:t>, además,</w:t>
      </w:r>
      <w:r w:rsidRPr="00442E1D">
        <w:rPr>
          <w:rFonts w:ascii="Times New Roman" w:hAnsi="Times New Roman" w:cs="Times New Roman"/>
          <w:sz w:val="28"/>
          <w:szCs w:val="28"/>
        </w:rPr>
        <w:t xml:space="preserve"> no hace parte del control abstracto de constitucionalidad, </w:t>
      </w:r>
      <w:r w:rsidRPr="00442E1D">
        <w:rPr>
          <w:rFonts w:ascii="Times New Roman" w:hAnsi="Times New Roman" w:cs="Times New Roman"/>
          <w:sz w:val="28"/>
          <w:szCs w:val="28"/>
        </w:rPr>
        <w:t xml:space="preserve">y, por tanto, torna al cargo en </w:t>
      </w:r>
      <w:r w:rsidRPr="00442E1D">
        <w:rPr>
          <w:rFonts w:ascii="Times New Roman" w:hAnsi="Times New Roman" w:cs="Times New Roman"/>
          <w:sz w:val="28"/>
          <w:szCs w:val="28"/>
        </w:rPr>
        <w:t xml:space="preserve">carente de </w:t>
      </w:r>
      <w:r w:rsidRPr="00442E1D">
        <w:rPr>
          <w:rFonts w:ascii="Times New Roman" w:hAnsi="Times New Roman" w:cs="Times New Roman"/>
          <w:i/>
          <w:iCs/>
          <w:sz w:val="28"/>
          <w:szCs w:val="28"/>
        </w:rPr>
        <w:t>pertinencia</w:t>
      </w:r>
      <w:r w:rsidRPr="00442E1D">
        <w:rPr>
          <w:rFonts w:ascii="Times New Roman" w:hAnsi="Times New Roman" w:cs="Times New Roman"/>
          <w:sz w:val="28"/>
          <w:szCs w:val="28"/>
        </w:rPr>
        <w:t>, e</w:t>
      </w:r>
      <w:r w:rsidRPr="00442E1D">
        <w:rPr>
          <w:rFonts w:ascii="Times New Roman" w:hAnsi="Times New Roman" w:cs="Times New Roman"/>
          <w:sz w:val="28"/>
          <w:szCs w:val="28"/>
        </w:rPr>
        <w:t xml:space="preserve">s </w:t>
      </w:r>
      <w:r w:rsidRPr="00442E1D">
        <w:rPr>
          <w:rFonts w:ascii="Times New Roman" w:hAnsi="Times New Roman" w:cs="Times New Roman"/>
          <w:sz w:val="28"/>
          <w:szCs w:val="28"/>
        </w:rPr>
        <w:t>la valoración de la práctic</w:t>
      </w:r>
      <w:r w:rsidRPr="00442E1D">
        <w:rPr>
          <w:rFonts w:ascii="Times New Roman" w:hAnsi="Times New Roman" w:cs="Times New Roman"/>
          <w:sz w:val="28"/>
          <w:szCs w:val="28"/>
        </w:rPr>
        <w:t xml:space="preserve">a que puso en evidencia el demandante, según la cual </w:t>
      </w:r>
      <w:r w:rsidRPr="00442E1D">
        <w:rPr>
          <w:rFonts w:ascii="Times New Roman" w:hAnsi="Times New Roman" w:cs="Times New Roman"/>
          <w:iCs/>
          <w:sz w:val="28"/>
          <w:szCs w:val="28"/>
          <w:bdr w:val="none" w:sz="0" w:space="0" w:color="auto" w:frame="1"/>
          <w:shd w:val="clear" w:color="auto" w:fill="FFFFFF"/>
          <w:lang w:val="es-ES"/>
        </w:rPr>
        <w:t>algunos desarrolladores inmobiliar</w:t>
      </w:r>
      <w:r w:rsidRPr="00442E1D">
        <w:rPr>
          <w:rFonts w:ascii="Times New Roman" w:hAnsi="Times New Roman" w:cs="Times New Roman"/>
          <w:iCs/>
          <w:sz w:val="28"/>
          <w:szCs w:val="28"/>
          <w:bdr w:val="none" w:sz="0" w:space="0" w:color="auto" w:frame="1"/>
          <w:shd w:val="clear" w:color="auto" w:fill="FFFFFF"/>
          <w:lang w:val="es-ES"/>
        </w:rPr>
        <w:t>ios abus</w:t>
      </w:r>
      <w:r w:rsidRPr="00442E1D">
        <w:rPr>
          <w:rFonts w:ascii="Times New Roman" w:hAnsi="Times New Roman" w:cs="Times New Roman"/>
          <w:iCs/>
          <w:sz w:val="28"/>
          <w:szCs w:val="28"/>
          <w:bdr w:val="none" w:sz="0" w:space="0" w:color="auto" w:frame="1"/>
          <w:shd w:val="clear" w:color="auto" w:fill="FFFFFF"/>
          <w:lang w:val="es-ES"/>
        </w:rPr>
        <w:t>a</w:t>
      </w:r>
      <w:r w:rsidRPr="00442E1D">
        <w:rPr>
          <w:rFonts w:ascii="Times New Roman" w:hAnsi="Times New Roman" w:cs="Times New Roman"/>
          <w:iCs/>
          <w:sz w:val="28"/>
          <w:szCs w:val="28"/>
          <w:bdr w:val="none" w:sz="0" w:space="0" w:color="auto" w:frame="1"/>
          <w:shd w:val="clear" w:color="auto" w:fill="FFFFFF"/>
          <w:lang w:val="es-ES"/>
        </w:rPr>
        <w:t>n</w:t>
      </w:r>
      <w:r w:rsidRPr="00442E1D">
        <w:rPr>
          <w:rFonts w:ascii="Times New Roman" w:hAnsi="Times New Roman" w:cs="Times New Roman"/>
          <w:iCs/>
          <w:sz w:val="28"/>
          <w:szCs w:val="28"/>
          <w:bdr w:val="none" w:sz="0" w:space="0" w:color="auto" w:frame="1"/>
          <w:shd w:val="clear" w:color="auto" w:fill="FFFFFF"/>
          <w:lang w:val="es-ES"/>
        </w:rPr>
        <w:t xml:space="preserve"> de su posición dominante al momento de redactar el reglamento de propiedad inicial, y </w:t>
      </w:r>
      <w:r w:rsidRPr="00442E1D">
        <w:rPr>
          <w:rFonts w:ascii="Times New Roman" w:hAnsi="Times New Roman" w:cs="Times New Roman"/>
          <w:iCs/>
          <w:sz w:val="28"/>
          <w:szCs w:val="28"/>
          <w:bdr w:val="none" w:sz="0" w:space="0" w:color="auto" w:frame="1"/>
          <w:shd w:val="clear" w:color="auto" w:fill="FFFFFF"/>
          <w:lang w:val="es-ES"/>
        </w:rPr>
        <w:t xml:space="preserve">a partir de la cual </w:t>
      </w:r>
      <w:r w:rsidRPr="00442E1D">
        <w:rPr>
          <w:rFonts w:ascii="Times New Roman" w:hAnsi="Times New Roman" w:cs="Times New Roman"/>
          <w:iCs/>
          <w:sz w:val="28"/>
          <w:szCs w:val="28"/>
          <w:bdr w:val="none" w:sz="0" w:space="0" w:color="auto" w:frame="1"/>
          <w:shd w:val="clear" w:color="auto" w:fill="FFFFFF"/>
          <w:lang w:val="es-ES"/>
        </w:rPr>
        <w:t>fij</w:t>
      </w:r>
      <w:r w:rsidRPr="00442E1D">
        <w:rPr>
          <w:rFonts w:ascii="Times New Roman" w:hAnsi="Times New Roman" w:cs="Times New Roman"/>
          <w:iCs/>
          <w:sz w:val="28"/>
          <w:szCs w:val="28"/>
          <w:bdr w:val="none" w:sz="0" w:space="0" w:color="auto" w:frame="1"/>
          <w:shd w:val="clear" w:color="auto" w:fill="FFFFFF"/>
          <w:lang w:val="es-ES"/>
        </w:rPr>
        <w:t>a</w:t>
      </w:r>
      <w:r w:rsidRPr="00442E1D">
        <w:rPr>
          <w:rFonts w:ascii="Times New Roman" w:hAnsi="Times New Roman" w:cs="Times New Roman"/>
          <w:iCs/>
          <w:sz w:val="28"/>
          <w:szCs w:val="28"/>
          <w:bdr w:val="none" w:sz="0" w:space="0" w:color="auto" w:frame="1"/>
          <w:shd w:val="clear" w:color="auto" w:fill="FFFFFF"/>
          <w:lang w:val="es-ES"/>
        </w:rPr>
        <w:t>n condiciones que los exoner</w:t>
      </w:r>
      <w:r w:rsidRPr="00442E1D">
        <w:rPr>
          <w:rFonts w:ascii="Times New Roman" w:hAnsi="Times New Roman" w:cs="Times New Roman"/>
          <w:iCs/>
          <w:sz w:val="28"/>
          <w:szCs w:val="28"/>
          <w:bdr w:val="none" w:sz="0" w:space="0" w:color="auto" w:frame="1"/>
          <w:shd w:val="clear" w:color="auto" w:fill="FFFFFF"/>
          <w:lang w:val="es-ES"/>
        </w:rPr>
        <w:t>a</w:t>
      </w:r>
      <w:r w:rsidRPr="00442E1D">
        <w:rPr>
          <w:rFonts w:ascii="Times New Roman" w:hAnsi="Times New Roman" w:cs="Times New Roman"/>
          <w:iCs/>
          <w:sz w:val="28"/>
          <w:szCs w:val="28"/>
          <w:bdr w:val="none" w:sz="0" w:space="0" w:color="auto" w:frame="1"/>
          <w:shd w:val="clear" w:color="auto" w:fill="FFFFFF"/>
          <w:lang w:val="es-ES"/>
        </w:rPr>
        <w:t xml:space="preserve">n </w:t>
      </w:r>
      <w:r w:rsidRPr="00442E1D">
        <w:rPr>
          <w:rFonts w:ascii="Times New Roman" w:hAnsi="Times New Roman" w:cs="Times New Roman"/>
          <w:bCs/>
          <w:sz w:val="28"/>
          <w:szCs w:val="28"/>
        </w:rPr>
        <w:t>total o parcialmente de contribuir al pago de las expensas comunes.</w:t>
      </w:r>
      <w:r w:rsidRPr="00442E1D">
        <w:rPr>
          <w:rFonts w:ascii="Times New Roman" w:hAnsi="Times New Roman" w:cs="Times New Roman"/>
          <w:bCs/>
          <w:sz w:val="28"/>
          <w:szCs w:val="28"/>
        </w:rPr>
        <w:t xml:space="preserve"> E</w:t>
      </w:r>
      <w:r w:rsidRPr="00442E1D">
        <w:rPr>
          <w:rFonts w:ascii="Times New Roman" w:hAnsi="Times New Roman" w:cs="Times New Roman"/>
          <w:sz w:val="28"/>
          <w:szCs w:val="28"/>
        </w:rPr>
        <w:t xml:space="preserve">n caso de </w:t>
      </w:r>
      <w:r w:rsidRPr="00442E1D">
        <w:rPr>
          <w:rFonts w:ascii="Times New Roman" w:hAnsi="Times New Roman" w:cs="Times New Roman"/>
          <w:sz w:val="28"/>
          <w:szCs w:val="28"/>
        </w:rPr>
        <w:t xml:space="preserve">que </w:t>
      </w:r>
      <w:r w:rsidRPr="00442E1D">
        <w:rPr>
          <w:rFonts w:ascii="Times New Roman" w:hAnsi="Times New Roman" w:cs="Times New Roman"/>
          <w:sz w:val="28"/>
          <w:szCs w:val="28"/>
        </w:rPr>
        <w:t xml:space="preserve">tal </w:t>
      </w:r>
      <w:r w:rsidRPr="00442E1D">
        <w:rPr>
          <w:rFonts w:ascii="Times New Roman" w:hAnsi="Times New Roman" w:cs="Times New Roman"/>
          <w:sz w:val="28"/>
          <w:szCs w:val="28"/>
        </w:rPr>
        <w:t xml:space="preserve">práctica se realice, </w:t>
      </w:r>
      <w:r w:rsidRPr="00442E1D">
        <w:rPr>
          <w:rFonts w:ascii="Times New Roman" w:hAnsi="Times New Roman" w:cs="Times New Roman"/>
          <w:sz w:val="28"/>
          <w:szCs w:val="28"/>
        </w:rPr>
        <w:t xml:space="preserve">lo </w:t>
      </w:r>
      <w:r w:rsidRPr="00442E1D">
        <w:rPr>
          <w:rFonts w:ascii="Times New Roman" w:hAnsi="Times New Roman" w:cs="Times New Roman"/>
          <w:sz w:val="28"/>
          <w:szCs w:val="28"/>
        </w:rPr>
        <w:t xml:space="preserve">procedente </w:t>
      </w:r>
      <w:r w:rsidRPr="00442E1D">
        <w:rPr>
          <w:rFonts w:ascii="Times New Roman" w:hAnsi="Times New Roman" w:cs="Times New Roman"/>
          <w:sz w:val="28"/>
          <w:szCs w:val="28"/>
        </w:rPr>
        <w:t xml:space="preserve">es que se cuestione </w:t>
      </w:r>
      <w:r w:rsidRPr="00442E1D">
        <w:rPr>
          <w:rFonts w:ascii="Times New Roman" w:hAnsi="Times New Roman" w:cs="Times New Roman"/>
          <w:sz w:val="28"/>
          <w:szCs w:val="28"/>
        </w:rPr>
        <w:t xml:space="preserve">ante la </w:t>
      </w:r>
      <w:r w:rsidRPr="00442E1D">
        <w:rPr>
          <w:rFonts w:ascii="Times New Roman" w:hAnsi="Times New Roman" w:cs="Times New Roman"/>
          <w:sz w:val="28"/>
          <w:szCs w:val="28"/>
        </w:rPr>
        <w:t xml:space="preserve">asamblea </w:t>
      </w:r>
      <w:r w:rsidRPr="00442E1D">
        <w:rPr>
          <w:rFonts w:ascii="Times New Roman" w:hAnsi="Times New Roman" w:cs="Times New Roman"/>
          <w:sz w:val="28"/>
          <w:szCs w:val="28"/>
        </w:rPr>
        <w:t xml:space="preserve">general </w:t>
      </w:r>
      <w:r w:rsidRPr="00442E1D">
        <w:rPr>
          <w:rFonts w:ascii="Times New Roman" w:hAnsi="Times New Roman" w:cs="Times New Roman"/>
          <w:sz w:val="28"/>
          <w:szCs w:val="28"/>
        </w:rPr>
        <w:t>de copropietarios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cuyas decisiones, a su vez, pueden ser </w:t>
      </w:r>
      <w:r w:rsidRPr="00442E1D">
        <w:rPr>
          <w:rFonts w:ascii="Times New Roman" w:hAnsi="Times New Roman" w:cs="Times New Roman"/>
          <w:sz w:val="28"/>
          <w:szCs w:val="28"/>
        </w:rPr>
        <w:t xml:space="preserve">objeto de </w:t>
      </w:r>
      <w:r w:rsidRPr="00442E1D">
        <w:rPr>
          <w:rFonts w:ascii="Times New Roman" w:hAnsi="Times New Roman" w:cs="Times New Roman"/>
          <w:sz w:val="28"/>
          <w:szCs w:val="28"/>
        </w:rPr>
        <w:t>impugna</w:t>
      </w:r>
      <w:r w:rsidRPr="00442E1D">
        <w:rPr>
          <w:rFonts w:ascii="Times New Roman" w:hAnsi="Times New Roman" w:cs="Times New Roman"/>
          <w:sz w:val="28"/>
          <w:szCs w:val="28"/>
        </w:rPr>
        <w:t>ción</w:t>
      </w:r>
      <w:r w:rsidRPr="00442E1D">
        <w:rPr>
          <w:rFonts w:ascii="Times New Roman" w:hAnsi="Times New Roman" w:cs="Times New Roman"/>
          <w:sz w:val="28"/>
          <w:szCs w:val="28"/>
        </w:rPr>
        <w:t xml:space="preserve"> ante la jurisdicción ordinaria</w:t>
      </w:r>
      <w:r w:rsidRPr="00442E1D">
        <w:rPr>
          <w:rFonts w:ascii="Times New Roman" w:hAnsi="Times New Roman" w:cs="Times New Roman"/>
          <w:sz w:val="28"/>
          <w:szCs w:val="28"/>
        </w:rPr>
        <w:t xml:space="preserve"> civil</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mediante el proceso declarativo verbal de que trata </w:t>
      </w:r>
      <w:r w:rsidRPr="00442E1D">
        <w:rPr>
          <w:rFonts w:ascii="Times New Roman" w:hAnsi="Times New Roman" w:cs="Times New Roman"/>
          <w:sz w:val="28"/>
          <w:szCs w:val="28"/>
        </w:rPr>
        <w:t xml:space="preserve">el </w:t>
      </w:r>
      <w:r w:rsidRPr="00442E1D">
        <w:rPr>
          <w:rFonts w:ascii="Times New Roman" w:hAnsi="Times New Roman" w:cs="Times New Roman"/>
          <w:sz w:val="28"/>
          <w:szCs w:val="28"/>
        </w:rPr>
        <w:t>artículo 382 del Código General del Proceso</w:t>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Asimismo, en los casos donde estas prácticas impliquen un abuso del derecho en relaciones de consumo</w:t>
      </w:r>
      <w:r w:rsidRPr="00442E1D">
        <w:rPr>
          <w:rStyle w:val="Refdenotaalpie"/>
          <w:rFonts w:ascii="Times New Roman" w:hAnsi="Times New Roman" w:cs="Times New Roman"/>
          <w:sz w:val="28"/>
          <w:szCs w:val="28"/>
        </w:rPr>
        <w:footnoteReference w:id="34"/>
      </w:r>
      <w:r w:rsidRPr="00442E1D">
        <w:rPr>
          <w:rFonts w:ascii="Times New Roman" w:hAnsi="Times New Roman" w:cs="Times New Roman"/>
          <w:sz w:val="28"/>
          <w:szCs w:val="28"/>
        </w:rPr>
        <w:t>, es posible recurrir a la Superintendencia de Industria y Comercio, en ejercicio de la acción de protección a</w:t>
      </w:r>
      <w:r w:rsidRPr="00442E1D">
        <w:rPr>
          <w:rFonts w:ascii="Times New Roman" w:hAnsi="Times New Roman" w:cs="Times New Roman"/>
          <w:sz w:val="28"/>
          <w:szCs w:val="28"/>
        </w:rPr>
        <w:t>l consumidor (artículos 57 y siguientes de la Ley 1480 de 2011) o mediante la solicitud del inicio de una actuación administrativa sancionatoria (artículos 59 y siguientes de la Ley 1480 de 2011)</w:t>
      </w:r>
      <w:r w:rsidRPr="00442E1D">
        <w:rPr>
          <w:rStyle w:val="Refdenotaalpie"/>
          <w:rFonts w:ascii="Times New Roman" w:hAnsi="Times New Roman" w:cs="Times New Roman"/>
          <w:sz w:val="28"/>
          <w:szCs w:val="28"/>
        </w:rPr>
        <w:footnoteReference w:id="35"/>
      </w:r>
      <w:r w:rsidRPr="00442E1D">
        <w:rPr>
          <w:rFonts w:ascii="Times New Roman" w:hAnsi="Times New Roman" w:cs="Times New Roman"/>
          <w:sz w:val="28"/>
          <w:szCs w:val="28"/>
        </w:rPr>
        <w:t>.</w:t>
      </w:r>
      <w:r w:rsidRPr="00442E1D">
        <w:rPr>
          <w:rFonts w:ascii="Times New Roman" w:hAnsi="Times New Roman" w:cs="Times New Roman"/>
          <w:sz w:val="28"/>
          <w:szCs w:val="28"/>
        </w:rPr>
        <w:t xml:space="preserve"> En todo caso, se reitera, el control judicial de </w:t>
      </w:r>
      <w:r w:rsidRPr="00442E1D">
        <w:rPr>
          <w:rFonts w:ascii="Times New Roman" w:hAnsi="Times New Roman" w:cs="Times New Roman"/>
          <w:sz w:val="28"/>
          <w:szCs w:val="28"/>
        </w:rPr>
        <w:t xml:space="preserve">aquel </w:t>
      </w:r>
      <w:r w:rsidRPr="00442E1D">
        <w:rPr>
          <w:rFonts w:ascii="Times New Roman" w:hAnsi="Times New Roman" w:cs="Times New Roman"/>
          <w:sz w:val="28"/>
          <w:szCs w:val="28"/>
        </w:rPr>
        <w:t>tip</w:t>
      </w:r>
      <w:r w:rsidRPr="00442E1D">
        <w:rPr>
          <w:rFonts w:ascii="Times New Roman" w:hAnsi="Times New Roman" w:cs="Times New Roman"/>
          <w:sz w:val="28"/>
          <w:szCs w:val="28"/>
        </w:rPr>
        <w:t>o de cláusulas abusivas no es objeto de la acción de inconstitucionalidad sino de este otro tipo de actuaciones judiciales y administrativas que escapan a la competencia de la Corte Constitucional.</w:t>
      </w:r>
    </w:p>
    <w:p w:rsidR="00CA689C" w:rsidRPr="00442E1D" w:rsidRDefault="00442E1D" w:rsidP="00CA689C">
      <w:pPr>
        <w:pStyle w:val="Prrafodelista"/>
        <w:ind w:left="0"/>
        <w:jc w:val="both"/>
        <w:rPr>
          <w:rFonts w:ascii="Times New Roman" w:hAnsi="Times New Roman" w:cs="Times New Roman"/>
          <w:sz w:val="28"/>
          <w:szCs w:val="28"/>
        </w:rPr>
      </w:pPr>
    </w:p>
    <w:p w:rsidR="00157CB0" w:rsidRPr="00442E1D" w:rsidRDefault="00442E1D" w:rsidP="004B4EEF">
      <w:pPr>
        <w:pStyle w:val="Prrafodelista"/>
        <w:numPr>
          <w:ilvl w:val="0"/>
          <w:numId w:val="2"/>
        </w:numPr>
        <w:ind w:left="0" w:firstLine="0"/>
        <w:jc w:val="both"/>
        <w:rPr>
          <w:rFonts w:ascii="Times New Roman" w:hAnsi="Times New Roman" w:cs="Times New Roman"/>
          <w:sz w:val="28"/>
          <w:szCs w:val="28"/>
        </w:rPr>
      </w:pPr>
      <w:r w:rsidRPr="00442E1D">
        <w:rPr>
          <w:rFonts w:ascii="Times New Roman" w:hAnsi="Times New Roman" w:cs="Times New Roman"/>
          <w:sz w:val="28"/>
          <w:szCs w:val="28"/>
        </w:rPr>
        <w:t xml:space="preserve">Así, ante </w:t>
      </w:r>
      <w:r w:rsidRPr="00442E1D">
        <w:rPr>
          <w:rFonts w:ascii="Times New Roman" w:hAnsi="Times New Roman" w:cs="Times New Roman"/>
          <w:sz w:val="28"/>
          <w:szCs w:val="28"/>
        </w:rPr>
        <w:t xml:space="preserve">la </w:t>
      </w:r>
      <w:r w:rsidRPr="00442E1D">
        <w:rPr>
          <w:rFonts w:ascii="Times New Roman" w:hAnsi="Times New Roman" w:cs="Times New Roman"/>
          <w:sz w:val="28"/>
          <w:szCs w:val="28"/>
        </w:rPr>
        <w:t xml:space="preserve">falta de aptitud sustantiva de la demanda, </w:t>
      </w:r>
      <w:r w:rsidRPr="00442E1D">
        <w:rPr>
          <w:rFonts w:ascii="Times New Roman" w:hAnsi="Times New Roman" w:cs="Times New Roman"/>
          <w:sz w:val="28"/>
          <w:szCs w:val="28"/>
        </w:rPr>
        <w:t>al no acreditarse la</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 exigencia</w:t>
      </w:r>
      <w:r w:rsidRPr="00442E1D">
        <w:rPr>
          <w:rFonts w:ascii="Times New Roman" w:hAnsi="Times New Roman" w:cs="Times New Roman"/>
          <w:sz w:val="28"/>
          <w:szCs w:val="28"/>
        </w:rPr>
        <w:t>s</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de </w:t>
      </w:r>
      <w:r w:rsidRPr="00442E1D">
        <w:rPr>
          <w:rFonts w:ascii="Times New Roman" w:hAnsi="Times New Roman" w:cs="Times New Roman"/>
          <w:i/>
          <w:iCs/>
          <w:sz w:val="28"/>
          <w:szCs w:val="28"/>
        </w:rPr>
        <w:t>certeza</w:t>
      </w:r>
      <w:r w:rsidRPr="00442E1D">
        <w:rPr>
          <w:rFonts w:ascii="Times New Roman" w:hAnsi="Times New Roman" w:cs="Times New Roman"/>
          <w:sz w:val="28"/>
          <w:szCs w:val="28"/>
        </w:rPr>
        <w:t xml:space="preserve">, </w:t>
      </w:r>
      <w:r w:rsidRPr="00442E1D">
        <w:rPr>
          <w:rFonts w:ascii="Times New Roman" w:hAnsi="Times New Roman" w:cs="Times New Roman"/>
          <w:i/>
          <w:iCs/>
          <w:sz w:val="28"/>
          <w:szCs w:val="28"/>
        </w:rPr>
        <w:t xml:space="preserve">pertinencia </w:t>
      </w:r>
      <w:r w:rsidRPr="00442E1D">
        <w:rPr>
          <w:rFonts w:ascii="Times New Roman" w:hAnsi="Times New Roman" w:cs="Times New Roman"/>
          <w:sz w:val="28"/>
          <w:szCs w:val="28"/>
        </w:rPr>
        <w:t xml:space="preserve">y, por tanto, </w:t>
      </w:r>
      <w:r w:rsidRPr="00442E1D">
        <w:rPr>
          <w:rFonts w:ascii="Times New Roman" w:hAnsi="Times New Roman" w:cs="Times New Roman"/>
          <w:i/>
          <w:iCs/>
          <w:sz w:val="28"/>
          <w:szCs w:val="28"/>
        </w:rPr>
        <w:t>suficiencia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ya que el ciudadano no construye un cargo que genere una duda mínima sobre la constitucionalidad de la disposición acusada</w:t>
      </w:r>
      <w:r w:rsidRPr="00442E1D">
        <w:rPr>
          <w:rFonts w:ascii="Times New Roman" w:hAnsi="Times New Roman" w:cs="Times New Roman"/>
          <w:sz w:val="28"/>
          <w:szCs w:val="28"/>
        </w:rPr>
        <w:t>, la Sala se inhibirá de emitir un pronunciamiento</w:t>
      </w:r>
      <w:r w:rsidRPr="00442E1D">
        <w:rPr>
          <w:rFonts w:ascii="Times New Roman" w:hAnsi="Times New Roman" w:cs="Times New Roman"/>
          <w:sz w:val="28"/>
          <w:szCs w:val="28"/>
        </w:rPr>
        <w:t xml:space="preserve"> de fondo.</w:t>
      </w:r>
    </w:p>
    <w:p w:rsidR="00157CB0" w:rsidRPr="00442E1D" w:rsidRDefault="00442E1D" w:rsidP="005E068F">
      <w:pPr>
        <w:rPr>
          <w:rFonts w:ascii="Times New Roman" w:hAnsi="Times New Roman" w:cs="Times New Roman"/>
          <w:sz w:val="28"/>
          <w:szCs w:val="28"/>
        </w:rPr>
      </w:pPr>
    </w:p>
    <w:p w:rsidR="0080756E" w:rsidRPr="00442E1D" w:rsidRDefault="00442E1D" w:rsidP="003F7D77">
      <w:pPr>
        <w:pStyle w:val="Estilo1"/>
        <w:numPr>
          <w:ilvl w:val="0"/>
          <w:numId w:val="1"/>
        </w:numPr>
        <w:ind w:left="0" w:firstLine="0"/>
        <w:outlineLvl w:val="0"/>
        <w:rPr>
          <w:rStyle w:val="Ttulo1Car"/>
          <w:rFonts w:ascii="Times New Roman" w:hAnsi="Times New Roman" w:cs="Times New Roman"/>
          <w:color w:val="auto"/>
          <w:sz w:val="28"/>
          <w:szCs w:val="28"/>
        </w:rPr>
      </w:pPr>
      <w:r w:rsidRPr="00442E1D">
        <w:rPr>
          <w:rStyle w:val="Ttulo1Car"/>
          <w:rFonts w:ascii="Times New Roman" w:hAnsi="Times New Roman" w:cs="Times New Roman"/>
          <w:color w:val="auto"/>
          <w:sz w:val="28"/>
          <w:szCs w:val="28"/>
        </w:rPr>
        <w:t>DECISIÓN</w:t>
      </w:r>
    </w:p>
    <w:p w:rsidR="0080756E" w:rsidRPr="00442E1D" w:rsidRDefault="00442E1D" w:rsidP="003F7D77">
      <w:pPr>
        <w:jc w:val="both"/>
        <w:rPr>
          <w:rFonts w:ascii="Times New Roman" w:hAnsi="Times New Roman" w:cs="Times New Roman"/>
          <w:sz w:val="28"/>
          <w:szCs w:val="28"/>
        </w:rPr>
      </w:pPr>
    </w:p>
    <w:p w:rsidR="0080756E" w:rsidRPr="00442E1D" w:rsidRDefault="00442E1D" w:rsidP="003F7D77">
      <w:pPr>
        <w:jc w:val="both"/>
        <w:rPr>
          <w:rFonts w:ascii="Times New Roman" w:hAnsi="Times New Roman" w:cs="Times New Roman"/>
          <w:sz w:val="28"/>
          <w:szCs w:val="28"/>
        </w:rPr>
      </w:pPr>
      <w:r w:rsidRPr="00442E1D">
        <w:rPr>
          <w:rFonts w:ascii="Times New Roman" w:hAnsi="Times New Roman" w:cs="Times New Roman"/>
          <w:sz w:val="28"/>
          <w:szCs w:val="28"/>
        </w:rPr>
        <w:t>En mérito de lo expuesto, la Sala Plena de la Corte Constitucional, administrando justicia en nombre del pueblo y por mandato de la Constitución,</w:t>
      </w:r>
    </w:p>
    <w:p w:rsidR="00925CF4" w:rsidRPr="00442E1D" w:rsidRDefault="00442E1D" w:rsidP="003F7D77">
      <w:pPr>
        <w:rPr>
          <w:rFonts w:ascii="Times New Roman" w:hAnsi="Times New Roman" w:cs="Times New Roman"/>
          <w:b/>
          <w:sz w:val="28"/>
          <w:szCs w:val="28"/>
        </w:rPr>
      </w:pPr>
    </w:p>
    <w:p w:rsidR="00B64965" w:rsidRPr="00442E1D" w:rsidRDefault="00442E1D" w:rsidP="003F7D77">
      <w:pPr>
        <w:rPr>
          <w:rFonts w:ascii="Times New Roman" w:hAnsi="Times New Roman" w:cs="Times New Roman"/>
          <w:b/>
          <w:sz w:val="28"/>
          <w:szCs w:val="28"/>
        </w:rPr>
      </w:pPr>
    </w:p>
    <w:p w:rsidR="0080756E" w:rsidRPr="00442E1D" w:rsidRDefault="00442E1D" w:rsidP="003F7D77">
      <w:pPr>
        <w:jc w:val="center"/>
        <w:rPr>
          <w:rFonts w:ascii="Times New Roman" w:hAnsi="Times New Roman" w:cs="Times New Roman"/>
          <w:b/>
          <w:sz w:val="28"/>
          <w:szCs w:val="28"/>
        </w:rPr>
      </w:pPr>
      <w:r w:rsidRPr="00442E1D">
        <w:rPr>
          <w:rFonts w:ascii="Times New Roman" w:hAnsi="Times New Roman" w:cs="Times New Roman"/>
          <w:b/>
          <w:sz w:val="28"/>
          <w:szCs w:val="28"/>
        </w:rPr>
        <w:t>RESUELVE</w:t>
      </w:r>
    </w:p>
    <w:p w:rsidR="0080756E" w:rsidRPr="00442E1D" w:rsidRDefault="00442E1D" w:rsidP="003F7D77">
      <w:pPr>
        <w:jc w:val="both"/>
        <w:rPr>
          <w:rFonts w:ascii="Times New Roman" w:hAnsi="Times New Roman" w:cs="Times New Roman"/>
          <w:sz w:val="28"/>
          <w:szCs w:val="28"/>
        </w:rPr>
      </w:pPr>
    </w:p>
    <w:p w:rsidR="00960CF8" w:rsidRPr="00442E1D" w:rsidRDefault="00442E1D" w:rsidP="007561AB">
      <w:pPr>
        <w:jc w:val="both"/>
        <w:rPr>
          <w:rFonts w:ascii="Times New Roman" w:hAnsi="Times New Roman" w:cs="Times New Roman"/>
          <w:sz w:val="28"/>
          <w:szCs w:val="28"/>
          <w:lang w:val="es-ES"/>
        </w:rPr>
      </w:pPr>
      <w:bookmarkStart w:id="3" w:name="_Hlk113003102"/>
      <w:bookmarkStart w:id="4" w:name="_Hlk9514800"/>
      <w:r w:rsidRPr="00442E1D">
        <w:rPr>
          <w:rFonts w:ascii="Times New Roman" w:hAnsi="Times New Roman" w:cs="Times New Roman"/>
          <w:b/>
          <w:bCs/>
          <w:sz w:val="28"/>
          <w:szCs w:val="28"/>
        </w:rPr>
        <w:t>INHIBIRSE</w:t>
      </w:r>
      <w:r w:rsidRPr="00442E1D">
        <w:rPr>
          <w:rFonts w:ascii="Times New Roman" w:hAnsi="Times New Roman" w:cs="Times New Roman"/>
          <w:sz w:val="28"/>
          <w:szCs w:val="28"/>
        </w:rPr>
        <w:t xml:space="preserve"> de emitir un</w:t>
      </w:r>
      <w:r w:rsidRPr="00442E1D">
        <w:rPr>
          <w:rFonts w:ascii="Times New Roman" w:hAnsi="Times New Roman" w:cs="Times New Roman"/>
          <w:sz w:val="28"/>
          <w:szCs w:val="28"/>
        </w:rPr>
        <w:t>a</w:t>
      </w:r>
      <w:r w:rsidRPr="00442E1D">
        <w:rPr>
          <w:rFonts w:ascii="Times New Roman" w:hAnsi="Times New Roman" w:cs="Times New Roman"/>
          <w:sz w:val="28"/>
          <w:szCs w:val="28"/>
        </w:rPr>
        <w:t xml:space="preserve"> </w:t>
      </w:r>
      <w:r w:rsidRPr="00442E1D">
        <w:rPr>
          <w:rFonts w:ascii="Times New Roman" w:hAnsi="Times New Roman" w:cs="Times New Roman"/>
          <w:sz w:val="28"/>
          <w:szCs w:val="28"/>
        </w:rPr>
        <w:t xml:space="preserve">decisión </w:t>
      </w:r>
      <w:r w:rsidRPr="00442E1D">
        <w:rPr>
          <w:rFonts w:ascii="Times New Roman" w:hAnsi="Times New Roman" w:cs="Times New Roman"/>
          <w:sz w:val="28"/>
          <w:szCs w:val="28"/>
        </w:rPr>
        <w:t xml:space="preserve">de fondo respecto de los cargos formulados contra </w:t>
      </w:r>
      <w:r w:rsidRPr="00442E1D">
        <w:rPr>
          <w:rFonts w:ascii="Times New Roman" w:hAnsi="Times New Roman" w:cs="Times New Roman"/>
          <w:sz w:val="28"/>
          <w:szCs w:val="28"/>
        </w:rPr>
        <w:t xml:space="preserve">la expresión “de acuerdo con el reglamento de propiedad horizontal”, contenida en el artículo 29 de la Ley 675 de 2001, </w:t>
      </w:r>
      <w:r w:rsidRPr="00442E1D">
        <w:rPr>
          <w:rFonts w:ascii="Times New Roman" w:hAnsi="Times New Roman" w:cs="Times New Roman"/>
          <w:sz w:val="28"/>
          <w:szCs w:val="28"/>
        </w:rPr>
        <w:t>por las razones expuestas en la parte motiva</w:t>
      </w:r>
      <w:r w:rsidRPr="00442E1D">
        <w:rPr>
          <w:rFonts w:ascii="Times New Roman" w:hAnsi="Times New Roman" w:cs="Times New Roman"/>
          <w:sz w:val="28"/>
          <w:szCs w:val="28"/>
        </w:rPr>
        <w:t xml:space="preserve"> de esta providencia</w:t>
      </w:r>
      <w:r w:rsidRPr="00442E1D">
        <w:rPr>
          <w:rFonts w:ascii="Times New Roman" w:hAnsi="Times New Roman" w:cs="Times New Roman"/>
          <w:sz w:val="28"/>
          <w:szCs w:val="28"/>
        </w:rPr>
        <w:t>.</w:t>
      </w:r>
      <w:bookmarkEnd w:id="3"/>
    </w:p>
    <w:p w:rsidR="00960CF8" w:rsidRPr="00442E1D" w:rsidRDefault="00442E1D" w:rsidP="003F7D77">
      <w:pPr>
        <w:jc w:val="both"/>
        <w:rPr>
          <w:rFonts w:ascii="Times New Roman" w:hAnsi="Times New Roman" w:cs="Times New Roman"/>
          <w:sz w:val="28"/>
          <w:szCs w:val="28"/>
        </w:rPr>
      </w:pPr>
    </w:p>
    <w:bookmarkEnd w:id="4"/>
    <w:p w:rsidR="00960CF8" w:rsidRPr="00442E1D" w:rsidRDefault="00442E1D" w:rsidP="003F7D77">
      <w:pPr>
        <w:pStyle w:val="MediumShading1-Accent11"/>
        <w:jc w:val="both"/>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 xml:space="preserve">Notifíquese, </w:t>
      </w:r>
      <w:r w:rsidRPr="00442E1D">
        <w:rPr>
          <w:rFonts w:ascii="Times New Roman" w:hAnsi="Times New Roman" w:cs="Times New Roman"/>
          <w:color w:val="auto"/>
          <w:sz w:val="28"/>
          <w:szCs w:val="28"/>
          <w:shd w:val="clear" w:color="auto" w:fill="FFFFFF"/>
        </w:rPr>
        <w:t>comuníquese, publíquese y cúmplase,</w:t>
      </w:r>
    </w:p>
    <w:p w:rsidR="00AF5F3F" w:rsidRPr="00442E1D" w:rsidRDefault="00442E1D" w:rsidP="003F7D77">
      <w:pPr>
        <w:pStyle w:val="MediumShading1-Accent11"/>
        <w:jc w:val="both"/>
        <w:rPr>
          <w:rFonts w:ascii="Times New Roman" w:hAnsi="Times New Roman" w:cs="Times New Roman"/>
          <w:color w:val="auto"/>
          <w:sz w:val="28"/>
          <w:szCs w:val="28"/>
          <w:shd w:val="clear" w:color="auto" w:fill="FFFFFF"/>
        </w:rPr>
      </w:pPr>
    </w:p>
    <w:p w:rsidR="00AF5F3F" w:rsidRPr="00442E1D" w:rsidRDefault="00442E1D" w:rsidP="003F7D77">
      <w:pPr>
        <w:pStyle w:val="MediumShading1-Accent11"/>
        <w:jc w:val="both"/>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JOSE FERNANDO REYES CUARTAS</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Presidente</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Ausente con comisión</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NATALIA ÁNGEL CABO</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Magistrada</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JUAN CARLOS CORTÉS GONZÁLEZ</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Magistrado</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DIANA FAJARDO RIVERA</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Magistrada</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VLADIMIR FERNÁNDEZ ANDRADE</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Magistrado</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 xml:space="preserve">JORGE ENRIQUE IBÁÑEZ NAJAR </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Magistrado</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ANTONIO JOSÉ LIZARAZO OCAMPO</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Magistrado</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PAOLA ANDREA MENESES MOSQUERA</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Magistrada</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CRISTINA PARDO SCHLESINGER</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Magistrada</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ANDREA LILIANA ROMERO LOPEZ</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r w:rsidRPr="00442E1D">
        <w:rPr>
          <w:rFonts w:ascii="Times New Roman" w:hAnsi="Times New Roman" w:cs="Times New Roman"/>
          <w:color w:val="auto"/>
          <w:sz w:val="28"/>
          <w:szCs w:val="28"/>
          <w:shd w:val="clear" w:color="auto" w:fill="FFFFFF"/>
        </w:rPr>
        <w:t>Secretaria General</w:t>
      </w: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p w:rsidR="00AF5F3F" w:rsidRPr="00442E1D" w:rsidRDefault="00442E1D" w:rsidP="00AF5F3F">
      <w:pPr>
        <w:pStyle w:val="MediumShading1-Accent11"/>
        <w:jc w:val="center"/>
        <w:rPr>
          <w:rFonts w:ascii="Times New Roman" w:hAnsi="Times New Roman" w:cs="Times New Roman"/>
          <w:color w:val="auto"/>
          <w:sz w:val="28"/>
          <w:szCs w:val="28"/>
          <w:shd w:val="clear" w:color="auto" w:fill="FFFFFF"/>
        </w:rPr>
      </w:pPr>
    </w:p>
    <w:sectPr w:rsidR="00AF5F3F" w:rsidRPr="00442E1D">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42E1D">
      <w:pPr>
        <w:spacing w:after="0" w:line="240" w:lineRule="auto"/>
      </w:pPr>
      <w:r>
        <w:separator/>
      </w:r>
    </w:p>
  </w:endnote>
  <w:endnote w:type="continuationSeparator" w:id="0">
    <w:p w:rsidR="00000000" w:rsidRDefault="00442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42E1D">
      <w:pPr>
        <w:spacing w:after="0" w:line="240" w:lineRule="auto"/>
      </w:pPr>
      <w:r>
        <w:separator/>
      </w:r>
    </w:p>
  </w:footnote>
  <w:footnote w:type="continuationSeparator" w:id="0">
    <w:p w:rsidR="00000000" w:rsidRDefault="00442E1D">
      <w:pPr>
        <w:spacing w:after="0" w:line="240" w:lineRule="auto"/>
      </w:pPr>
      <w:r>
        <w:continuationSeparator/>
      </w:r>
    </w:p>
  </w:footnote>
  <w:footnote w:id="1">
    <w:p w:rsidR="009706FB" w:rsidRPr="00DF63C5" w:rsidRDefault="00442E1D" w:rsidP="0073036F">
      <w:pPr>
        <w:pStyle w:val="Textonotapie"/>
        <w:jc w:val="both"/>
        <w:rPr>
          <w:lang w:val="es-ES"/>
        </w:rPr>
      </w:pPr>
      <w:r w:rsidRPr="00DF63C5">
        <w:rPr>
          <w:rStyle w:val="Refdenotaalpie"/>
        </w:rPr>
        <w:footnoteRef/>
      </w:r>
      <w:r w:rsidRPr="00DF63C5">
        <w:t xml:space="preserve"> </w:t>
      </w:r>
      <w:r w:rsidRPr="00DF63C5">
        <w:rPr>
          <w:lang w:val="es-ES"/>
        </w:rPr>
        <w:t>“Por medio de la cual se expide</w:t>
      </w:r>
      <w:r w:rsidRPr="00DF63C5">
        <w:rPr>
          <w:lang w:val="es-ES"/>
        </w:rPr>
        <w:t xml:space="preserve"> el régimen de propiedad horizontal”.</w:t>
      </w:r>
    </w:p>
  </w:footnote>
  <w:footnote w:id="2">
    <w:p w:rsidR="00456375" w:rsidRPr="00DF63C5" w:rsidRDefault="00442E1D" w:rsidP="0073036F">
      <w:pPr>
        <w:pStyle w:val="Textonotapie"/>
        <w:jc w:val="both"/>
        <w:rPr>
          <w:lang w:val="es-ES"/>
        </w:rPr>
      </w:pPr>
      <w:r w:rsidRPr="00DF63C5">
        <w:rPr>
          <w:rStyle w:val="Refdenotaalpie"/>
          <w:lang w:val="es-ES"/>
        </w:rPr>
        <w:footnoteRef/>
      </w:r>
      <w:r w:rsidRPr="00DF63C5">
        <w:rPr>
          <w:lang w:val="es-ES"/>
        </w:rPr>
        <w:t xml:space="preserve"> </w:t>
      </w:r>
      <w:r w:rsidRPr="00DF63C5">
        <w:rPr>
          <w:lang w:val="es-ES"/>
        </w:rPr>
        <w:t xml:space="preserve">La demanda fue admitida </w:t>
      </w:r>
      <w:r w:rsidRPr="00DF63C5">
        <w:rPr>
          <w:lang w:val="es-ES"/>
        </w:rPr>
        <w:t>por la presunta vulneración de los artículos 1 y 13 de la</w:t>
      </w:r>
      <w:r w:rsidRPr="00DF63C5">
        <w:rPr>
          <w:lang w:val="es-ES"/>
        </w:rPr>
        <w:t xml:space="preserve"> Constitución, </w:t>
      </w:r>
      <w:r w:rsidRPr="00DF63C5">
        <w:rPr>
          <w:lang w:val="es-ES"/>
        </w:rPr>
        <w:t xml:space="preserve">mediante los autos de </w:t>
      </w:r>
      <w:r w:rsidRPr="00DF63C5">
        <w:rPr>
          <w:lang w:val="es-ES"/>
        </w:rPr>
        <w:t>marzo 1</w:t>
      </w:r>
      <w:r w:rsidRPr="00DF63C5">
        <w:rPr>
          <w:lang w:val="es-ES"/>
        </w:rPr>
        <w:t xml:space="preserve">5, </w:t>
      </w:r>
      <w:r w:rsidRPr="00DF63C5">
        <w:rPr>
          <w:lang w:val="es-ES"/>
        </w:rPr>
        <w:t xml:space="preserve">abril </w:t>
      </w:r>
      <w:r w:rsidRPr="00DF63C5">
        <w:rPr>
          <w:lang w:val="es-ES"/>
        </w:rPr>
        <w:t xml:space="preserve">15 y mayo 8 </w:t>
      </w:r>
      <w:r w:rsidRPr="00DF63C5">
        <w:rPr>
          <w:lang w:val="es-ES"/>
        </w:rPr>
        <w:t>de 2024</w:t>
      </w:r>
      <w:r w:rsidRPr="00DF63C5">
        <w:rPr>
          <w:lang w:val="es-ES"/>
        </w:rPr>
        <w:t>.</w:t>
      </w:r>
      <w:r w:rsidRPr="00DF63C5">
        <w:rPr>
          <w:lang w:val="es-ES"/>
        </w:rPr>
        <w:t xml:space="preserve"> En este último</w:t>
      </w:r>
      <w:r w:rsidRPr="00DF63C5">
        <w:rPr>
          <w:lang w:val="es-ES"/>
        </w:rPr>
        <w:t xml:space="preserve">, además, el magistrado sustanciador ordenó: (i) comunicar el inicio del proceso </w:t>
      </w:r>
      <w:r w:rsidRPr="00DF63C5">
        <w:rPr>
          <w:lang w:val="es-ES"/>
        </w:rPr>
        <w:t>al presidente del Congreso y a los ministros de Vivienda, Ciudad y Territorio, de Comercio, Industria y Turismo y de Justicia y del Derecho</w:t>
      </w:r>
      <w:r w:rsidRPr="00DF63C5">
        <w:rPr>
          <w:lang w:val="es-ES"/>
        </w:rPr>
        <w:t xml:space="preserve">; </w:t>
      </w:r>
      <w:r w:rsidRPr="00DF63C5">
        <w:rPr>
          <w:lang w:val="es-ES"/>
        </w:rPr>
        <w:t>(ii) correr traslado para que la P</w:t>
      </w:r>
      <w:r w:rsidRPr="00DF63C5">
        <w:rPr>
          <w:lang w:val="es-ES"/>
        </w:rPr>
        <w:t xml:space="preserve">rocuradora General de la Nación rindiera </w:t>
      </w:r>
      <w:r w:rsidRPr="00DF63C5">
        <w:rPr>
          <w:lang w:val="es-ES"/>
        </w:rPr>
        <w:t xml:space="preserve">su </w:t>
      </w:r>
      <w:r w:rsidRPr="00DF63C5">
        <w:rPr>
          <w:lang w:val="es-ES"/>
        </w:rPr>
        <w:t>concepto y (iii) fijar en lista el proceso. Así mismo, invitó a participar a varias entidades, organizaciones y universidades.</w:t>
      </w:r>
    </w:p>
  </w:footnote>
  <w:footnote w:id="3">
    <w:p w:rsidR="004266F2" w:rsidRPr="00DF63C5" w:rsidRDefault="00442E1D" w:rsidP="0073036F">
      <w:pPr>
        <w:ind w:right="618"/>
        <w:jc w:val="both"/>
      </w:pPr>
      <w:r w:rsidRPr="00DF63C5">
        <w:rPr>
          <w:rStyle w:val="Refdenotaalpie"/>
        </w:rPr>
        <w:footnoteRef/>
      </w:r>
      <w:r w:rsidRPr="00DF63C5">
        <w:t xml:space="preserve"> Diario Oficial n.° 44.509 de 4 de agosto de 2001.</w:t>
      </w:r>
    </w:p>
  </w:footnote>
  <w:footnote w:id="4">
    <w:p w:rsidR="00A522BE" w:rsidRPr="00DF63C5" w:rsidRDefault="00442E1D" w:rsidP="0073036F">
      <w:pPr>
        <w:pStyle w:val="Textonotapie"/>
        <w:jc w:val="both"/>
      </w:pPr>
      <w:r w:rsidRPr="00DF63C5">
        <w:rPr>
          <w:rStyle w:val="Refdenotaalpie"/>
        </w:rPr>
        <w:footnoteRef/>
      </w:r>
      <w:r w:rsidRPr="00DF63C5">
        <w:t xml:space="preserve"> </w:t>
      </w:r>
      <w:r w:rsidRPr="00DF63C5">
        <w:t>Escrito de corrección de la dem</w:t>
      </w:r>
      <w:r w:rsidRPr="00DF63C5">
        <w:t>anda, p. 5</w:t>
      </w:r>
      <w:r w:rsidRPr="00DF63C5">
        <w:t xml:space="preserve">.  </w:t>
      </w:r>
    </w:p>
  </w:footnote>
  <w:footnote w:id="5">
    <w:p w:rsidR="00A522BE" w:rsidRPr="00DF63C5" w:rsidRDefault="00442E1D" w:rsidP="0073036F">
      <w:pPr>
        <w:pStyle w:val="Textonotapie"/>
        <w:jc w:val="both"/>
      </w:pPr>
      <w:r w:rsidRPr="00DF63C5">
        <w:rPr>
          <w:rStyle w:val="Refdenotaalpie"/>
        </w:rPr>
        <w:footnoteRef/>
      </w:r>
      <w:r w:rsidRPr="00DF63C5">
        <w:t xml:space="preserve"> </w:t>
      </w:r>
      <w:r w:rsidRPr="00DF63C5">
        <w:t xml:space="preserve">Ibid., </w:t>
      </w:r>
      <w:r w:rsidRPr="00DF63C5">
        <w:t>p. 6.</w:t>
      </w:r>
    </w:p>
  </w:footnote>
  <w:footnote w:id="6">
    <w:p w:rsidR="00A010FD" w:rsidRPr="00DF63C5" w:rsidRDefault="00442E1D" w:rsidP="0073036F">
      <w:pPr>
        <w:pStyle w:val="Textonotapie"/>
        <w:jc w:val="both"/>
        <w:rPr>
          <w:lang w:val="es-ES"/>
        </w:rPr>
      </w:pPr>
      <w:r w:rsidRPr="00DF63C5">
        <w:rPr>
          <w:rStyle w:val="Refdenotaalpie"/>
        </w:rPr>
        <w:footnoteRef/>
      </w:r>
      <w:r w:rsidRPr="00DF63C5">
        <w:rPr>
          <w:lang w:val="es-ES"/>
        </w:rPr>
        <w:t xml:space="preserve"> </w:t>
      </w:r>
      <w:r w:rsidRPr="00DF63C5">
        <w:rPr>
          <w:lang w:val="es-ES"/>
        </w:rPr>
        <w:t xml:space="preserve">Para el demandante, esta </w:t>
      </w:r>
      <w:r w:rsidRPr="00DF63C5">
        <w:t xml:space="preserve">permisión desconoce “los presupuestos de convivenci[a] y solidaridad que orienta[n] la propiedad horizontal”. </w:t>
      </w:r>
      <w:r w:rsidRPr="00DF63C5">
        <w:rPr>
          <w:lang w:val="es-ES"/>
        </w:rPr>
        <w:t>Ibid</w:t>
      </w:r>
      <w:r w:rsidRPr="00DF63C5">
        <w:rPr>
          <w:lang w:val="es-ES"/>
        </w:rPr>
        <w:t>., p. 8</w:t>
      </w:r>
      <w:r w:rsidRPr="00DF63C5">
        <w:rPr>
          <w:lang w:val="es-ES"/>
        </w:rPr>
        <w:t>.</w:t>
      </w:r>
    </w:p>
  </w:footnote>
  <w:footnote w:id="7">
    <w:p w:rsidR="00A010FD" w:rsidRPr="00DF63C5" w:rsidRDefault="00442E1D" w:rsidP="0073036F">
      <w:pPr>
        <w:pStyle w:val="Textonotapie"/>
        <w:jc w:val="both"/>
        <w:rPr>
          <w:lang w:val="es-ES"/>
        </w:rPr>
      </w:pPr>
      <w:r w:rsidRPr="00DF63C5">
        <w:rPr>
          <w:rStyle w:val="Refdenotaalpie"/>
        </w:rPr>
        <w:footnoteRef/>
      </w:r>
      <w:r w:rsidRPr="00DF63C5">
        <w:rPr>
          <w:lang w:val="es-ES"/>
        </w:rPr>
        <w:t xml:space="preserve"> Ibid.</w:t>
      </w:r>
    </w:p>
  </w:footnote>
  <w:footnote w:id="8">
    <w:p w:rsidR="004C24A6" w:rsidRPr="00DF63C5" w:rsidRDefault="00442E1D" w:rsidP="0073036F">
      <w:pPr>
        <w:pStyle w:val="Textonotapie"/>
        <w:jc w:val="both"/>
      </w:pPr>
      <w:r w:rsidRPr="00DF63C5">
        <w:rPr>
          <w:rStyle w:val="Refdenotaalpie"/>
        </w:rPr>
        <w:footnoteRef/>
      </w:r>
      <w:r w:rsidRPr="00DF63C5">
        <w:t xml:space="preserve"> Escrito de corrección</w:t>
      </w:r>
      <w:r w:rsidRPr="00DF63C5">
        <w:t xml:space="preserve"> de la demanda</w:t>
      </w:r>
      <w:r w:rsidRPr="00DF63C5">
        <w:t>, p. 11.</w:t>
      </w:r>
    </w:p>
  </w:footnote>
  <w:footnote w:id="9">
    <w:p w:rsidR="004C24A6" w:rsidRPr="00DF63C5" w:rsidRDefault="00442E1D" w:rsidP="0073036F">
      <w:pPr>
        <w:pStyle w:val="Textonotapie"/>
        <w:jc w:val="both"/>
        <w:rPr>
          <w:lang w:val="en-US"/>
        </w:rPr>
      </w:pPr>
      <w:r w:rsidRPr="00DF63C5">
        <w:rPr>
          <w:rStyle w:val="Refdenotaalpie"/>
        </w:rPr>
        <w:footnoteRef/>
      </w:r>
      <w:r w:rsidRPr="00DF63C5">
        <w:rPr>
          <w:lang w:val="en-US"/>
        </w:rPr>
        <w:t xml:space="preserve"> </w:t>
      </w:r>
      <w:r w:rsidRPr="00DF63C5">
        <w:rPr>
          <w:lang w:val="en-US"/>
        </w:rPr>
        <w:t>Ibid., p. 12.</w:t>
      </w:r>
    </w:p>
  </w:footnote>
  <w:footnote w:id="10">
    <w:p w:rsidR="004C24A6" w:rsidRPr="00DF63C5" w:rsidRDefault="00442E1D" w:rsidP="0073036F">
      <w:pPr>
        <w:pStyle w:val="Textonotapie"/>
        <w:jc w:val="both"/>
        <w:rPr>
          <w:lang w:val="en-US"/>
        </w:rPr>
      </w:pPr>
      <w:r w:rsidRPr="00DF63C5">
        <w:rPr>
          <w:rStyle w:val="Refdenotaalpie"/>
        </w:rPr>
        <w:footnoteRef/>
      </w:r>
      <w:r w:rsidRPr="00DF63C5">
        <w:rPr>
          <w:lang w:val="en-US"/>
        </w:rPr>
        <w:t xml:space="preserve"> </w:t>
      </w:r>
      <w:r w:rsidRPr="00DF63C5">
        <w:rPr>
          <w:lang w:val="en-US"/>
        </w:rPr>
        <w:t>Ibid.</w:t>
      </w:r>
      <w:r w:rsidRPr="00DF63C5">
        <w:rPr>
          <w:lang w:val="en-US"/>
        </w:rPr>
        <w:t>, p. 13.</w:t>
      </w:r>
    </w:p>
  </w:footnote>
  <w:footnote w:id="11">
    <w:p w:rsidR="004C24A6" w:rsidRPr="00DF63C5" w:rsidRDefault="00442E1D" w:rsidP="0073036F">
      <w:pPr>
        <w:pStyle w:val="Textonotapie"/>
        <w:jc w:val="both"/>
        <w:rPr>
          <w:lang w:val="en-US"/>
        </w:rPr>
      </w:pPr>
      <w:r w:rsidRPr="00DF63C5">
        <w:rPr>
          <w:rStyle w:val="Refdenotaalpie"/>
        </w:rPr>
        <w:footnoteRef/>
      </w:r>
      <w:r w:rsidRPr="00DF63C5">
        <w:rPr>
          <w:lang w:val="en-US"/>
        </w:rPr>
        <w:t xml:space="preserve"> Ibid.</w:t>
      </w:r>
    </w:p>
  </w:footnote>
  <w:footnote w:id="12">
    <w:p w:rsidR="004C24A6" w:rsidRPr="00DF63C5" w:rsidRDefault="00442E1D" w:rsidP="0073036F">
      <w:pPr>
        <w:pStyle w:val="Textonotapie"/>
        <w:jc w:val="both"/>
      </w:pPr>
      <w:r w:rsidRPr="00DF63C5">
        <w:rPr>
          <w:rStyle w:val="Refdenotaalpie"/>
        </w:rPr>
        <w:footnoteRef/>
      </w:r>
      <w:r w:rsidRPr="00DF63C5">
        <w:t xml:space="preserve"> Ibid. </w:t>
      </w:r>
    </w:p>
  </w:footnote>
  <w:footnote w:id="13">
    <w:p w:rsidR="006506F2" w:rsidRPr="00DF63C5" w:rsidRDefault="00442E1D" w:rsidP="0073036F">
      <w:pPr>
        <w:pStyle w:val="Textonotapie"/>
        <w:jc w:val="both"/>
      </w:pPr>
      <w:r w:rsidRPr="00DF63C5">
        <w:rPr>
          <w:rStyle w:val="Refdenotaalpie"/>
        </w:rPr>
        <w:footnoteRef/>
      </w:r>
      <w:r w:rsidRPr="00DF63C5">
        <w:t xml:space="preserve"> El artículo 242.1 de la Constitución y el artículo 7 del Decreto 2067 de 1991 reconocen a los ciudadanos el derecho procesal de intervenir en los trámites de constitucionalidad que se surten ante la Corte, con la finalidad de impugnar o defender las norma</w:t>
      </w:r>
      <w:r w:rsidRPr="00DF63C5">
        <w:t>s objeto de revisión.</w:t>
      </w:r>
    </w:p>
  </w:footnote>
  <w:footnote w:id="14">
    <w:p w:rsidR="006506F2" w:rsidRPr="00DF63C5" w:rsidRDefault="00442E1D" w:rsidP="0073036F">
      <w:pPr>
        <w:pStyle w:val="Textonotapie"/>
        <w:jc w:val="both"/>
      </w:pPr>
      <w:r w:rsidRPr="00DF63C5">
        <w:rPr>
          <w:rStyle w:val="Refdenotaalpie"/>
        </w:rPr>
        <w:footnoteRef/>
      </w:r>
      <w:r w:rsidRPr="00DF63C5">
        <w:t xml:space="preserve"> El demandante en el presente proceso también presentó intervención ciudadana. Si bien, se recibió de manera extemporánea, la Sala precisa que esta no puede ser objeto de valoración, no solo por esta razón, sino principalmente porque</w:t>
      </w:r>
      <w:r w:rsidRPr="00DF63C5">
        <w:t xml:space="preserve"> el impulso procesal correspondió al ejercicio de un derecho político, de allí que, en dicha actuación procesal ejerció plenamente esta garantía constitucional, sin que intervenciones posteriores puedan buscar precisar o subsanar los contenidos de la deman</w:t>
      </w:r>
      <w:r w:rsidRPr="00DF63C5">
        <w:t>da. Por esta razón, la Corte no se referirá a su intervención.</w:t>
      </w:r>
    </w:p>
  </w:footnote>
  <w:footnote w:id="15">
    <w:p w:rsidR="006506F2" w:rsidRPr="00DF63C5" w:rsidRDefault="00442E1D" w:rsidP="0073036F">
      <w:pPr>
        <w:pStyle w:val="Textonotapie"/>
        <w:jc w:val="both"/>
      </w:pPr>
      <w:r w:rsidRPr="00DF63C5">
        <w:rPr>
          <w:rStyle w:val="Refdenotaalpie"/>
        </w:rPr>
        <w:footnoteRef/>
      </w:r>
      <w:r w:rsidRPr="00DF63C5">
        <w:t xml:space="preserve"> Indica actuar en calidad de interviniente ciudadano.</w:t>
      </w:r>
    </w:p>
  </w:footnote>
  <w:footnote w:id="16">
    <w:p w:rsidR="006506F2" w:rsidRPr="00DF63C5" w:rsidRDefault="00442E1D" w:rsidP="0073036F">
      <w:pPr>
        <w:pStyle w:val="Textonotapie"/>
        <w:jc w:val="both"/>
      </w:pPr>
      <w:r w:rsidRPr="00DF63C5">
        <w:rPr>
          <w:rStyle w:val="Refdenotaalpie"/>
        </w:rPr>
        <w:footnoteRef/>
      </w:r>
      <w:r w:rsidRPr="00DF63C5">
        <w:t xml:space="preserve"> Los artículos 244 de la Constitución y 11 del Decreto 2067 de 1991 disponen que es deber de la Corte Constitucional comunicar “al Presid</w:t>
      </w:r>
      <w:r w:rsidRPr="00DF63C5">
        <w:t>ente de la República o al Presidente del Congreso, según el caso, la iniciación de cualquier proceso que tenga por objeto el examen de constitucionalidad de normas dictadas por ellos”. Esta comunicación, que se debe extender en el auto admisorio de la dema</w:t>
      </w:r>
      <w:r w:rsidRPr="00DF63C5">
        <w:t>nda, pretende que las respectivas autoridades rindan su concepto para justificar “la constitucionalidad de las normas sometidas a control” (apartado final del inciso segundo del artículo 11 del Decreto 2067 de 1991), la cual también puede hacerse extensiva</w:t>
      </w:r>
      <w:r w:rsidRPr="00DF63C5">
        <w:t xml:space="preserve"> “a los organismos o entidades del Estado que hubieren participado en la elaboración o expedición de la norma” (apartado inicial de la norma en cita).</w:t>
      </w:r>
    </w:p>
  </w:footnote>
  <w:footnote w:id="17">
    <w:p w:rsidR="006506F2" w:rsidRPr="00DF63C5" w:rsidRDefault="00442E1D" w:rsidP="0073036F">
      <w:pPr>
        <w:pStyle w:val="Textonotapie"/>
        <w:jc w:val="both"/>
      </w:pPr>
      <w:r w:rsidRPr="00DF63C5">
        <w:rPr>
          <w:rStyle w:val="Refdenotaalpie"/>
        </w:rPr>
        <w:footnoteRef/>
      </w:r>
      <w:r w:rsidRPr="00DF63C5">
        <w:t xml:space="preserve"> El artículo 13 del Decreto 2067 de 1991 faculta al magistrado sustanciador para invitar “a entidades pú</w:t>
      </w:r>
      <w:r w:rsidRPr="00DF63C5">
        <w:t>blicas, a organizaciones privadas y a expertos en las materias relacionadas con el tema del proceso” a conceptuar sobre aspectos relevantes para la elaboración del proyecto de fallo.</w:t>
      </w:r>
    </w:p>
  </w:footnote>
  <w:footnote w:id="18">
    <w:p w:rsidR="00E92D54" w:rsidRPr="00DF63C5" w:rsidRDefault="00442E1D" w:rsidP="0073036F">
      <w:pPr>
        <w:pStyle w:val="Textonotapie"/>
        <w:jc w:val="both"/>
      </w:pPr>
      <w:r w:rsidRPr="00DF63C5">
        <w:rPr>
          <w:rStyle w:val="Refdenotaalpie"/>
        </w:rPr>
        <w:footnoteRef/>
      </w:r>
      <w:r w:rsidRPr="00DF63C5">
        <w:t xml:space="preserve"> La Sala se refiere al contenido del concepto en el título IV </w:t>
      </w:r>
      <w:r w:rsidRPr="00DF63C5">
        <w:rPr>
          <w:i/>
          <w:iCs/>
        </w:rPr>
        <w:t>infra</w:t>
      </w:r>
      <w:r w:rsidRPr="00DF63C5">
        <w:t>.</w:t>
      </w:r>
    </w:p>
  </w:footnote>
  <w:footnote w:id="19">
    <w:p w:rsidR="00082543" w:rsidRPr="00DF63C5" w:rsidRDefault="00442E1D" w:rsidP="0073036F">
      <w:pPr>
        <w:pStyle w:val="Textonotapie"/>
        <w:jc w:val="both"/>
      </w:pPr>
      <w:r w:rsidRPr="00DF63C5">
        <w:rPr>
          <w:rStyle w:val="Refdenotaalpie"/>
        </w:rPr>
        <w:footnoteRef/>
      </w:r>
      <w:r w:rsidRPr="00DF63C5">
        <w:t xml:space="preserve"> M</w:t>
      </w:r>
      <w:r w:rsidRPr="00DF63C5">
        <w:t xml:space="preserve">ás adelante señala: “A diferencia de lo que afirma el actor, en el momento que el propietario inicial o la asamblea decidan realizar pactos en contra del recaudo de la expensa común necesaria, cualquiera que este sea, si es procedente aplicar el parágrafo </w:t>
      </w:r>
      <w:r w:rsidRPr="00DF63C5">
        <w:t>1º del artículo 5 de la ley que dispone: ‘En ningún caso las disposiciones contenidas en los reglamentos de propiedad horizontal podrán vulnerar las normas imperativas contenidas en esta ley y, en tal caso, se entenderán no escritas.’ Pactos de esa natural</w:t>
      </w:r>
      <w:r w:rsidRPr="00DF63C5">
        <w:t>eza que no tienen fundamento o autorización legal, son decisiones arbitrarias y de mala fe”.</w:t>
      </w:r>
    </w:p>
  </w:footnote>
  <w:footnote w:id="20">
    <w:p w:rsidR="00A8481C" w:rsidRPr="00DF63C5" w:rsidRDefault="00442E1D" w:rsidP="0073036F">
      <w:pPr>
        <w:pStyle w:val="Textonotapie"/>
        <w:jc w:val="both"/>
      </w:pPr>
      <w:r w:rsidRPr="00DF63C5">
        <w:rPr>
          <w:rStyle w:val="Refdenotaalpie"/>
        </w:rPr>
        <w:footnoteRef/>
      </w:r>
      <w:r w:rsidRPr="00DF63C5">
        <w:t xml:space="preserve"> Más adelante, de manera específica afirma: “</w:t>
      </w:r>
      <w:r w:rsidRPr="00DF63C5">
        <w:t>En suma, si se analiza en su totalidad el inciso</w:t>
      </w:r>
      <w:r w:rsidRPr="00DF63C5">
        <w:t xml:space="preserve"> </w:t>
      </w:r>
      <w:r w:rsidRPr="00DF63C5">
        <w:t>1º del artículo 29 se concluye que se limita a mencionar, en el marc</w:t>
      </w:r>
      <w:r w:rsidRPr="00DF63C5">
        <w:t>o general, la obligación de los propietarios de contribuir al pago de las expensas necesarias causadas por la administración. Por ende, conocido el marco general, el reglamento establece las directrices espec</w:t>
      </w:r>
      <w:r w:rsidRPr="00DF63C5">
        <w:t>í</w:t>
      </w:r>
      <w:r w:rsidRPr="00DF63C5">
        <w:t>ficas e individuales del edificio o conjunto se</w:t>
      </w:r>
      <w:r w:rsidRPr="00DF63C5">
        <w:t>gún la destinación u organización interna respetando el ordenamiento jurídico, claro está</w:t>
      </w:r>
      <w:r w:rsidRPr="00DF63C5">
        <w:t>”.</w:t>
      </w:r>
    </w:p>
  </w:footnote>
  <w:footnote w:id="21">
    <w:p w:rsidR="00E13317" w:rsidRPr="00DF63C5" w:rsidRDefault="00442E1D" w:rsidP="0073036F">
      <w:pPr>
        <w:pStyle w:val="Textonotapie"/>
        <w:jc w:val="both"/>
        <w:rPr>
          <w:lang w:val="es-ES"/>
        </w:rPr>
      </w:pPr>
      <w:r w:rsidRPr="00DF63C5">
        <w:rPr>
          <w:rStyle w:val="Refdenotaalpie"/>
        </w:rPr>
        <w:footnoteRef/>
      </w:r>
      <w:r w:rsidRPr="00DF63C5">
        <w:t xml:space="preserve"> </w:t>
      </w:r>
      <w:r w:rsidRPr="00DF63C5">
        <w:rPr>
          <w:lang w:val="es-ES"/>
        </w:rPr>
        <w:t>En cuanto a esto último precisó: “</w:t>
      </w:r>
      <w:r w:rsidRPr="00DF63C5">
        <w:rPr>
          <w:lang w:val="es-ES"/>
        </w:rPr>
        <w:t>correspondería al juez civil del circuito en uso de su autonomía judicial determinar sí [sic] la negativa de la asamblea general de copropietarios de reformar el reglamento de propiedad horizontal desconoce los principios constitucionales de solidaridad, i</w:t>
      </w:r>
      <w:r w:rsidRPr="00DF63C5">
        <w:rPr>
          <w:lang w:val="es-ES"/>
        </w:rPr>
        <w:t xml:space="preserve">gualdad, prevalencia del bien común y función social de la propiedad para adoptar la decisión que en derecho corresponda para restablecer la equitativa contribución a las expensas comunes, llegando incluso a ordenar reintegros o </w:t>
      </w:r>
      <w:r w:rsidRPr="00DF63C5">
        <w:rPr>
          <w:lang w:val="es-ES"/>
        </w:rPr>
        <w:t xml:space="preserve">[sic] </w:t>
      </w:r>
      <w:r w:rsidRPr="00DF63C5">
        <w:rPr>
          <w:lang w:val="es-ES"/>
        </w:rPr>
        <w:t>compensaciones que co</w:t>
      </w:r>
      <w:r w:rsidRPr="00DF63C5">
        <w:rPr>
          <w:lang w:val="es-ES"/>
        </w:rPr>
        <w:t>nsidere prudentes</w:t>
      </w:r>
      <w:r w:rsidRPr="00DF63C5">
        <w:rPr>
          <w:lang w:val="es-ES"/>
        </w:rPr>
        <w:t>”.</w:t>
      </w:r>
    </w:p>
  </w:footnote>
  <w:footnote w:id="22">
    <w:p w:rsidR="00CA3B0D" w:rsidRPr="00DF63C5" w:rsidRDefault="00442E1D" w:rsidP="0073036F">
      <w:pPr>
        <w:pStyle w:val="Prrafodelista"/>
        <w:ind w:left="0"/>
        <w:jc w:val="both"/>
      </w:pPr>
      <w:r w:rsidRPr="00DF63C5">
        <w:rPr>
          <w:rStyle w:val="Refdenotaalpie"/>
        </w:rPr>
        <w:footnoteRef/>
      </w:r>
      <w:r w:rsidRPr="00DF63C5">
        <w:t xml:space="preserve"> </w:t>
      </w:r>
      <w:r w:rsidRPr="00DF63C5">
        <w:rPr>
          <w:i/>
          <w:iCs/>
        </w:rPr>
        <w:t>In extenso</w:t>
      </w:r>
      <w:r w:rsidRPr="00DF63C5">
        <w:t xml:space="preserve">, se afirma en el concepto: “la expresión demandada ha permitido principalmente a los propietarios iniciales, que en su gran mayoría son desarrolladores de proyectos de construcción, incluir disposiciones en los Reglamentos </w:t>
      </w:r>
      <w:r w:rsidRPr="00DF63C5">
        <w:t>de Propiedad Horizontal, en las cuales se establece que el propietario inicial no estará obligado a pagar expensas comunes sobre las unidades que no haya enajenado, aspecto que ha generado múltiples discusiones entre los propietarios de las unidades privad</w:t>
      </w:r>
      <w:r w:rsidRPr="00DF63C5">
        <w:t>as (que en muchos casos son consumidores) y los desarrolladores frente a las cargas que se deben asumir por quienes adquieren las unidades privadas del proyecto y a quienes se les carga la totalidad de responsabilidad sobre las expensas comunes del inmuebl</w:t>
      </w:r>
      <w:r w:rsidRPr="00DF63C5">
        <w:t>e sometido a propiedad horizontal. || A lo anterior se le suma, que el propietario inicial conserva la administración provisional del edificio o conjunto hasta que termine de construir y enajenar unidades privadas que representen el 51% de los coeficientes</w:t>
      </w:r>
      <w:r w:rsidRPr="00DF63C5">
        <w:t xml:space="preserve"> de copropiedad […] || Y finalmente, la dificultad que genera para los propietarios de las unidades privadas la modificación del régimen de propiedad horizontal a través de la asamblea, al requerirse no solo una mayoría del 70% de los coeficientes de copro</w:t>
      </w:r>
      <w:r w:rsidRPr="00DF63C5">
        <w:t>piedad, para lo cual se requiere que el desarrollador ya haya enajenado al menos el 70% de las unidades privadas, y adicionalmente los costos transaccionales asociados a la reforma de un reglamento de propiedad horizontal, toda vez que se cobra derechos de</w:t>
      </w:r>
      <w:r w:rsidRPr="00DF63C5">
        <w:t xml:space="preserve"> registro en las Oficinas de Registro de Instrumentos Públicos, por cada matrícula inmobiliaria en la que debe quedar registrada la Reforma al Reglamento de Propiedad Horizontal, haciendo extremadamente onerosa la modificación en grandes conjuntos […]”.</w:t>
      </w:r>
    </w:p>
  </w:footnote>
  <w:footnote w:id="23">
    <w:p w:rsidR="007413EA" w:rsidRPr="00DF63C5" w:rsidRDefault="00442E1D" w:rsidP="0073036F">
      <w:pPr>
        <w:pStyle w:val="Textonotapie"/>
        <w:jc w:val="both"/>
      </w:pPr>
      <w:r w:rsidRPr="00DF63C5">
        <w:rPr>
          <w:rStyle w:val="Refdenotaalpie"/>
        </w:rPr>
        <w:footnoteRef/>
      </w:r>
      <w:r w:rsidRPr="00DF63C5">
        <w:t xml:space="preserve"> </w:t>
      </w:r>
      <w:r w:rsidRPr="00DF63C5">
        <w:t>Según indica, “El reglamento de propiedad horizontal inicial, que se exige para el sometimiento de un desarrollo inmobiliario al régimen de propiedad horizontal, siempre será obra del propietario inicial. Sera [sic] entonces, un contrato de adhesión para l</w:t>
      </w:r>
      <w:r w:rsidRPr="00DF63C5">
        <w:t>os adquirentes de unidades privadas que cumplan con las solemnidades del caso”.</w:t>
      </w:r>
    </w:p>
  </w:footnote>
  <w:footnote w:id="24">
    <w:p w:rsidR="000C168B" w:rsidRPr="00DF63C5" w:rsidRDefault="00442E1D" w:rsidP="0073036F">
      <w:pPr>
        <w:pStyle w:val="Textonotapie"/>
        <w:jc w:val="both"/>
      </w:pPr>
      <w:r w:rsidRPr="00DF63C5">
        <w:rPr>
          <w:rStyle w:val="Refdenotaalpie"/>
        </w:rPr>
        <w:footnoteRef/>
      </w:r>
      <w:r w:rsidRPr="00DF63C5">
        <w:t xml:space="preserve"> Al respecto, indica: “</w:t>
      </w:r>
      <w:r w:rsidRPr="00DF63C5">
        <w:t xml:space="preserve">El problema surge para la modificación del reglamento de propiedad horizontal cuando ya se ha cumplido con </w:t>
      </w:r>
      <w:r w:rsidRPr="00DF63C5">
        <w:t>‘</w:t>
      </w:r>
      <w:r w:rsidRPr="00DF63C5">
        <w:t>la construcción y enajenación de un n</w:t>
      </w:r>
      <w:r w:rsidRPr="00DF63C5">
        <w:t>ú</w:t>
      </w:r>
      <w:r w:rsidRPr="00DF63C5">
        <w:t xml:space="preserve">mero </w:t>
      </w:r>
      <w:r w:rsidRPr="00DF63C5">
        <w:t>de bienes privados que represente por lo menos el 51% de los coeficientes de copropiedad</w:t>
      </w:r>
      <w:r w:rsidRPr="00DF63C5">
        <w:t>’</w:t>
      </w:r>
      <w:r w:rsidRPr="00DF63C5">
        <w:t xml:space="preserve">. </w:t>
      </w:r>
      <w:r w:rsidRPr="00DF63C5">
        <w:t xml:space="preserve">|| </w:t>
      </w:r>
      <w:r w:rsidRPr="00DF63C5">
        <w:t>Por las razones que surjan, en la mayoría de los casos es imposible obtener la representación de unidades privadas en reunión de asamblea general, para que con lo</w:t>
      </w:r>
      <w:r w:rsidRPr="00DF63C5">
        <w:t xml:space="preserve">s índices de copropiedad existentes permitan decidir con quorum calificado la reforma del reglamento de propiedad horizontal con ocasión de crear </w:t>
      </w:r>
      <w:r w:rsidRPr="00DF63C5">
        <w:t>‘</w:t>
      </w:r>
      <w:r w:rsidRPr="00DF63C5">
        <w:t>restricciones o excepciones al pago de las expensas comunes</w:t>
      </w:r>
      <w:r w:rsidRPr="00DF63C5">
        <w:t>’</w:t>
      </w:r>
      <w:r w:rsidRPr="00DF63C5">
        <w:t xml:space="preserve">. […] || </w:t>
      </w:r>
      <w:r w:rsidRPr="00DF63C5">
        <w:t>Lo grave de la situación surgida con las</w:t>
      </w:r>
      <w:r w:rsidRPr="00DF63C5">
        <w:t xml:space="preserve"> indebidas regulaciones en los reglamentos sobre las restricciones y excepciones en el pago de las expensas comunes, es la búsqueda de la corrección a los textos irregulares, por la incapacidad de los copropietarios en integrar el quorum calificado para de</w:t>
      </w:r>
      <w:r w:rsidRPr="00DF63C5">
        <w:t>cidir el cambio que se requiere, y será permanente la irregularidad hasta que se obtenga el cumplimiento en la decisión, del quorum calificado. || Para el propietario inicial es fácil redactar el texto del reglamento que le convenga, pero, para los copropi</w:t>
      </w:r>
      <w:r w:rsidRPr="00DF63C5">
        <w:t>etarios el impulso de revertir las inconsistencias iniciales, son un verdadero imposible. No existe la igualdad que predica el artículo 1 de la Constitución Política</w:t>
      </w:r>
      <w:r w:rsidRPr="00DF63C5">
        <w:t>”</w:t>
      </w:r>
      <w:r w:rsidRPr="00DF63C5">
        <w:t>.</w:t>
      </w:r>
    </w:p>
  </w:footnote>
  <w:footnote w:id="25">
    <w:p w:rsidR="00E97E8A" w:rsidRPr="00DF63C5" w:rsidRDefault="00442E1D" w:rsidP="0073036F">
      <w:pPr>
        <w:pStyle w:val="Prrafodelista"/>
        <w:ind w:left="0"/>
        <w:jc w:val="both"/>
        <w:rPr>
          <w:lang w:val="es-ES_tradnl"/>
        </w:rPr>
      </w:pPr>
      <w:r w:rsidRPr="00DF63C5">
        <w:rPr>
          <w:rStyle w:val="Refdenotaalpie"/>
        </w:rPr>
        <w:footnoteRef/>
      </w:r>
      <w:r w:rsidRPr="00DF63C5">
        <w:t xml:space="preserve"> De manera amplia, refiere lo siguiente: </w:t>
      </w:r>
      <w:r w:rsidRPr="00DF63C5">
        <w:rPr>
          <w:lang w:val="es-ES_tradnl"/>
        </w:rPr>
        <w:t>“[…] el propietario inicial y un grupo minorit</w:t>
      </w:r>
      <w:r w:rsidRPr="00DF63C5">
        <w:rPr>
          <w:lang w:val="es-ES_tradnl"/>
        </w:rPr>
        <w:t>ario de copropietarios invoca como argumento el apartado ‘de acuerdo con el reglamento de propiedad horizontal’ para justificar las restricciones o excepciones en el pago de las expensas. La posición dominante del propietario inicial que redacta el reglame</w:t>
      </w:r>
      <w:r w:rsidRPr="00DF63C5">
        <w:rPr>
          <w:lang w:val="es-ES_tradnl"/>
        </w:rPr>
        <w:t>nto a su conveniencia, y la manipulación de comunidades en reuniones de asamblea general deja en desventaja a las minorías que requieren revertir las irregularidades vigentes. […] || Si bien es cierto que la ley faculta a los copropietarios para desplazars</w:t>
      </w:r>
      <w:r w:rsidRPr="00DF63C5">
        <w:rPr>
          <w:lang w:val="es-ES_tradnl"/>
        </w:rPr>
        <w:t>e en lo jurídico para su autorregulación, no debe permitirse que un grupo de ellos se favorezca indebidamente con afectación a los demás en la confección de coeficientes de copropiedad por reforma del reglamento. || […] Teniendo en cuenta lo expuesto por e</w:t>
      </w:r>
      <w:r w:rsidRPr="00DF63C5">
        <w:rPr>
          <w:lang w:val="es-ES_tradnl"/>
        </w:rPr>
        <w:t xml:space="preserve">l demandante, lo señalado en la ley </w:t>
      </w:r>
      <w:r w:rsidRPr="00DF63C5">
        <w:rPr>
          <w:lang w:val="es-ES_tradnl"/>
        </w:rPr>
        <w:t xml:space="preserve">[sic] </w:t>
      </w:r>
      <w:r w:rsidRPr="00DF63C5">
        <w:rPr>
          <w:lang w:val="es-ES_tradnl"/>
        </w:rPr>
        <w:t>675 de 2001 y lo observado en muchos reglamentos con el argumento de la autorización del aparte ‘de acuerdo con el reglamento de propiedad horizontal’, creemos que debe declararse inexequible para evitar la utiliza</w:t>
      </w:r>
      <w:r w:rsidRPr="00DF63C5">
        <w:rPr>
          <w:lang w:val="es-ES_tradnl"/>
        </w:rPr>
        <w:t>ción de ese soporte para evadir responsabilidades, teniendo en cuenta además que la creación y cálculo de coeficientes de copropiedad están debidamente definidos en la ley [sic] 675 de 2001”.</w:t>
      </w:r>
    </w:p>
  </w:footnote>
  <w:footnote w:id="26">
    <w:p w:rsidR="00903D38" w:rsidRPr="00DF63C5" w:rsidRDefault="00442E1D" w:rsidP="0073036F">
      <w:pPr>
        <w:pStyle w:val="Textonotapie"/>
        <w:jc w:val="both"/>
      </w:pPr>
      <w:r w:rsidRPr="00DF63C5">
        <w:rPr>
          <w:rStyle w:val="Refdenotaalpie"/>
        </w:rPr>
        <w:footnoteRef/>
      </w:r>
      <w:r w:rsidRPr="00DF63C5">
        <w:t xml:space="preserve"> En este sentido, a</w:t>
      </w:r>
      <w:r w:rsidRPr="00DF63C5">
        <w:rPr>
          <w:bCs/>
          <w:lang w:val="es-ES"/>
        </w:rPr>
        <w:t xml:space="preserve"> partir de lo indicado en el concepto del Mi</w:t>
      </w:r>
      <w:r w:rsidRPr="00DF63C5">
        <w:rPr>
          <w:bCs/>
          <w:lang w:val="es-ES"/>
        </w:rPr>
        <w:t>nisterio de Vivienda, Ciudad y Territorio, concluye que la participación en el pago de la cuota de administración “debe ser calculada de manera proporcional al área privada del inmueble de cada copropietario; entre mayor sea la extensión de la vivienda, ma</w:t>
      </w:r>
      <w:r w:rsidRPr="00DF63C5">
        <w:rPr>
          <w:bCs/>
          <w:lang w:val="es-ES"/>
        </w:rPr>
        <w:t>yor deberá ser su aporte a la cuota de administración y viceversa”, en los términos de la Ley 675 de 2001.</w:t>
      </w:r>
    </w:p>
  </w:footnote>
  <w:footnote w:id="27">
    <w:p w:rsidR="00135509" w:rsidRPr="00DF63C5" w:rsidRDefault="00442E1D" w:rsidP="0073036F">
      <w:pPr>
        <w:pStyle w:val="Textonotapie"/>
        <w:jc w:val="both"/>
      </w:pPr>
      <w:r w:rsidRPr="00DF63C5">
        <w:rPr>
          <w:rStyle w:val="Refdenotaalpie"/>
        </w:rPr>
        <w:footnoteRef/>
      </w:r>
      <w:r w:rsidRPr="00DF63C5">
        <w:t xml:space="preserve"> Cfr., en especial, lo indicado en las sentencias C-087 de 2024 (párrafo, § 25) y C-100 de 2022. E</w:t>
      </w:r>
      <w:r w:rsidRPr="00DF63C5">
        <w:rPr>
          <w:lang w:val="es-ES_tradnl"/>
        </w:rPr>
        <w:t xml:space="preserve">n el auto que admite una demanda de inconstitucionalidad, el magistrado sustanciador valora si esta cumple con los requisitos mínimos de aptitud sustantiva. Este estudio corresponde a una revisión sumaria que </w:t>
      </w:r>
      <w:r w:rsidRPr="00DF63C5">
        <w:rPr>
          <w:iCs/>
          <w:lang w:val="es-ES_tradnl"/>
        </w:rPr>
        <w:t>no compromete ni define la competencia de la Sa</w:t>
      </w:r>
      <w:r w:rsidRPr="00DF63C5">
        <w:rPr>
          <w:iCs/>
          <w:lang w:val="es-ES_tradnl"/>
        </w:rPr>
        <w:t xml:space="preserve">la Plena de la Corte, depositaria de la función de decidir de fondo sobre las demandas de inconstitucionalidad que presenten los ciudadanos, en los términos del artículo 241 de la Constitución (en este sentido, entre muchas otras, </w:t>
      </w:r>
      <w:r w:rsidRPr="00DF63C5">
        <w:t>las sentencias C-190 de 2</w:t>
      </w:r>
      <w:r w:rsidRPr="00DF63C5">
        <w:t xml:space="preserve">022, </w:t>
      </w:r>
      <w:r w:rsidRPr="00DF63C5">
        <w:rPr>
          <w:shd w:val="clear" w:color="auto" w:fill="FFFFFF"/>
        </w:rPr>
        <w:t>C-165 de 2019</w:t>
      </w:r>
      <w:r w:rsidRPr="00DF63C5">
        <w:t xml:space="preserve">, C-281 de 2013 y </w:t>
      </w:r>
      <w:r w:rsidRPr="00DF63C5">
        <w:rPr>
          <w:shd w:val="clear" w:color="auto" w:fill="FFFFFF"/>
        </w:rPr>
        <w:t>C-894 de 2009)</w:t>
      </w:r>
      <w:r w:rsidRPr="00DF63C5">
        <w:rPr>
          <w:iCs/>
          <w:lang w:val="es-ES_tradnl"/>
        </w:rPr>
        <w:t xml:space="preserve">. </w:t>
      </w:r>
      <w:r w:rsidRPr="00DF63C5">
        <w:rPr>
          <w:iCs/>
          <w:lang w:val="es-ES_tradnl"/>
        </w:rPr>
        <w:t>C</w:t>
      </w:r>
      <w:r w:rsidRPr="00DF63C5">
        <w:rPr>
          <w:iCs/>
          <w:lang w:val="es-ES_tradnl"/>
        </w:rPr>
        <w:t xml:space="preserve">uando ninguno de los intervinientes en el trámite cuestiona la aptitud de la demanda es plausible inferir que se trabó de manera adecuada la </w:t>
      </w:r>
      <w:r w:rsidRPr="00DF63C5">
        <w:rPr>
          <w:i/>
          <w:lang w:val="es-ES_tradnl"/>
        </w:rPr>
        <w:t xml:space="preserve">litis </w:t>
      </w:r>
      <w:r w:rsidRPr="00DF63C5">
        <w:rPr>
          <w:iCs/>
          <w:lang w:val="es-ES_tradnl"/>
        </w:rPr>
        <w:t>constitucional y, por tanto, que aquellos pudieron prese</w:t>
      </w:r>
      <w:r w:rsidRPr="00DF63C5">
        <w:rPr>
          <w:iCs/>
          <w:lang w:val="es-ES_tradnl"/>
        </w:rPr>
        <w:t xml:space="preserve">ntar argumentos razonables para impugnar o defender la constitucionalidad de la disposición acusada, finalidad adscrita a esta etapa, en los términos del artículo 7 del Decreto 2067 de 1991. </w:t>
      </w:r>
      <w:r w:rsidRPr="00DF63C5">
        <w:rPr>
          <w:i/>
          <w:lang w:val="es-ES_tradnl"/>
        </w:rPr>
        <w:t>Contrario sensu</w:t>
      </w:r>
      <w:r w:rsidRPr="00DF63C5">
        <w:rPr>
          <w:iCs/>
          <w:lang w:val="es-ES_tradnl"/>
        </w:rPr>
        <w:t>, si los inter</w:t>
      </w:r>
      <w:r w:rsidRPr="00DF63C5">
        <w:rPr>
          <w:iCs/>
          <w:lang w:val="es-ES_tradnl"/>
        </w:rPr>
        <w:t xml:space="preserve">vinientes presentan </w:t>
      </w:r>
      <w:r w:rsidRPr="00DF63C5">
        <w:t>“un análisis mín</w:t>
      </w:r>
      <w:r w:rsidRPr="00DF63C5">
        <w:t>imo que permita colegir las razones del incumplimiento de cada uno de los requisitos de la carga argumentativa”</w:t>
      </w:r>
      <w:r w:rsidRPr="00DF63C5">
        <w:t xml:space="preserve">, es adecuado que la Sala Plena </w:t>
      </w:r>
      <w:r w:rsidRPr="00DF63C5">
        <w:rPr>
          <w:iCs/>
          <w:lang w:val="es-ES_tradnl"/>
        </w:rPr>
        <w:t xml:space="preserve">valore nuevamente </w:t>
      </w:r>
      <w:r w:rsidRPr="00DF63C5">
        <w:t>la aptitud sustantiva de la demanda (Sentencia C-100 de 2022), claro está, sin que esta sea una</w:t>
      </w:r>
      <w:r w:rsidRPr="00DF63C5">
        <w:t xml:space="preserve"> exigencia que limite </w:t>
      </w:r>
      <w:r w:rsidRPr="00DF63C5">
        <w:t>su</w:t>
      </w:r>
      <w:r w:rsidRPr="00DF63C5">
        <w:t xml:space="preserve"> competencia para </w:t>
      </w:r>
      <w:r w:rsidRPr="00DF63C5">
        <w:t>el efecto</w:t>
      </w:r>
      <w:r w:rsidRPr="00DF63C5">
        <w:t xml:space="preserve">, sea por las razones </w:t>
      </w:r>
      <w:r w:rsidRPr="00DF63C5">
        <w:t xml:space="preserve">alegadas </w:t>
      </w:r>
      <w:r w:rsidRPr="00DF63C5">
        <w:t>por los intervinientes, o por otras</w:t>
      </w:r>
      <w:r w:rsidRPr="00DF63C5">
        <w:t>, de considerarlo necesari</w:t>
      </w:r>
      <w:r w:rsidRPr="00DF63C5">
        <w:t xml:space="preserve">o; </w:t>
      </w:r>
      <w:r w:rsidRPr="00DF63C5">
        <w:t xml:space="preserve">en este sentido, </w:t>
      </w:r>
      <w:r w:rsidRPr="00DF63C5">
        <w:t xml:space="preserve">las intervenciones </w:t>
      </w:r>
      <w:r w:rsidRPr="00DF63C5">
        <w:t xml:space="preserve">no </w:t>
      </w:r>
      <w:r w:rsidRPr="00DF63C5">
        <w:t xml:space="preserve">limitan la competencia de la Sala para </w:t>
      </w:r>
      <w:r w:rsidRPr="00DF63C5">
        <w:t>valorar la aptitud sustantiva de</w:t>
      </w:r>
      <w:r w:rsidRPr="00DF63C5">
        <w:t xml:space="preserve"> los cargos de las demandas de inconstitucionalidad</w:t>
      </w:r>
      <w:r w:rsidRPr="00DF63C5">
        <w:t>.</w:t>
      </w:r>
    </w:p>
  </w:footnote>
  <w:footnote w:id="28">
    <w:p w:rsidR="004324FD" w:rsidRPr="00DF63C5" w:rsidRDefault="00442E1D" w:rsidP="0073036F">
      <w:pPr>
        <w:pStyle w:val="Textonotapie"/>
        <w:jc w:val="both"/>
      </w:pPr>
      <w:r w:rsidRPr="00DF63C5">
        <w:rPr>
          <w:rStyle w:val="Refdenotaalpie"/>
        </w:rPr>
        <w:footnoteRef/>
      </w:r>
      <w:r w:rsidRPr="00DF63C5">
        <w:t xml:space="preserve"> </w:t>
      </w:r>
      <w:r w:rsidRPr="00DF63C5">
        <w:t xml:space="preserve">Al respecto, </w:t>
      </w:r>
      <w:r w:rsidRPr="00DF63C5">
        <w:t xml:space="preserve">el Viceprocurador General de la Nación </w:t>
      </w:r>
      <w:r w:rsidRPr="00DF63C5">
        <w:t xml:space="preserve">indicó: “[…] ante la falta de certeza evidenciada, la Procuraduría advierte que la demanda igualmente carece de </w:t>
      </w:r>
      <w:r w:rsidRPr="00DF63C5">
        <w:rPr>
          <w:i/>
          <w:iCs/>
        </w:rPr>
        <w:t>suficiencia</w:t>
      </w:r>
      <w:r w:rsidRPr="00DF63C5">
        <w:t>, ya que, al constatarse q</w:t>
      </w:r>
      <w:r w:rsidRPr="00DF63C5">
        <w:t>ue el actor llevó a cabo una lectura parcializada de la norma acusada referente a la reglamentación del pago de las expensas comunes, los reproches de inconstitucionalidad pierden el poder de persuasión y, por lo tanto, no generan duda sobre el desconocimi</w:t>
      </w:r>
      <w:r w:rsidRPr="00DF63C5">
        <w:t>ento de la Carta Política”.</w:t>
      </w:r>
    </w:p>
  </w:footnote>
  <w:footnote w:id="29">
    <w:p w:rsidR="006762D2" w:rsidRPr="00DF63C5" w:rsidRDefault="00442E1D" w:rsidP="0073036F">
      <w:pPr>
        <w:pStyle w:val="Textonotapie"/>
        <w:jc w:val="both"/>
      </w:pPr>
      <w:r w:rsidRPr="00DF63C5">
        <w:rPr>
          <w:rStyle w:val="Refdenotaalpie"/>
        </w:rPr>
        <w:footnoteRef/>
      </w:r>
      <w:r w:rsidRPr="00DF63C5">
        <w:t xml:space="preserve"> Las expensas comunes pueden ser “ordinarias” o “extraordinarias”. La diferencia específica entre ambas radica en la regularidad y previsibilidad de los gastos: las primera son recurrentes y se planifican en el presupuesto anua</w:t>
      </w:r>
      <w:r w:rsidRPr="00DF63C5">
        <w:t>l, mientras que las segundas son excepcionales y pueden surgir de situaciones imprevistas que requieren una inversión adicional en los bienes comunes de la copropiedad.</w:t>
      </w:r>
    </w:p>
  </w:footnote>
  <w:footnote w:id="30">
    <w:p w:rsidR="006762D2" w:rsidRPr="00DF63C5" w:rsidRDefault="00442E1D" w:rsidP="0073036F">
      <w:pPr>
        <w:pStyle w:val="Textonotapie"/>
        <w:jc w:val="both"/>
      </w:pPr>
      <w:r w:rsidRPr="00DF63C5">
        <w:rPr>
          <w:rStyle w:val="Refdenotaalpie"/>
        </w:rPr>
        <w:footnoteRef/>
      </w:r>
      <w:r w:rsidRPr="00DF63C5">
        <w:t xml:space="preserve"> Cfr., en particular, la definición de los conceptos “régimen de propiedad horizontal”</w:t>
      </w:r>
      <w:r w:rsidRPr="00DF63C5">
        <w:t>, “edificio”, “conjunto”, “bienes privados o de dominio particular”, “bienes comunes”, “bienes comunes esenciales” y “expensas comunes necesarias”.</w:t>
      </w:r>
    </w:p>
  </w:footnote>
  <w:footnote w:id="31">
    <w:p w:rsidR="006762D2" w:rsidRPr="00DF63C5" w:rsidRDefault="00442E1D" w:rsidP="0073036F">
      <w:pPr>
        <w:pStyle w:val="Textonotapie"/>
        <w:jc w:val="both"/>
      </w:pPr>
      <w:r w:rsidRPr="00DF63C5">
        <w:rPr>
          <w:rStyle w:val="Refdenotaalpie"/>
        </w:rPr>
        <w:footnoteRef/>
      </w:r>
      <w:r w:rsidRPr="00DF63C5">
        <w:t xml:space="preserve"> Cfr., en este sentido, las intervenciones y conceptos de quienes participaron en el trámite de constitucio</w:t>
      </w:r>
      <w:r w:rsidRPr="00DF63C5">
        <w:t xml:space="preserve">nalidad, descritos </w:t>
      </w:r>
      <w:r w:rsidRPr="00DF63C5">
        <w:rPr>
          <w:i/>
          <w:iCs/>
        </w:rPr>
        <w:t>in extenso</w:t>
      </w:r>
      <w:r w:rsidRPr="00DF63C5">
        <w:t xml:space="preserve"> en el acápite de “Antecedentes”.</w:t>
      </w:r>
    </w:p>
  </w:footnote>
  <w:footnote w:id="32">
    <w:p w:rsidR="006762D2" w:rsidRPr="00DF63C5" w:rsidRDefault="00442E1D" w:rsidP="0073036F">
      <w:pPr>
        <w:pStyle w:val="Textonotapie"/>
        <w:jc w:val="both"/>
        <w:rPr>
          <w:lang w:val="es-ES"/>
        </w:rPr>
      </w:pPr>
      <w:r w:rsidRPr="00DF63C5">
        <w:rPr>
          <w:rStyle w:val="Refdenotaalpie"/>
        </w:rPr>
        <w:footnoteRef/>
      </w:r>
      <w:r w:rsidRPr="00DF63C5">
        <w:t xml:space="preserve"> En esta providencia se censuró la compatibilidad de los artículos 3 (parcial) y 25.3 de la Ley 675 de 2001 con el principio de igualdad. El problema jurídico que resolvió la Corte fue el siguiente: “si es o no violatorio de la igualdad que las normas acus</w:t>
      </w:r>
      <w:r w:rsidRPr="00DF63C5">
        <w:t>adas prevean que los inmuebles de un edificio o conjunto deban contribuir a las expensas comunes en proporción a su área, la cual determina su coeficiente de propiedad” (Sentencia C-782 de 2004).</w:t>
      </w:r>
    </w:p>
  </w:footnote>
  <w:footnote w:id="33">
    <w:p w:rsidR="00161C05" w:rsidRPr="00DF63C5" w:rsidRDefault="00442E1D" w:rsidP="0073036F">
      <w:pPr>
        <w:pStyle w:val="Textonotapie"/>
        <w:jc w:val="both"/>
      </w:pPr>
      <w:r w:rsidRPr="00DF63C5">
        <w:rPr>
          <w:rStyle w:val="Refdenotaalpie"/>
        </w:rPr>
        <w:footnoteRef/>
      </w:r>
      <w:r w:rsidRPr="00DF63C5">
        <w:t xml:space="preserve"> </w:t>
      </w:r>
      <w:r w:rsidRPr="00DF63C5">
        <w:t>Para un estudio exhaustivo acerca de la historia legislati</w:t>
      </w:r>
      <w:r w:rsidRPr="00DF63C5">
        <w:t>va del régimen de propiedad horizontal, cfr., la Sentencia C-488 de 2002.</w:t>
      </w:r>
    </w:p>
  </w:footnote>
  <w:footnote w:id="34">
    <w:p w:rsidR="00587F3F" w:rsidRPr="00DF63C5" w:rsidRDefault="00442E1D" w:rsidP="0073036F">
      <w:pPr>
        <w:pStyle w:val="Textonotapie"/>
        <w:jc w:val="both"/>
        <w:rPr>
          <w:lang w:val="es-ES"/>
        </w:rPr>
      </w:pPr>
      <w:r w:rsidRPr="00DF63C5">
        <w:rPr>
          <w:rStyle w:val="Refdenotaalpie"/>
        </w:rPr>
        <w:footnoteRef/>
      </w:r>
      <w:r w:rsidRPr="00DF63C5">
        <w:t xml:space="preserve"> </w:t>
      </w:r>
      <w:r w:rsidRPr="00DF63C5">
        <w:rPr>
          <w:lang w:val="es-ES"/>
        </w:rPr>
        <w:t>La relación de consumo se presenta entre el promotor inmobiliario o constructor y el consumidor inmobiliario, en particular, de proyectos de vivienda nueva.</w:t>
      </w:r>
    </w:p>
  </w:footnote>
  <w:footnote w:id="35">
    <w:p w:rsidR="00587F3F" w:rsidRPr="00BC3CE0" w:rsidRDefault="00442E1D" w:rsidP="0073036F">
      <w:pPr>
        <w:pStyle w:val="Textonotapie"/>
        <w:jc w:val="both"/>
      </w:pPr>
      <w:r w:rsidRPr="00DF63C5">
        <w:rPr>
          <w:rStyle w:val="Refdenotaalpie"/>
        </w:rPr>
        <w:footnoteRef/>
      </w:r>
      <w:r w:rsidRPr="00DF63C5">
        <w:t xml:space="preserve"> </w:t>
      </w:r>
      <w:r w:rsidRPr="00DF63C5">
        <w:t>Estas disposiciones p</w:t>
      </w:r>
      <w:r w:rsidRPr="00DF63C5">
        <w:t xml:space="preserve">ermiten sancionar la inclusión de cláusulas abusivas en contratos de adhesión diseñados unilateralmente por los desarrolladores inmobiliarios o constructores, lo que refuerza la posibilidad de controlar y sancionar </w:t>
      </w:r>
      <w:r w:rsidRPr="00DF63C5">
        <w:t xml:space="preserve">estas </w:t>
      </w:r>
      <w:r w:rsidRPr="00DF63C5">
        <w:t xml:space="preserve">prácticas. </w:t>
      </w:r>
      <w:r w:rsidRPr="00DF63C5">
        <w:t>Cfr., al respecto, lo in</w:t>
      </w:r>
      <w:r w:rsidRPr="00DF63C5">
        <w:t>dicado en el artículo 43 del Estatuto del Consumidor.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44A0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A27DCB"/>
    <w:multiLevelType w:val="hybridMultilevel"/>
    <w:tmpl w:val="738E6B9C"/>
    <w:lvl w:ilvl="0" w:tplc="FDA4112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D6A05A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B65755"/>
    <w:multiLevelType w:val="hybridMultilevel"/>
    <w:tmpl w:val="608691EE"/>
    <w:lvl w:ilvl="0" w:tplc="B9AA48F0">
      <w:start w:val="1"/>
      <w:numFmt w:val="decimal"/>
      <w:lvlText w:val="%1."/>
      <w:lvlJc w:val="left"/>
      <w:pPr>
        <w:ind w:left="720" w:hanging="360"/>
      </w:pPr>
      <w:rPr>
        <w:b w:val="0"/>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0E43"/>
    <w:rsid w:val="00442E1D"/>
    <w:rsid w:val="0059567E"/>
    <w:rsid w:val="00F30E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B520EB49-3102-4ABA-9032-FAF07F0D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rsid w:val="0080756E"/>
    <w:pPr>
      <w:keepNext/>
      <w:spacing w:before="240" w:after="60"/>
      <w:outlineLvl w:val="0"/>
    </w:pPr>
    <w:rPr>
      <w:rFonts w:ascii="Cambria" w:eastAsia="Cambria" w:hAnsi="Cambria" w:cs="Cambria"/>
      <w:b/>
      <w:sz w:val="32"/>
      <w:szCs w:val="32"/>
    </w:rPr>
  </w:style>
  <w:style w:type="paragraph" w:styleId="Ttulo2">
    <w:name w:val="heading 2"/>
    <w:basedOn w:val="Normal"/>
    <w:next w:val="Normal"/>
    <w:link w:val="Ttulo2Car"/>
    <w:uiPriority w:val="9"/>
    <w:unhideWhenUsed/>
    <w:qFormat/>
    <w:rsid w:val="00EA6FB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A6FB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494CFE"/>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EA6FB3"/>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EA6FB3"/>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756E"/>
    <w:rPr>
      <w:rFonts w:ascii="Cambria" w:eastAsia="Cambria" w:hAnsi="Cambria" w:cs="Cambria"/>
      <w:b/>
      <w:color w:val="000000"/>
      <w:sz w:val="32"/>
      <w:szCs w:val="32"/>
      <w:lang w:val="es-CO" w:eastAsia="es-CO"/>
    </w:rPr>
  </w:style>
  <w:style w:type="paragraph" w:styleId="Piedepgina">
    <w:name w:val="footer"/>
    <w:basedOn w:val="Normal"/>
    <w:link w:val="PiedepginaCar"/>
    <w:uiPriority w:val="99"/>
    <w:unhideWhenUsed/>
    <w:rsid w:val="0080756E"/>
    <w:pPr>
      <w:tabs>
        <w:tab w:val="center" w:pos="4419"/>
        <w:tab w:val="right" w:pos="8838"/>
      </w:tabs>
    </w:pPr>
  </w:style>
  <w:style w:type="character" w:customStyle="1" w:styleId="PiedepginaCar">
    <w:name w:val="Pie de página Car"/>
    <w:basedOn w:val="Fuentedeprrafopredeter"/>
    <w:link w:val="Piedepgina"/>
    <w:uiPriority w:val="99"/>
    <w:rsid w:val="0080756E"/>
    <w:rPr>
      <w:rFonts w:ascii="Times New Roman" w:eastAsia="Times New Roman" w:hAnsi="Times New Roman" w:cs="Times New Roman"/>
      <w:color w:val="000000"/>
      <w:sz w:val="20"/>
      <w:szCs w:val="20"/>
      <w:lang w:val="es-CO" w:eastAsia="es-CO"/>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80756E"/>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e,Texto nota pie Ca"/>
    <w:basedOn w:val="Normal"/>
    <w:link w:val="TextonotapieCar"/>
    <w:uiPriority w:val="99"/>
    <w:unhideWhenUsed/>
    <w:qFormat/>
    <w:rsid w:val="0080756E"/>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80756E"/>
    <w:rPr>
      <w:rFonts w:ascii="Times New Roman" w:eastAsia="Times New Roman" w:hAnsi="Times New Roman" w:cs="Times New Roman"/>
      <w:color w:val="000000"/>
      <w:sz w:val="20"/>
      <w:szCs w:val="20"/>
      <w:lang w:val="es-CO" w:eastAsia="es-CO"/>
    </w:rPr>
  </w:style>
  <w:style w:type="character" w:styleId="Refdenotaalpie">
    <w:name w:val="footnote reference"/>
    <w:aliases w:val="Texto de nota al pie,Footnotes refss,Appel note de bas de page,Footnote number,referencia nota al pie,BVI fnr,f,4_G,16 Point,Superscript 6 Point,Ref. de nota al pie 2,Texto nota al pie,Footnote Reference Char3,Texto nota pie Car2,FC"/>
    <w:basedOn w:val="Fuentedeprrafopredeter"/>
    <w:link w:val="4GChar"/>
    <w:uiPriority w:val="99"/>
    <w:unhideWhenUsed/>
    <w:qFormat/>
    <w:rsid w:val="0080756E"/>
    <w:rPr>
      <w:vertAlign w:val="superscript"/>
    </w:rPr>
  </w:style>
  <w:style w:type="character" w:styleId="Refdecomentario">
    <w:name w:val="annotation reference"/>
    <w:basedOn w:val="Fuentedeprrafopredeter"/>
    <w:uiPriority w:val="99"/>
    <w:unhideWhenUsed/>
    <w:qFormat/>
    <w:rsid w:val="0080756E"/>
    <w:rPr>
      <w:sz w:val="16"/>
      <w:szCs w:val="16"/>
    </w:rPr>
  </w:style>
  <w:style w:type="paragraph" w:styleId="Textocomentario">
    <w:name w:val="annotation text"/>
    <w:basedOn w:val="Normal"/>
    <w:link w:val="TextocomentarioCar"/>
    <w:uiPriority w:val="99"/>
    <w:unhideWhenUsed/>
    <w:rsid w:val="0080756E"/>
  </w:style>
  <w:style w:type="character" w:customStyle="1" w:styleId="TextocomentarioCar">
    <w:name w:val="Texto comentario Car"/>
    <w:basedOn w:val="Fuentedeprrafopredeter"/>
    <w:link w:val="Textocomentario"/>
    <w:uiPriority w:val="99"/>
    <w:rsid w:val="0080756E"/>
    <w:rPr>
      <w:rFonts w:ascii="Times New Roman" w:eastAsia="Times New Roman" w:hAnsi="Times New Roman" w:cs="Times New Roman"/>
      <w:color w:val="000000"/>
      <w:sz w:val="20"/>
      <w:szCs w:val="20"/>
      <w:lang w:val="es-CO" w:eastAsia="es-CO"/>
    </w:rPr>
  </w:style>
  <w:style w:type="table" w:styleId="Tablaconcuadrcula">
    <w:name w:val="Table Grid"/>
    <w:basedOn w:val="Tablanormal"/>
    <w:uiPriority w:val="39"/>
    <w:rsid w:val="0080756E"/>
    <w:pPr>
      <w:widowControl w:val="0"/>
      <w:spacing w:after="0" w:line="240" w:lineRule="auto"/>
    </w:pPr>
    <w:rPr>
      <w:rFonts w:ascii="Times New Roman" w:eastAsia="Times New Roman" w:hAnsi="Times New Roman" w:cs="Times New Roman"/>
      <w:color w:val="00000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nhideWhenUsed/>
    <w:rsid w:val="0080756E"/>
    <w:pPr>
      <w:spacing w:after="200" w:line="276" w:lineRule="auto"/>
      <w:ind w:left="283" w:hanging="283"/>
      <w:contextualSpacing/>
    </w:pPr>
    <w:rPr>
      <w:rFonts w:eastAsia="Calibri"/>
      <w:sz w:val="28"/>
      <w:lang w:eastAsia="en-U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0756E"/>
    <w:pPr>
      <w:pBdr>
        <w:top w:val="nil"/>
        <w:left w:val="nil"/>
        <w:bottom w:val="nil"/>
        <w:right w:val="nil"/>
        <w:between w:val="nil"/>
      </w:pBdr>
      <w:contextualSpacing/>
      <w:jc w:val="both"/>
    </w:pPr>
    <w:rPr>
      <w:rFonts w:eastAsiaTheme="minorHAnsi"/>
      <w:vertAlign w:val="superscript"/>
      <w:lang w:val="es-ES" w:eastAsia="en-US"/>
    </w:rPr>
  </w:style>
  <w:style w:type="paragraph" w:customStyle="1" w:styleId="MediumShading1-Accent11">
    <w:name w:val="Medium Shading 1 - Accent 11"/>
    <w:uiPriority w:val="1"/>
    <w:qFormat/>
    <w:rsid w:val="0080756E"/>
    <w:pPr>
      <w:widowControl w:val="0"/>
      <w:pBdr>
        <w:top w:val="nil"/>
        <w:left w:val="nil"/>
        <w:bottom w:val="nil"/>
        <w:right w:val="nil"/>
        <w:between w:val="nil"/>
      </w:pBdr>
      <w:spacing w:after="0" w:line="240" w:lineRule="auto"/>
    </w:pPr>
    <w:rPr>
      <w:rFonts w:ascii="Calibri" w:eastAsia="Calibri" w:hAnsi="Calibri" w:cs="Calibri"/>
      <w:color w:val="000000"/>
      <w:lang w:eastAsia="es-ES"/>
    </w:rPr>
  </w:style>
  <w:style w:type="paragraph" w:customStyle="1" w:styleId="section1">
    <w:name w:val="section1"/>
    <w:basedOn w:val="Normal"/>
    <w:rsid w:val="0080756E"/>
    <w:pPr>
      <w:spacing w:before="100" w:beforeAutospacing="1" w:after="100" w:afterAutospacing="1"/>
    </w:pPr>
    <w:rPr>
      <w:sz w:val="24"/>
      <w:szCs w:val="24"/>
      <w:lang w:val="es-ES" w:eastAsia="es-ES"/>
    </w:rPr>
  </w:style>
  <w:style w:type="character" w:customStyle="1" w:styleId="baj">
    <w:name w:val="b_aj"/>
    <w:basedOn w:val="Fuentedeprrafopredeter"/>
    <w:rsid w:val="0080756E"/>
  </w:style>
  <w:style w:type="paragraph" w:styleId="Textoindependiente">
    <w:name w:val="Body Text"/>
    <w:basedOn w:val="Normal"/>
    <w:link w:val="TextoindependienteCar"/>
    <w:uiPriority w:val="99"/>
    <w:rsid w:val="0080756E"/>
    <w:pPr>
      <w:autoSpaceDE w:val="0"/>
      <w:autoSpaceDN w:val="0"/>
      <w:jc w:val="both"/>
    </w:pPr>
    <w:rPr>
      <w:sz w:val="28"/>
      <w:szCs w:val="28"/>
      <w:lang w:val="es-ES" w:eastAsia="es-ES"/>
    </w:rPr>
  </w:style>
  <w:style w:type="character" w:customStyle="1" w:styleId="TextoindependienteCar">
    <w:name w:val="Texto independiente Car"/>
    <w:basedOn w:val="Fuentedeprrafopredeter"/>
    <w:link w:val="Textoindependiente"/>
    <w:uiPriority w:val="99"/>
    <w:rsid w:val="0080756E"/>
    <w:rPr>
      <w:rFonts w:ascii="Times New Roman" w:eastAsia="Times New Roman" w:hAnsi="Times New Roman" w:cs="Times New Roman"/>
      <w:sz w:val="28"/>
      <w:szCs w:val="28"/>
      <w:lang w:eastAsia="es-ES"/>
    </w:rPr>
  </w:style>
  <w:style w:type="paragraph" w:styleId="Asuntodelcomentario">
    <w:name w:val="annotation subject"/>
    <w:basedOn w:val="Textocomentario"/>
    <w:next w:val="Textocomentario"/>
    <w:link w:val="AsuntodelcomentarioCar"/>
    <w:uiPriority w:val="99"/>
    <w:semiHidden/>
    <w:unhideWhenUsed/>
    <w:rsid w:val="00D001F5"/>
    <w:rPr>
      <w:b/>
      <w:bCs/>
    </w:rPr>
  </w:style>
  <w:style w:type="character" w:customStyle="1" w:styleId="AsuntodelcomentarioCar">
    <w:name w:val="Asunto del comentario Car"/>
    <w:basedOn w:val="TextocomentarioCar"/>
    <w:link w:val="Asuntodelcomentario"/>
    <w:uiPriority w:val="99"/>
    <w:semiHidden/>
    <w:rsid w:val="00D001F5"/>
    <w:rPr>
      <w:rFonts w:ascii="Times New Roman" w:eastAsia="Times New Roman" w:hAnsi="Times New Roman" w:cs="Times New Roman"/>
      <w:b/>
      <w:bCs/>
      <w:color w:val="000000"/>
      <w:sz w:val="20"/>
      <w:szCs w:val="20"/>
      <w:lang w:val="es-CO" w:eastAsia="es-CO"/>
    </w:rPr>
  </w:style>
  <w:style w:type="paragraph" w:styleId="Encabezado">
    <w:name w:val="header"/>
    <w:basedOn w:val="Normal"/>
    <w:link w:val="EncabezadoCar"/>
    <w:uiPriority w:val="99"/>
    <w:unhideWhenUsed/>
    <w:rsid w:val="00B12037"/>
    <w:pPr>
      <w:tabs>
        <w:tab w:val="center" w:pos="4252"/>
        <w:tab w:val="right" w:pos="8504"/>
      </w:tabs>
    </w:pPr>
  </w:style>
  <w:style w:type="character" w:customStyle="1" w:styleId="EncabezadoCar">
    <w:name w:val="Encabezado Car"/>
    <w:basedOn w:val="Fuentedeprrafopredeter"/>
    <w:link w:val="Encabezado"/>
    <w:uiPriority w:val="99"/>
    <w:rsid w:val="00B12037"/>
    <w:rPr>
      <w:rFonts w:ascii="Times New Roman" w:eastAsia="Times New Roman" w:hAnsi="Times New Roman" w:cs="Times New Roman"/>
      <w:color w:val="000000"/>
      <w:sz w:val="20"/>
      <w:szCs w:val="20"/>
      <w:lang w:val="es-CO" w:eastAsia="es-CO"/>
    </w:rPr>
  </w:style>
  <w:style w:type="paragraph" w:customStyle="1" w:styleId="Estilo1">
    <w:name w:val="Estilo1"/>
    <w:basedOn w:val="Normal"/>
    <w:link w:val="Estilo1Car"/>
    <w:qFormat/>
    <w:rsid w:val="00B12037"/>
    <w:pPr>
      <w:ind w:left="360" w:hanging="360"/>
      <w:jc w:val="both"/>
    </w:pPr>
    <w:rPr>
      <w:sz w:val="28"/>
      <w:szCs w:val="28"/>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B12037"/>
    <w:rPr>
      <w:rFonts w:ascii="Times New Roman" w:eastAsia="Times New Roman" w:hAnsi="Times New Roman" w:cs="Times New Roman"/>
      <w:color w:val="000000"/>
      <w:sz w:val="20"/>
      <w:szCs w:val="20"/>
      <w:lang w:val="es-CO" w:eastAsia="es-CO"/>
    </w:rPr>
  </w:style>
  <w:style w:type="character" w:customStyle="1" w:styleId="Estilo1Car">
    <w:name w:val="Estilo1 Car"/>
    <w:basedOn w:val="Fuentedeprrafopredeter"/>
    <w:link w:val="Estilo1"/>
    <w:rsid w:val="00B12037"/>
    <w:rPr>
      <w:rFonts w:ascii="Times New Roman" w:eastAsia="Times New Roman" w:hAnsi="Times New Roman" w:cs="Times New Roman"/>
      <w:sz w:val="28"/>
      <w:szCs w:val="28"/>
      <w:lang w:val="es-CO" w:eastAsia="es-CO"/>
    </w:rPr>
  </w:style>
  <w:style w:type="paragraph" w:styleId="Sinespaciado">
    <w:name w:val="No Spacing"/>
    <w:aliases w:val="CAPITULO I"/>
    <w:link w:val="SinespaciadoCar"/>
    <w:uiPriority w:val="1"/>
    <w:qFormat/>
    <w:rsid w:val="00B042CF"/>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3E1F19"/>
    <w:rPr>
      <w:color w:val="0563C1" w:themeColor="hyperlink"/>
      <w:u w:val="single"/>
    </w:rPr>
  </w:style>
  <w:style w:type="character" w:customStyle="1" w:styleId="UnresolvedMention">
    <w:name w:val="Unresolved Mention"/>
    <w:basedOn w:val="Fuentedeprrafopredeter"/>
    <w:uiPriority w:val="99"/>
    <w:semiHidden/>
    <w:unhideWhenUsed/>
    <w:rsid w:val="003E1F19"/>
    <w:rPr>
      <w:color w:val="605E5C"/>
      <w:shd w:val="clear" w:color="auto" w:fill="E1DFDD"/>
    </w:rPr>
  </w:style>
  <w:style w:type="paragraph" w:customStyle="1" w:styleId="Piedepagina">
    <w:name w:val="Pie de pagina"/>
    <w:aliases w:val="Ref. de nota al pie2"/>
    <w:basedOn w:val="Normal"/>
    <w:uiPriority w:val="99"/>
    <w:rsid w:val="00B15466"/>
    <w:pPr>
      <w:spacing w:line="240" w:lineRule="exact"/>
    </w:pPr>
    <w:rPr>
      <w:rFonts w:eastAsiaTheme="minorHAnsi"/>
      <w:vertAlign w:val="superscript"/>
      <w:lang w:val="es-MX" w:eastAsia="en-US"/>
    </w:rPr>
  </w:style>
  <w:style w:type="paragraph" w:styleId="NormalWeb">
    <w:name w:val="Normal (Web)"/>
    <w:basedOn w:val="Normal"/>
    <w:uiPriority w:val="99"/>
    <w:unhideWhenUsed/>
    <w:rsid w:val="00E701BB"/>
    <w:rPr>
      <w:sz w:val="24"/>
      <w:szCs w:val="24"/>
    </w:rPr>
  </w:style>
  <w:style w:type="character" w:customStyle="1" w:styleId="cf01">
    <w:name w:val="cf01"/>
    <w:basedOn w:val="Fuentedeprrafopredeter"/>
    <w:rsid w:val="002A76F2"/>
    <w:rPr>
      <w:rFonts w:ascii="Segoe UI" w:hAnsi="Segoe UI" w:cs="Segoe UI" w:hint="default"/>
      <w:sz w:val="18"/>
      <w:szCs w:val="18"/>
    </w:rPr>
  </w:style>
  <w:style w:type="paragraph" w:styleId="Textodeglobo">
    <w:name w:val="Balloon Text"/>
    <w:basedOn w:val="Normal"/>
    <w:link w:val="TextodegloboCar"/>
    <w:uiPriority w:val="99"/>
    <w:semiHidden/>
    <w:unhideWhenUsed/>
    <w:rsid w:val="001D7E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7E70"/>
    <w:rPr>
      <w:rFonts w:ascii="Segoe UI" w:eastAsia="Times New Roman" w:hAnsi="Segoe UI" w:cs="Segoe UI"/>
      <w:color w:val="000000"/>
      <w:sz w:val="18"/>
      <w:szCs w:val="18"/>
      <w:lang w:val="es-CO" w:eastAsia="es-CO"/>
    </w:rPr>
  </w:style>
  <w:style w:type="character" w:customStyle="1" w:styleId="Ttulo4Car">
    <w:name w:val="Título 4 Car"/>
    <w:basedOn w:val="Fuentedeprrafopredeter"/>
    <w:link w:val="Ttulo4"/>
    <w:uiPriority w:val="9"/>
    <w:rsid w:val="00494CFE"/>
    <w:rPr>
      <w:rFonts w:asciiTheme="majorHAnsi" w:eastAsiaTheme="majorEastAsia" w:hAnsiTheme="majorHAnsi" w:cstheme="majorBidi"/>
      <w:i/>
      <w:iCs/>
      <w:color w:val="2E74B5" w:themeColor="accent1" w:themeShade="BF"/>
      <w:sz w:val="20"/>
      <w:szCs w:val="20"/>
      <w:lang w:val="es-CO" w:eastAsia="es-CO"/>
    </w:rPr>
  </w:style>
  <w:style w:type="character" w:customStyle="1" w:styleId="Ttulo2Car">
    <w:name w:val="Título 2 Car"/>
    <w:basedOn w:val="Fuentedeprrafopredeter"/>
    <w:link w:val="Ttulo2"/>
    <w:uiPriority w:val="9"/>
    <w:rsid w:val="00EA6FB3"/>
    <w:rPr>
      <w:rFonts w:asciiTheme="majorHAnsi" w:eastAsiaTheme="majorEastAsia" w:hAnsiTheme="majorHAnsi" w:cstheme="majorBidi"/>
      <w:color w:val="2E74B5" w:themeColor="accent1" w:themeShade="BF"/>
      <w:sz w:val="26"/>
      <w:szCs w:val="26"/>
      <w:lang w:val="es-CO" w:eastAsia="es-CO"/>
    </w:rPr>
  </w:style>
  <w:style w:type="character" w:customStyle="1" w:styleId="Ttulo3Car">
    <w:name w:val="Título 3 Car"/>
    <w:basedOn w:val="Fuentedeprrafopredeter"/>
    <w:link w:val="Ttulo3"/>
    <w:uiPriority w:val="9"/>
    <w:rsid w:val="00EA6FB3"/>
    <w:rPr>
      <w:rFonts w:asciiTheme="majorHAnsi" w:eastAsiaTheme="majorEastAsia" w:hAnsiTheme="majorHAnsi" w:cstheme="majorBidi"/>
      <w:color w:val="1F4D78" w:themeColor="accent1" w:themeShade="7F"/>
      <w:sz w:val="24"/>
      <w:szCs w:val="24"/>
      <w:lang w:val="es-CO" w:eastAsia="es-CO"/>
    </w:rPr>
  </w:style>
  <w:style w:type="character" w:customStyle="1" w:styleId="Ttulo5Car">
    <w:name w:val="Título 5 Car"/>
    <w:basedOn w:val="Fuentedeprrafopredeter"/>
    <w:link w:val="Ttulo5"/>
    <w:uiPriority w:val="9"/>
    <w:rsid w:val="00EA6FB3"/>
    <w:rPr>
      <w:rFonts w:asciiTheme="majorHAnsi" w:eastAsiaTheme="majorEastAsia" w:hAnsiTheme="majorHAnsi" w:cstheme="majorBidi"/>
      <w:color w:val="2E74B5" w:themeColor="accent1" w:themeShade="BF"/>
      <w:sz w:val="20"/>
      <w:szCs w:val="20"/>
      <w:lang w:val="es-CO" w:eastAsia="es-CO"/>
    </w:rPr>
  </w:style>
  <w:style w:type="character" w:customStyle="1" w:styleId="Ttulo6Car">
    <w:name w:val="Título 6 Car"/>
    <w:basedOn w:val="Fuentedeprrafopredeter"/>
    <w:link w:val="Ttulo6"/>
    <w:uiPriority w:val="9"/>
    <w:rsid w:val="00EA6FB3"/>
    <w:rPr>
      <w:rFonts w:asciiTheme="majorHAnsi" w:eastAsiaTheme="majorEastAsia" w:hAnsiTheme="majorHAnsi" w:cstheme="majorBidi"/>
      <w:color w:val="1F4D78" w:themeColor="accent1" w:themeShade="7F"/>
      <w:sz w:val="20"/>
      <w:szCs w:val="20"/>
      <w:lang w:val="es-CO" w:eastAsia="es-CO"/>
    </w:rPr>
  </w:style>
  <w:style w:type="paragraph" w:styleId="Lista2">
    <w:name w:val="List 2"/>
    <w:basedOn w:val="Normal"/>
    <w:uiPriority w:val="99"/>
    <w:unhideWhenUsed/>
    <w:rsid w:val="00EA6FB3"/>
    <w:pPr>
      <w:ind w:left="566" w:hanging="283"/>
      <w:contextualSpacing/>
    </w:pPr>
  </w:style>
  <w:style w:type="paragraph" w:styleId="Lista3">
    <w:name w:val="List 3"/>
    <w:basedOn w:val="Normal"/>
    <w:uiPriority w:val="99"/>
    <w:unhideWhenUsed/>
    <w:rsid w:val="00EA6FB3"/>
    <w:pPr>
      <w:ind w:left="849" w:hanging="283"/>
      <w:contextualSpacing/>
    </w:pPr>
  </w:style>
  <w:style w:type="paragraph" w:styleId="Encabezadodemensaje">
    <w:name w:val="Message Header"/>
    <w:basedOn w:val="Normal"/>
    <w:link w:val="EncabezadodemensajeCar"/>
    <w:uiPriority w:val="99"/>
    <w:unhideWhenUsed/>
    <w:rsid w:val="00EA6F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A6FB3"/>
    <w:rPr>
      <w:rFonts w:asciiTheme="majorHAnsi" w:eastAsiaTheme="majorEastAsia" w:hAnsiTheme="majorHAnsi" w:cstheme="majorBidi"/>
      <w:color w:val="000000"/>
      <w:sz w:val="24"/>
      <w:szCs w:val="24"/>
      <w:shd w:val="pct20" w:color="auto" w:fill="auto"/>
      <w:lang w:val="es-CO" w:eastAsia="es-CO"/>
    </w:rPr>
  </w:style>
  <w:style w:type="paragraph" w:styleId="Sangradetextonormal">
    <w:name w:val="Body Text Indent"/>
    <w:basedOn w:val="Normal"/>
    <w:link w:val="SangradetextonormalCar"/>
    <w:uiPriority w:val="99"/>
    <w:semiHidden/>
    <w:unhideWhenUsed/>
    <w:rsid w:val="00EA6FB3"/>
    <w:pPr>
      <w:spacing w:after="120"/>
      <w:ind w:left="283"/>
    </w:pPr>
  </w:style>
  <w:style w:type="character" w:customStyle="1" w:styleId="SangradetextonormalCar">
    <w:name w:val="Sangría de texto normal Car"/>
    <w:basedOn w:val="Fuentedeprrafopredeter"/>
    <w:link w:val="Sangradetextonormal"/>
    <w:uiPriority w:val="99"/>
    <w:semiHidden/>
    <w:rsid w:val="00EA6FB3"/>
    <w:rPr>
      <w:rFonts w:ascii="Times New Roman" w:eastAsia="Times New Roman" w:hAnsi="Times New Roman" w:cs="Times New Roman"/>
      <w:color w:val="000000"/>
      <w:sz w:val="20"/>
      <w:szCs w:val="20"/>
      <w:lang w:val="es-CO" w:eastAsia="es-CO"/>
    </w:rPr>
  </w:style>
  <w:style w:type="paragraph" w:styleId="Textoindependienteprimerasangra2">
    <w:name w:val="Body Text First Indent 2"/>
    <w:basedOn w:val="Sangradetextonormal"/>
    <w:link w:val="Textoindependienteprimerasangra2Car"/>
    <w:uiPriority w:val="99"/>
    <w:unhideWhenUsed/>
    <w:rsid w:val="00EA6FB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A6FB3"/>
    <w:rPr>
      <w:rFonts w:ascii="Times New Roman" w:eastAsia="Times New Roman" w:hAnsi="Times New Roman" w:cs="Times New Roman"/>
      <w:color w:val="000000"/>
      <w:sz w:val="20"/>
      <w:szCs w:val="20"/>
      <w:lang w:val="es-CO" w:eastAsia="es-CO"/>
    </w:rPr>
  </w:style>
  <w:style w:type="paragraph" w:customStyle="1" w:styleId="pf0">
    <w:name w:val="pf0"/>
    <w:basedOn w:val="Normal"/>
    <w:rsid w:val="00C3556A"/>
    <w:pPr>
      <w:spacing w:before="100" w:beforeAutospacing="1" w:after="100" w:afterAutospacing="1"/>
    </w:pPr>
    <w:rPr>
      <w:sz w:val="24"/>
      <w:szCs w:val="24"/>
      <w:lang w:val="es-ES" w:eastAsia="es-ES"/>
    </w:rPr>
  </w:style>
  <w:style w:type="character" w:customStyle="1" w:styleId="cf11">
    <w:name w:val="cf11"/>
    <w:basedOn w:val="Fuentedeprrafopredeter"/>
    <w:rsid w:val="00C3556A"/>
    <w:rPr>
      <w:rFonts w:ascii="Segoe UI" w:hAnsi="Segoe UI" w:cs="Segoe UI" w:hint="default"/>
      <w:b/>
      <w:bCs/>
      <w:sz w:val="18"/>
      <w:szCs w:val="18"/>
    </w:rPr>
  </w:style>
  <w:style w:type="paragraph" w:styleId="Revisin">
    <w:name w:val="Revision"/>
    <w:hidden/>
    <w:uiPriority w:val="99"/>
    <w:semiHidden/>
    <w:rsid w:val="00E43D92"/>
    <w:pPr>
      <w:spacing w:after="0" w:line="240" w:lineRule="auto"/>
    </w:pPr>
    <w:rPr>
      <w:rFonts w:ascii="Times New Roman" w:eastAsia="Times New Roman" w:hAnsi="Times New Roman" w:cs="Times New Roman"/>
      <w:color w:val="000000"/>
      <w:sz w:val="20"/>
      <w:szCs w:val="20"/>
    </w:rPr>
  </w:style>
  <w:style w:type="paragraph" w:customStyle="1" w:styleId="pa7">
    <w:name w:val="pa7"/>
    <w:basedOn w:val="Normal"/>
    <w:rsid w:val="003F4237"/>
    <w:pPr>
      <w:spacing w:before="100" w:beforeAutospacing="1" w:after="100" w:afterAutospacing="1"/>
    </w:pPr>
    <w:rPr>
      <w:sz w:val="24"/>
      <w:szCs w:val="24"/>
      <w:lang w:val="es-ES" w:eastAsia="es-ES"/>
    </w:rPr>
  </w:style>
  <w:style w:type="character" w:customStyle="1" w:styleId="a0">
    <w:name w:val="a0"/>
    <w:basedOn w:val="Fuentedeprrafopredeter"/>
    <w:rsid w:val="003F4237"/>
  </w:style>
  <w:style w:type="character" w:customStyle="1" w:styleId="spelle">
    <w:name w:val="spelle"/>
    <w:basedOn w:val="Fuentedeprrafopredeter"/>
    <w:rsid w:val="003F4237"/>
  </w:style>
  <w:style w:type="character" w:customStyle="1" w:styleId="SinespaciadoCar">
    <w:name w:val="Sin espaciado Car"/>
    <w:aliases w:val="CAPITULO I Car"/>
    <w:link w:val="Sinespaciado"/>
    <w:uiPriority w:val="1"/>
    <w:locked/>
    <w:rsid w:val="00AD0CAD"/>
    <w:rPr>
      <w:rFonts w:ascii="Calibri" w:eastAsia="Calibri" w:hAnsi="Calibri" w:cs="Times New Roman"/>
      <w:lang w:val="es-CO"/>
    </w:rPr>
  </w:style>
  <w:style w:type="character" w:styleId="Textoennegrita">
    <w:name w:val="Strong"/>
    <w:basedOn w:val="Fuentedeprrafopredeter"/>
    <w:uiPriority w:val="22"/>
    <w:qFormat/>
    <w:rsid w:val="00AD0CAD"/>
    <w:rPr>
      <w:b/>
      <w:bCs/>
    </w:rPr>
  </w:style>
  <w:style w:type="character" w:customStyle="1" w:styleId="cf21">
    <w:name w:val="cf21"/>
    <w:basedOn w:val="Fuentedeprrafopredeter"/>
    <w:rsid w:val="00A93E2E"/>
    <w:rPr>
      <w:rFonts w:ascii="Segoe UI" w:hAnsi="Segoe UI" w:cs="Segoe UI" w:hint="default"/>
      <w:b/>
      <w:bCs/>
      <w:sz w:val="18"/>
      <w:szCs w:val="18"/>
    </w:rPr>
  </w:style>
  <w:style w:type="paragraph" w:styleId="Textoindependiente3">
    <w:name w:val="Body Text 3"/>
    <w:basedOn w:val="Normal"/>
    <w:link w:val="Textoindependiente3Car"/>
    <w:uiPriority w:val="99"/>
    <w:semiHidden/>
    <w:unhideWhenUsed/>
    <w:rsid w:val="003C7F8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C7F86"/>
    <w:rPr>
      <w:rFonts w:ascii="Times New Roman" w:eastAsia="Times New Roman" w:hAnsi="Times New Roman" w:cs="Times New Roman"/>
      <w:color w:val="000000"/>
      <w:sz w:val="16"/>
      <w:szCs w:val="16"/>
      <w:lang w:val="es-CO" w:eastAsia="es-CO"/>
    </w:rPr>
  </w:style>
  <w:style w:type="paragraph" w:customStyle="1" w:styleId="Car4">
    <w:name w:val="Car4"/>
    <w:basedOn w:val="Normal"/>
    <w:rsid w:val="00CC6CC1"/>
    <w:pPr>
      <w:spacing w:line="240" w:lineRule="exact"/>
      <w:jc w:val="both"/>
    </w:pPr>
    <w:rPr>
      <w:rFonts w:ascii="Tahoma" w:hAnsi="Tahoma" w:cs="Tahoma"/>
      <w:lang w:val="en-US" w:eastAsia="en-US"/>
    </w:rPr>
  </w:style>
  <w:style w:type="character" w:customStyle="1" w:styleId="Ancladenotaalpie">
    <w:name w:val="Ancla de nota al pie"/>
    <w:rsid w:val="00591EB2"/>
    <w:rPr>
      <w:vertAlign w:val="superscript"/>
    </w:rPr>
  </w:style>
  <w:style w:type="character" w:customStyle="1" w:styleId="FootnoteCharacters">
    <w:name w:val="Footnote Characters"/>
    <w:uiPriority w:val="99"/>
    <w:unhideWhenUsed/>
    <w:qFormat/>
    <w:rsid w:val="00591EB2"/>
    <w:rPr>
      <w:vertAlign w:val="superscript"/>
    </w:rPr>
  </w:style>
  <w:style w:type="character" w:customStyle="1" w:styleId="Caracteresdenotaalpie">
    <w:name w:val="Caracteres de nota al pie"/>
    <w:qFormat/>
    <w:rsid w:val="00591EB2"/>
  </w:style>
  <w:style w:type="paragraph" w:customStyle="1" w:styleId="Ttulo11">
    <w:name w:val="Título 11"/>
    <w:basedOn w:val="Normal"/>
    <w:uiPriority w:val="99"/>
    <w:rsid w:val="00AF382A"/>
    <w:rPr>
      <w:sz w:val="24"/>
      <w:szCs w:val="24"/>
      <w:lang w:val="es-ES" w:eastAsia="es-ES"/>
    </w:rPr>
  </w:style>
  <w:style w:type="table" w:customStyle="1" w:styleId="3">
    <w:name w:val="3"/>
    <w:basedOn w:val="Tablanormal"/>
    <w:rsid w:val="00B55B73"/>
    <w:pPr>
      <w:pBdr>
        <w:top w:val="nil"/>
        <w:left w:val="nil"/>
        <w:bottom w:val="nil"/>
        <w:right w:val="nil"/>
        <w:between w:val="nil"/>
      </w:pBdr>
      <w:spacing w:after="0" w:line="240" w:lineRule="auto"/>
      <w:contextualSpacing/>
    </w:pPr>
    <w:rPr>
      <w:rFonts w:ascii="Calibri" w:eastAsia="Calibri" w:hAnsi="Calibri" w:cs="Calibri"/>
      <w:color w:val="000000"/>
    </w:rPr>
    <w:tblPr>
      <w:tblStyleRowBandSize w:val="1"/>
      <w:tblStyleColBandSize w:val="1"/>
      <w:tblInd w:w="0" w:type="nil"/>
      <w:tblCellMar>
        <w:left w:w="115" w:type="dxa"/>
        <w:right w:w="115" w:type="dxa"/>
      </w:tblCellMar>
    </w:tblPr>
  </w:style>
  <w:style w:type="character" w:customStyle="1" w:styleId="apple-converted-space">
    <w:name w:val="apple-converted-space"/>
    <w:basedOn w:val="Fuentedeprrafopredeter"/>
    <w:rsid w:val="00040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5079</Words>
  <Characters>27935</Characters>
  <Application>Microsoft Office Word</Application>
  <DocSecurity>0</DocSecurity>
  <Lines>232</Lines>
  <Paragraphs>65</Paragraphs>
  <ScaleCrop>false</ScaleCrop>
  <Company/>
  <LinksUpToDate>false</LinksUpToDate>
  <CharactersWithSpaces>32949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2025-01-29T13:33:00Z</dcterms:created>
  <dcterms:modified xsi:type="dcterms:W3CDTF">2025-01-29T13:33:00Z</dcterms:modified>
</cp:coreProperties>
</file>